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8E68" w14:textId="77777777" w:rsidR="00B16423" w:rsidRPr="00467CB4" w:rsidRDefault="00B16423" w:rsidP="00B16423">
      <w:pPr>
        <w:pStyle w:val="Title"/>
        <w:spacing w:line="276" w:lineRule="auto"/>
        <w:jc w:val="center"/>
        <w:rPr>
          <w:rStyle w:val="BookTitle"/>
          <w:rFonts w:ascii="Times New Roman" w:hAnsi="Times New Roman" w:cs="Times New Roman"/>
          <w:bCs w:val="0"/>
          <w:i w:val="0"/>
          <w:iCs w:val="0"/>
          <w:spacing w:val="-10"/>
          <w:sz w:val="40"/>
          <w:szCs w:val="40"/>
        </w:rPr>
      </w:pPr>
      <w:r w:rsidRPr="00467CB4">
        <w:rPr>
          <w:rStyle w:val="BookTitle"/>
          <w:rFonts w:ascii="Times New Roman" w:hAnsi="Times New Roman" w:cs="Times New Roman"/>
          <w:bCs w:val="0"/>
          <w:i w:val="0"/>
          <w:iCs w:val="0"/>
          <w:spacing w:val="-10"/>
          <w:sz w:val="40"/>
          <w:szCs w:val="40"/>
        </w:rPr>
        <w:t xml:space="preserve">Inter-limb Asymmetries: </w:t>
      </w:r>
    </w:p>
    <w:p w14:paraId="7A14FE33" w14:textId="77777777" w:rsidR="00B16423" w:rsidRPr="00467CB4" w:rsidRDefault="00B16423" w:rsidP="00B16423">
      <w:pPr>
        <w:pStyle w:val="Title"/>
        <w:spacing w:line="276" w:lineRule="auto"/>
        <w:jc w:val="center"/>
        <w:rPr>
          <w:rFonts w:ascii="Times New Roman" w:hAnsi="Times New Roman" w:cs="Times New Roman"/>
          <w:b/>
          <w:sz w:val="40"/>
          <w:szCs w:val="40"/>
        </w:rPr>
      </w:pPr>
      <w:r w:rsidRPr="00467CB4">
        <w:rPr>
          <w:rStyle w:val="BookTitle"/>
          <w:rFonts w:ascii="Times New Roman" w:hAnsi="Times New Roman" w:cs="Times New Roman"/>
          <w:bCs w:val="0"/>
          <w:i w:val="0"/>
          <w:iCs w:val="0"/>
          <w:spacing w:val="-10"/>
          <w:sz w:val="40"/>
          <w:szCs w:val="40"/>
        </w:rPr>
        <w:t>The Need for an Individual Approach to Data Analysis</w:t>
      </w:r>
    </w:p>
    <w:p w14:paraId="1268E33D" w14:textId="77777777" w:rsidR="00B16423" w:rsidRPr="00467CB4" w:rsidRDefault="00B16423" w:rsidP="00B16423">
      <w:pPr>
        <w:spacing w:line="480" w:lineRule="auto"/>
        <w:jc w:val="both"/>
        <w:rPr>
          <w:rFonts w:ascii="Times New Roman" w:hAnsi="Times New Roman" w:cs="Times New Roman"/>
          <w:b/>
          <w:sz w:val="36"/>
          <w:szCs w:val="36"/>
        </w:rPr>
      </w:pPr>
    </w:p>
    <w:p w14:paraId="5CE2669D" w14:textId="77777777" w:rsidR="00B16423" w:rsidRDefault="00B16423" w:rsidP="00B1642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74876B80" w14:textId="77777777" w:rsidR="00B16423" w:rsidRPr="00906844" w:rsidRDefault="00B16423" w:rsidP="00B164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shown that the magnitude of inter-limb asymmetries varies depending on the test selected; however, literature relating to whether asymmetries always favour the same limb is scarce. The aim of the present study was to determine whether inter-limb asymmetries always favoured the same side for common metrics across unilateral strength and jumping-based tests. Twenty-eight recreational sport athletes performed unilateral isometric squats, single leg countermovement jumps (SLCMJ) and single leg broad jumps (SLBJ) with asymmetries in peak force compared across all tests, and eccentric and concentric impulse asymmetries compared between jumps. Mean asymmetries for all tests were low (≤ -5.3%) and all inter-limb differences for jump tests favoured the left limb, whilst asymmetries during the isometric squat favoured the right limb. Despite the low mean asymmetry values, individual data highlighted substantially greater differences. Levels of agreement for asymmetries were computed via the Kappa coefficient and ranged from slight to substantial (&lt; 0.01 – 0.79), although concentric impulse asymmetries for jump tests was the only comparison to result in substantial levels of agreement. With asymmetries rarely being present on the same side across tests, these results show that a more individual approach to reporting asymmetries is required, which should help practitioners when designing targeted training interventions for their reduction. </w:t>
      </w:r>
    </w:p>
    <w:p w14:paraId="0A33FEDF" w14:textId="77777777" w:rsidR="00B16423" w:rsidRDefault="00B16423" w:rsidP="00B16423">
      <w:pPr>
        <w:spacing w:line="480" w:lineRule="auto"/>
        <w:jc w:val="both"/>
        <w:rPr>
          <w:rFonts w:ascii="Times New Roman" w:hAnsi="Times New Roman" w:cs="Times New Roman"/>
          <w:b/>
          <w:sz w:val="24"/>
          <w:szCs w:val="24"/>
        </w:rPr>
      </w:pPr>
    </w:p>
    <w:p w14:paraId="07C55DBF" w14:textId="77777777" w:rsidR="00B16423" w:rsidRPr="00396288" w:rsidRDefault="00B16423" w:rsidP="00B16423">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 xml:space="preserve">Agreement, between-limb differences, </w:t>
      </w:r>
      <w:r w:rsidR="002010EB">
        <w:rPr>
          <w:rFonts w:ascii="Times New Roman" w:hAnsi="Times New Roman" w:cs="Times New Roman"/>
          <w:sz w:val="24"/>
          <w:szCs w:val="24"/>
        </w:rPr>
        <w:t xml:space="preserve">individual </w:t>
      </w:r>
      <w:r>
        <w:rPr>
          <w:rFonts w:ascii="Times New Roman" w:hAnsi="Times New Roman" w:cs="Times New Roman"/>
          <w:sz w:val="24"/>
          <w:szCs w:val="24"/>
        </w:rPr>
        <w:t xml:space="preserve">monitoring, symmetry </w:t>
      </w:r>
    </w:p>
    <w:p w14:paraId="39AA2CB9" w14:textId="77777777" w:rsidR="00B16423" w:rsidRDefault="00B16423" w:rsidP="00B16423">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INTRODUCTION </w:t>
      </w:r>
    </w:p>
    <w:p w14:paraId="508281DC" w14:textId="77777777" w:rsidR="00B16423" w:rsidRDefault="00B16423" w:rsidP="00B164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Inter-limb asymmetries refers to the concept of the performance of two limbs not being equal </w:t>
      </w:r>
      <w:r w:rsidRPr="00D24915">
        <w:rPr>
          <w:rFonts w:ascii="Times New Roman" w:hAnsi="Times New Roman" w:cs="Times New Roman"/>
          <w:sz w:val="24"/>
          <w:szCs w:val="24"/>
        </w:rPr>
        <w:t>(</w:t>
      </w:r>
      <w:r w:rsidR="00D24915" w:rsidRPr="00D24915">
        <w:rPr>
          <w:rFonts w:ascii="Times New Roman" w:hAnsi="Times New Roman" w:cs="Times New Roman"/>
          <w:sz w:val="24"/>
          <w:szCs w:val="24"/>
        </w:rPr>
        <w:t>3,21</w:t>
      </w:r>
      <w:r w:rsidRPr="00D24915">
        <w:rPr>
          <w:rFonts w:ascii="Times New Roman" w:hAnsi="Times New Roman" w:cs="Times New Roman"/>
          <w:sz w:val="24"/>
          <w:szCs w:val="24"/>
        </w:rPr>
        <w:t xml:space="preserve">) </w:t>
      </w:r>
      <w:r>
        <w:rPr>
          <w:rFonts w:ascii="Times New Roman" w:hAnsi="Times New Roman" w:cs="Times New Roman"/>
          <w:sz w:val="24"/>
          <w:szCs w:val="24"/>
        </w:rPr>
        <w:t xml:space="preserve">and have been a popular source of investigation in recent years. Historically, many studies have highlighted the prevalence of inter-limb asymmetry across a range of tests such as the back </w:t>
      </w:r>
      <w:r w:rsidRPr="00D24915">
        <w:rPr>
          <w:rFonts w:ascii="Times New Roman" w:hAnsi="Times New Roman" w:cs="Times New Roman"/>
          <w:sz w:val="24"/>
          <w:szCs w:val="24"/>
        </w:rPr>
        <w:t>squat (</w:t>
      </w:r>
      <w:r w:rsidR="00D24915" w:rsidRPr="00D24915">
        <w:rPr>
          <w:rFonts w:ascii="Times New Roman" w:hAnsi="Times New Roman" w:cs="Times New Roman"/>
          <w:sz w:val="24"/>
          <w:szCs w:val="24"/>
        </w:rPr>
        <w:t>1,24,33</w:t>
      </w:r>
      <w:r w:rsidRPr="00D24915">
        <w:rPr>
          <w:rFonts w:ascii="Times New Roman" w:hAnsi="Times New Roman" w:cs="Times New Roman"/>
          <w:sz w:val="24"/>
          <w:szCs w:val="24"/>
        </w:rPr>
        <w:t>), isometric squats or mid-thigh pulls (</w:t>
      </w:r>
      <w:r w:rsidR="00D24915" w:rsidRPr="00D24915">
        <w:rPr>
          <w:rFonts w:ascii="Times New Roman" w:hAnsi="Times New Roman" w:cs="Times New Roman"/>
          <w:sz w:val="24"/>
          <w:szCs w:val="24"/>
        </w:rPr>
        <w:t>10,14,15</w:t>
      </w:r>
      <w:r w:rsidRPr="00D24915">
        <w:rPr>
          <w:rFonts w:ascii="Times New Roman" w:hAnsi="Times New Roman" w:cs="Times New Roman"/>
          <w:sz w:val="24"/>
          <w:szCs w:val="24"/>
        </w:rPr>
        <w:t>), and jumping-based tasks (</w:t>
      </w:r>
      <w:r w:rsidR="00D24915" w:rsidRPr="00D24915">
        <w:rPr>
          <w:rFonts w:ascii="Times New Roman" w:hAnsi="Times New Roman" w:cs="Times New Roman"/>
          <w:sz w:val="24"/>
          <w:szCs w:val="24"/>
        </w:rPr>
        <w:t>2,20,28,31</w:t>
      </w:r>
      <w:r w:rsidRPr="00D24915">
        <w:rPr>
          <w:rFonts w:ascii="Times New Roman" w:hAnsi="Times New Roman" w:cs="Times New Roman"/>
          <w:sz w:val="24"/>
          <w:szCs w:val="24"/>
        </w:rPr>
        <w:t>). Although interesting, their prevalence alone does little to enhance our understanding of whether these differences should be corrected during training. More recently, studies have aimed to investigate whether such asymmetries are detrimental to physical or sports performance (</w:t>
      </w:r>
      <w:r w:rsidR="00D24915" w:rsidRPr="00D24915">
        <w:rPr>
          <w:rFonts w:ascii="Times New Roman" w:hAnsi="Times New Roman" w:cs="Times New Roman"/>
          <w:sz w:val="24"/>
          <w:szCs w:val="24"/>
        </w:rPr>
        <w:t>6</w:t>
      </w:r>
      <w:r w:rsidRPr="00D24915">
        <w:rPr>
          <w:rFonts w:ascii="Times New Roman" w:hAnsi="Times New Roman" w:cs="Times New Roman"/>
          <w:sz w:val="24"/>
          <w:szCs w:val="24"/>
        </w:rPr>
        <w:t xml:space="preserve">) with equivocal findings. For example, </w:t>
      </w:r>
      <w:r w:rsidR="00D24915" w:rsidRPr="00D24915">
        <w:rPr>
          <w:rFonts w:ascii="Times New Roman" w:hAnsi="Times New Roman" w:cs="Times New Roman"/>
          <w:sz w:val="24"/>
          <w:szCs w:val="24"/>
        </w:rPr>
        <w:t>Hart et al. (15</w:t>
      </w:r>
      <w:r w:rsidRPr="00D24915">
        <w:rPr>
          <w:rFonts w:ascii="Times New Roman" w:hAnsi="Times New Roman" w:cs="Times New Roman"/>
          <w:sz w:val="24"/>
          <w:szCs w:val="24"/>
        </w:rPr>
        <w:t xml:space="preserve">) showed that asymmetries in strength of ~8% were associated with reduced kicking accuracy, whilst </w:t>
      </w:r>
      <w:r w:rsidR="00D24915" w:rsidRPr="00D24915">
        <w:rPr>
          <w:rFonts w:ascii="Times New Roman" w:hAnsi="Times New Roman" w:cs="Times New Roman"/>
          <w:sz w:val="24"/>
          <w:szCs w:val="24"/>
        </w:rPr>
        <w:t>Dos’Santos et al. (10</w:t>
      </w:r>
      <w:r w:rsidRPr="00D24915">
        <w:rPr>
          <w:rFonts w:ascii="Times New Roman" w:hAnsi="Times New Roman" w:cs="Times New Roman"/>
          <w:sz w:val="24"/>
          <w:szCs w:val="24"/>
        </w:rPr>
        <w:t xml:space="preserve">) reported no association between strength asymmetries (~13%) and performance during the 505 change of direction speed test. Similarly, </w:t>
      </w:r>
      <w:r w:rsidR="00D24915" w:rsidRPr="00D24915">
        <w:rPr>
          <w:rFonts w:ascii="Times New Roman" w:hAnsi="Times New Roman" w:cs="Times New Roman"/>
          <w:sz w:val="24"/>
          <w:szCs w:val="24"/>
        </w:rPr>
        <w:t>Dos’Santos et al. (11</w:t>
      </w:r>
      <w:r w:rsidRPr="00D24915">
        <w:rPr>
          <w:rFonts w:ascii="Times New Roman" w:hAnsi="Times New Roman" w:cs="Times New Roman"/>
          <w:sz w:val="24"/>
          <w:szCs w:val="24"/>
        </w:rPr>
        <w:t>) reported no association between single and triple leg hop asymmetries and</w:t>
      </w:r>
      <w:r w:rsidR="009470B7">
        <w:rPr>
          <w:rFonts w:ascii="Times New Roman" w:hAnsi="Times New Roman" w:cs="Times New Roman"/>
          <w:sz w:val="24"/>
          <w:szCs w:val="24"/>
        </w:rPr>
        <w:t xml:space="preserve"> </w:t>
      </w:r>
      <w:r w:rsidR="009470B7" w:rsidRPr="002C5575">
        <w:rPr>
          <w:rFonts w:ascii="Times New Roman" w:hAnsi="Times New Roman" w:cs="Times New Roman"/>
          <w:sz w:val="24"/>
          <w:szCs w:val="24"/>
        </w:rPr>
        <w:t>change of direction speed</w:t>
      </w:r>
      <w:r w:rsidRPr="00D24915">
        <w:rPr>
          <w:rFonts w:ascii="Times New Roman" w:hAnsi="Times New Roman" w:cs="Times New Roman"/>
          <w:sz w:val="24"/>
          <w:szCs w:val="24"/>
        </w:rPr>
        <w:t xml:space="preserve"> </w:t>
      </w:r>
      <w:r w:rsidR="009470B7">
        <w:rPr>
          <w:rFonts w:ascii="Times New Roman" w:hAnsi="Times New Roman" w:cs="Times New Roman"/>
          <w:sz w:val="24"/>
          <w:szCs w:val="24"/>
        </w:rPr>
        <w:t>(</w:t>
      </w:r>
      <w:r w:rsidRPr="00D24915">
        <w:rPr>
          <w:rFonts w:ascii="Times New Roman" w:hAnsi="Times New Roman" w:cs="Times New Roman"/>
          <w:sz w:val="24"/>
          <w:szCs w:val="24"/>
        </w:rPr>
        <w:t>CODS</w:t>
      </w:r>
      <w:r w:rsidR="009470B7">
        <w:rPr>
          <w:rFonts w:ascii="Times New Roman" w:hAnsi="Times New Roman" w:cs="Times New Roman"/>
          <w:sz w:val="24"/>
          <w:szCs w:val="24"/>
        </w:rPr>
        <w:t>)</w:t>
      </w:r>
      <w:r w:rsidRPr="00D24915">
        <w:rPr>
          <w:rFonts w:ascii="Times New Roman" w:hAnsi="Times New Roman" w:cs="Times New Roman"/>
          <w:sz w:val="24"/>
          <w:szCs w:val="24"/>
        </w:rPr>
        <w:t xml:space="preserve"> performance, although it should be noted that the reported inter-limb differences of ~7% can be considered small (</w:t>
      </w:r>
      <w:r w:rsidR="00D24915" w:rsidRPr="00D24915">
        <w:rPr>
          <w:rFonts w:ascii="Times New Roman" w:hAnsi="Times New Roman" w:cs="Times New Roman"/>
          <w:sz w:val="24"/>
          <w:szCs w:val="24"/>
        </w:rPr>
        <w:t>6</w:t>
      </w:r>
      <w:r w:rsidRPr="00D24915">
        <w:rPr>
          <w:rFonts w:ascii="Times New Roman" w:hAnsi="Times New Roman" w:cs="Times New Roman"/>
          <w:sz w:val="24"/>
          <w:szCs w:val="24"/>
        </w:rPr>
        <w:t>). In contrast, Bish</w:t>
      </w:r>
      <w:r w:rsidR="00D24915" w:rsidRPr="00D24915">
        <w:rPr>
          <w:rFonts w:ascii="Times New Roman" w:hAnsi="Times New Roman" w:cs="Times New Roman"/>
          <w:sz w:val="24"/>
          <w:szCs w:val="24"/>
        </w:rPr>
        <w:t>op et al. (4</w:t>
      </w:r>
      <w:r w:rsidRPr="00D24915">
        <w:rPr>
          <w:rFonts w:ascii="Times New Roman" w:hAnsi="Times New Roman" w:cs="Times New Roman"/>
          <w:sz w:val="24"/>
          <w:szCs w:val="24"/>
        </w:rPr>
        <w:t xml:space="preserve">) showed that both vertical and horizontal asymmetries were associated with reduced jump </w:t>
      </w:r>
      <w:r w:rsidRPr="002C5575">
        <w:rPr>
          <w:rFonts w:ascii="Times New Roman" w:hAnsi="Times New Roman" w:cs="Times New Roman"/>
          <w:sz w:val="24"/>
          <w:szCs w:val="24"/>
        </w:rPr>
        <w:t>(</w:t>
      </w:r>
      <w:r w:rsidRPr="002C5575">
        <w:rPr>
          <w:rFonts w:ascii="Times New Roman" w:hAnsi="Times New Roman" w:cs="Times New Roman"/>
          <w:i/>
          <w:sz w:val="24"/>
          <w:szCs w:val="24"/>
        </w:rPr>
        <w:t xml:space="preserve">r </w:t>
      </w:r>
      <w:r w:rsidRPr="002C5575">
        <w:rPr>
          <w:rFonts w:ascii="Times New Roman" w:hAnsi="Times New Roman" w:cs="Times New Roman"/>
          <w:sz w:val="24"/>
          <w:szCs w:val="24"/>
        </w:rPr>
        <w:t>= -0.47 to -0.56) and sprint (</w:t>
      </w:r>
      <w:r w:rsidRPr="002C5575">
        <w:rPr>
          <w:rFonts w:ascii="Times New Roman" w:hAnsi="Times New Roman" w:cs="Times New Roman"/>
          <w:i/>
          <w:sz w:val="24"/>
          <w:szCs w:val="24"/>
        </w:rPr>
        <w:t>r</w:t>
      </w:r>
      <w:r w:rsidR="009470B7" w:rsidRPr="002C5575">
        <w:rPr>
          <w:rFonts w:ascii="Times New Roman" w:hAnsi="Times New Roman" w:cs="Times New Roman"/>
          <w:sz w:val="24"/>
          <w:szCs w:val="24"/>
        </w:rPr>
        <w:t xml:space="preserve"> = 0.49 to </w:t>
      </w:r>
      <w:r w:rsidRPr="002C5575">
        <w:rPr>
          <w:rFonts w:ascii="Times New Roman" w:hAnsi="Times New Roman" w:cs="Times New Roman"/>
          <w:sz w:val="24"/>
          <w:szCs w:val="24"/>
        </w:rPr>
        <w:t>0.59)</w:t>
      </w:r>
      <w:r>
        <w:rPr>
          <w:rFonts w:ascii="Times New Roman" w:hAnsi="Times New Roman" w:cs="Times New Roman"/>
          <w:sz w:val="24"/>
          <w:szCs w:val="24"/>
        </w:rPr>
        <w:t xml:space="preserve"> performance in elite youth female soccer players. Consequently, this lack of agreement highlights the need for further research. </w:t>
      </w:r>
    </w:p>
    <w:p w14:paraId="39BCA7CB" w14:textId="77777777" w:rsidR="00B16423" w:rsidRDefault="00B16423" w:rsidP="00B164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literature relating asymmetries to physical performance measures have used jump tests to quantify the asymmetry </w:t>
      </w:r>
      <w:r w:rsidRPr="00D24915">
        <w:rPr>
          <w:rFonts w:ascii="Times New Roman" w:hAnsi="Times New Roman" w:cs="Times New Roman"/>
          <w:sz w:val="24"/>
          <w:szCs w:val="24"/>
        </w:rPr>
        <w:t>component (</w:t>
      </w:r>
      <w:r w:rsidR="00D24915" w:rsidRPr="00D24915">
        <w:rPr>
          <w:rFonts w:ascii="Times New Roman" w:hAnsi="Times New Roman" w:cs="Times New Roman"/>
          <w:sz w:val="24"/>
          <w:szCs w:val="24"/>
        </w:rPr>
        <w:t>4,11,18,26,27</w:t>
      </w:r>
      <w:r w:rsidRPr="00D24915">
        <w:rPr>
          <w:rFonts w:ascii="Times New Roman" w:hAnsi="Times New Roman" w:cs="Times New Roman"/>
          <w:sz w:val="24"/>
          <w:szCs w:val="24"/>
        </w:rPr>
        <w:t>). Inter-limb differences from horizontal jumping (such as single, triple, and crossover hop tests) have reported asymmetries of 6-7% (</w:t>
      </w:r>
      <w:r w:rsidR="00D24915" w:rsidRPr="00D24915">
        <w:rPr>
          <w:rFonts w:ascii="Times New Roman" w:hAnsi="Times New Roman" w:cs="Times New Roman"/>
          <w:sz w:val="24"/>
          <w:szCs w:val="24"/>
        </w:rPr>
        <w:t>4,11,30</w:t>
      </w:r>
      <w:r w:rsidRPr="00D24915">
        <w:rPr>
          <w:rFonts w:ascii="Times New Roman" w:hAnsi="Times New Roman" w:cs="Times New Roman"/>
          <w:sz w:val="24"/>
          <w:szCs w:val="24"/>
        </w:rPr>
        <w:t>). When vertical asy</w:t>
      </w:r>
      <w:r>
        <w:rPr>
          <w:rFonts w:ascii="Times New Roman" w:hAnsi="Times New Roman" w:cs="Times New Roman"/>
          <w:sz w:val="24"/>
          <w:szCs w:val="24"/>
        </w:rPr>
        <w:t xml:space="preserve">mmetries have been assessed via a single leg countermovement jump (SLCMJ), these differences have been shown to be significantly greater than horizontal </w:t>
      </w:r>
      <w:r w:rsidRPr="00D24915">
        <w:rPr>
          <w:rFonts w:ascii="Times New Roman" w:hAnsi="Times New Roman" w:cs="Times New Roman"/>
          <w:sz w:val="24"/>
          <w:szCs w:val="24"/>
        </w:rPr>
        <w:t>tests (</w:t>
      </w:r>
      <w:r w:rsidR="00D24915" w:rsidRPr="00D24915">
        <w:rPr>
          <w:rFonts w:ascii="Times New Roman" w:hAnsi="Times New Roman" w:cs="Times New Roman"/>
          <w:sz w:val="24"/>
          <w:szCs w:val="24"/>
        </w:rPr>
        <w:t>4,26,29</w:t>
      </w:r>
      <w:r w:rsidRPr="00D24915">
        <w:rPr>
          <w:rFonts w:ascii="Times New Roman" w:hAnsi="Times New Roman" w:cs="Times New Roman"/>
          <w:sz w:val="24"/>
          <w:szCs w:val="24"/>
        </w:rPr>
        <w:t xml:space="preserve">), with </w:t>
      </w:r>
      <w:r>
        <w:rPr>
          <w:rFonts w:ascii="Times New Roman" w:hAnsi="Times New Roman" w:cs="Times New Roman"/>
          <w:sz w:val="24"/>
          <w:szCs w:val="24"/>
        </w:rPr>
        <w:t>values &gt; 10% common for this test. Finally, the use of drop jumps has highlighted individual asymmetry values &gt; 50</w:t>
      </w:r>
      <w:r w:rsidRPr="003B3EAE">
        <w:rPr>
          <w:rFonts w:ascii="Times New Roman" w:hAnsi="Times New Roman" w:cs="Times New Roman"/>
          <w:sz w:val="24"/>
          <w:szCs w:val="24"/>
        </w:rPr>
        <w:t>% (</w:t>
      </w:r>
      <w:r w:rsidR="003B3EAE" w:rsidRPr="003B3EAE">
        <w:rPr>
          <w:rFonts w:ascii="Times New Roman" w:hAnsi="Times New Roman" w:cs="Times New Roman"/>
          <w:sz w:val="24"/>
          <w:szCs w:val="24"/>
        </w:rPr>
        <w:t>28</w:t>
      </w:r>
      <w:r w:rsidRPr="003B3EAE">
        <w:rPr>
          <w:rFonts w:ascii="Times New Roman" w:hAnsi="Times New Roman" w:cs="Times New Roman"/>
          <w:sz w:val="24"/>
          <w:szCs w:val="24"/>
        </w:rPr>
        <w:t xml:space="preserve">) in </w:t>
      </w:r>
      <w:r>
        <w:rPr>
          <w:rFonts w:ascii="Times New Roman" w:hAnsi="Times New Roman" w:cs="Times New Roman"/>
          <w:sz w:val="24"/>
          <w:szCs w:val="24"/>
        </w:rPr>
        <w:t xml:space="preserve">healthy adult </w:t>
      </w:r>
      <w:r>
        <w:rPr>
          <w:rFonts w:ascii="Times New Roman" w:hAnsi="Times New Roman" w:cs="Times New Roman"/>
          <w:sz w:val="24"/>
          <w:szCs w:val="24"/>
        </w:rPr>
        <w:lastRenderedPageBreak/>
        <w:t xml:space="preserve">populations; thus, the available body of evidence would suggest that the magnitude of asymmetries are test-specific. </w:t>
      </w:r>
    </w:p>
    <w:p w14:paraId="157DEC8B" w14:textId="77777777" w:rsidR="00B16423" w:rsidRDefault="00B16423" w:rsidP="00B16423">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 to this varying magnitude, recent studies have displayed individual athlete asymmetry data highlighting that both the left and right (</w:t>
      </w:r>
      <w:r w:rsidR="003B3EAE">
        <w:rPr>
          <w:rFonts w:ascii="Times New Roman" w:hAnsi="Times New Roman" w:cs="Times New Roman"/>
          <w:sz w:val="24"/>
          <w:szCs w:val="24"/>
        </w:rPr>
        <w:t>4,27)</w:t>
      </w:r>
      <w:r>
        <w:rPr>
          <w:rFonts w:ascii="Times New Roman" w:hAnsi="Times New Roman" w:cs="Times New Roman"/>
          <w:sz w:val="24"/>
          <w:szCs w:val="24"/>
        </w:rPr>
        <w:t xml:space="preserve"> or dominant and non-dominant </w:t>
      </w:r>
      <w:r w:rsidRPr="003B3EAE">
        <w:rPr>
          <w:rFonts w:ascii="Times New Roman" w:hAnsi="Times New Roman" w:cs="Times New Roman"/>
          <w:sz w:val="24"/>
          <w:szCs w:val="24"/>
        </w:rPr>
        <w:t>limbs (</w:t>
      </w:r>
      <w:r w:rsidR="003B3EAE" w:rsidRPr="003B3EAE">
        <w:rPr>
          <w:rFonts w:ascii="Times New Roman" w:hAnsi="Times New Roman" w:cs="Times New Roman"/>
          <w:sz w:val="24"/>
          <w:szCs w:val="24"/>
        </w:rPr>
        <w:t>11,13</w:t>
      </w:r>
      <w:r w:rsidRPr="003B3EAE">
        <w:rPr>
          <w:rFonts w:ascii="Times New Roman" w:hAnsi="Times New Roman" w:cs="Times New Roman"/>
          <w:sz w:val="24"/>
          <w:szCs w:val="24"/>
        </w:rPr>
        <w:t xml:space="preserve">) have the </w:t>
      </w:r>
      <w:r>
        <w:rPr>
          <w:rFonts w:ascii="Times New Roman" w:hAnsi="Times New Roman" w:cs="Times New Roman"/>
          <w:sz w:val="24"/>
          <w:szCs w:val="24"/>
        </w:rPr>
        <w:t>potential to score higher during jump testing. Despite these recent findings, to the authors’ knowledge, no studies to date have used this approach to specifically examine if the levels of agreement in asymmetry (r</w:t>
      </w:r>
      <w:r w:rsidR="009470B7">
        <w:rPr>
          <w:rFonts w:ascii="Times New Roman" w:hAnsi="Times New Roman" w:cs="Times New Roman"/>
          <w:sz w:val="24"/>
          <w:szCs w:val="24"/>
        </w:rPr>
        <w:t xml:space="preserve">ight </w:t>
      </w:r>
      <w:r w:rsidR="009470B7" w:rsidRPr="002C5575">
        <w:rPr>
          <w:rFonts w:ascii="Times New Roman" w:hAnsi="Times New Roman" w:cs="Times New Roman"/>
          <w:sz w:val="24"/>
          <w:szCs w:val="24"/>
        </w:rPr>
        <w:t>versus</w:t>
      </w:r>
      <w:r>
        <w:rPr>
          <w:rFonts w:ascii="Times New Roman" w:hAnsi="Times New Roman" w:cs="Times New Roman"/>
          <w:sz w:val="24"/>
          <w:szCs w:val="24"/>
        </w:rPr>
        <w:t xml:space="preserve"> left) is consistent across multiple tests.</w:t>
      </w:r>
      <w:r w:rsidR="009470B7">
        <w:rPr>
          <w:rFonts w:ascii="Times New Roman" w:hAnsi="Times New Roman" w:cs="Times New Roman"/>
          <w:sz w:val="24"/>
          <w:szCs w:val="24"/>
        </w:rPr>
        <w:t xml:space="preserve"> </w:t>
      </w:r>
      <w:r w:rsidR="009470B7" w:rsidRPr="002C5575">
        <w:rPr>
          <w:rFonts w:ascii="Times New Roman" w:hAnsi="Times New Roman" w:cs="Times New Roman"/>
          <w:sz w:val="24"/>
          <w:szCs w:val="24"/>
        </w:rPr>
        <w:t>For example, if peak force</w:t>
      </w:r>
      <w:r w:rsidR="007D5D70" w:rsidRPr="002C5575">
        <w:rPr>
          <w:rFonts w:ascii="Times New Roman" w:hAnsi="Times New Roman" w:cs="Times New Roman"/>
          <w:sz w:val="24"/>
          <w:szCs w:val="24"/>
        </w:rPr>
        <w:t xml:space="preserve"> (PF)</w:t>
      </w:r>
      <w:r w:rsidR="009470B7" w:rsidRPr="002C5575">
        <w:rPr>
          <w:rFonts w:ascii="Times New Roman" w:hAnsi="Times New Roman" w:cs="Times New Roman"/>
          <w:sz w:val="24"/>
          <w:szCs w:val="24"/>
        </w:rPr>
        <w:t xml:space="preserve"> data was obtained during two different types of </w:t>
      </w:r>
      <w:r w:rsidR="007D5D70" w:rsidRPr="002C5575">
        <w:rPr>
          <w:rFonts w:ascii="Times New Roman" w:hAnsi="Times New Roman" w:cs="Times New Roman"/>
          <w:sz w:val="24"/>
          <w:szCs w:val="24"/>
        </w:rPr>
        <w:t xml:space="preserve">unilateral </w:t>
      </w:r>
      <w:r w:rsidR="009470B7" w:rsidRPr="002C5575">
        <w:rPr>
          <w:rFonts w:ascii="Times New Roman" w:hAnsi="Times New Roman" w:cs="Times New Roman"/>
          <w:sz w:val="24"/>
          <w:szCs w:val="24"/>
        </w:rPr>
        <w:t>jumps</w:t>
      </w:r>
      <w:r w:rsidR="007D5D70" w:rsidRPr="002C5575">
        <w:rPr>
          <w:rFonts w:ascii="Times New Roman" w:hAnsi="Times New Roman" w:cs="Times New Roman"/>
          <w:sz w:val="24"/>
          <w:szCs w:val="24"/>
        </w:rPr>
        <w:t xml:space="preserve">, </w:t>
      </w:r>
      <w:r w:rsidR="009470B7" w:rsidRPr="002C5575">
        <w:rPr>
          <w:rFonts w:ascii="Times New Roman" w:hAnsi="Times New Roman" w:cs="Times New Roman"/>
          <w:sz w:val="24"/>
          <w:szCs w:val="24"/>
        </w:rPr>
        <w:t>such as a SLCMJ a</w:t>
      </w:r>
      <w:r w:rsidR="007D5D70" w:rsidRPr="002C5575">
        <w:rPr>
          <w:rFonts w:ascii="Times New Roman" w:hAnsi="Times New Roman" w:cs="Times New Roman"/>
          <w:sz w:val="24"/>
          <w:szCs w:val="24"/>
        </w:rPr>
        <w:t>nd single leg broad jump (SLBJ);</w:t>
      </w:r>
      <w:r w:rsidR="009470B7" w:rsidRPr="002C5575">
        <w:rPr>
          <w:rFonts w:ascii="Times New Roman" w:hAnsi="Times New Roman" w:cs="Times New Roman"/>
          <w:sz w:val="24"/>
          <w:szCs w:val="24"/>
        </w:rPr>
        <w:t xml:space="preserve"> would the same limb always record the larger peak force value </w:t>
      </w:r>
      <w:r w:rsidR="007D5D70" w:rsidRPr="002C5575">
        <w:rPr>
          <w:rFonts w:ascii="Times New Roman" w:hAnsi="Times New Roman" w:cs="Times New Roman"/>
          <w:sz w:val="24"/>
          <w:szCs w:val="24"/>
        </w:rPr>
        <w:t>despite the tests being different.</w:t>
      </w:r>
      <w:r>
        <w:rPr>
          <w:rFonts w:ascii="Times New Roman" w:hAnsi="Times New Roman" w:cs="Times New Roman"/>
          <w:sz w:val="24"/>
          <w:szCs w:val="24"/>
        </w:rPr>
        <w:t xml:space="preserve"> Therefore, the aim of the present study was to assess if inte</w:t>
      </w:r>
      <w:r w:rsidR="007D5D70">
        <w:rPr>
          <w:rFonts w:ascii="Times New Roman" w:hAnsi="Times New Roman" w:cs="Times New Roman"/>
          <w:sz w:val="24"/>
          <w:szCs w:val="24"/>
        </w:rPr>
        <w:t xml:space="preserve">r-limb asymmetries </w:t>
      </w:r>
      <w:r w:rsidR="007D5D70" w:rsidRPr="002C5575">
        <w:rPr>
          <w:rFonts w:ascii="Times New Roman" w:hAnsi="Times New Roman" w:cs="Times New Roman"/>
          <w:sz w:val="24"/>
          <w:szCs w:val="24"/>
        </w:rPr>
        <w:t>consistently occurred</w:t>
      </w:r>
      <w:r w:rsidR="007D5D70">
        <w:rPr>
          <w:rFonts w:ascii="Times New Roman" w:hAnsi="Times New Roman" w:cs="Times New Roman"/>
          <w:sz w:val="24"/>
          <w:szCs w:val="24"/>
        </w:rPr>
        <w:t xml:space="preserve"> on</w:t>
      </w:r>
      <w:r>
        <w:rPr>
          <w:rFonts w:ascii="Times New Roman" w:hAnsi="Times New Roman" w:cs="Times New Roman"/>
          <w:sz w:val="24"/>
          <w:szCs w:val="24"/>
        </w:rPr>
        <w:t xml:space="preserve"> the same limb during unilateral strength and power tests. When reporting inter-limb differences, it was hypothesised that both the magnitude and side which favoured the asymmetry would be test and metric-specific, and highly individual in nature, justifying the need for an individual approach to data analysis. </w:t>
      </w:r>
    </w:p>
    <w:p w14:paraId="1AE84326" w14:textId="77777777" w:rsidR="00B16423" w:rsidRDefault="00B16423" w:rsidP="00B16423">
      <w:pPr>
        <w:spacing w:line="480" w:lineRule="auto"/>
        <w:jc w:val="both"/>
        <w:rPr>
          <w:rFonts w:ascii="Times New Roman" w:hAnsi="Times New Roman" w:cs="Times New Roman"/>
          <w:sz w:val="24"/>
          <w:szCs w:val="24"/>
        </w:rPr>
      </w:pPr>
    </w:p>
    <w:p w14:paraId="5B64DA8D" w14:textId="77777777" w:rsidR="00B16423" w:rsidRDefault="00B16423" w:rsidP="00B1642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METHODS </w:t>
      </w:r>
    </w:p>
    <w:p w14:paraId="47213395" w14:textId="77777777" w:rsidR="00B16423" w:rsidRDefault="00B16423" w:rsidP="00B16423">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Experimental Approach to the Problem</w:t>
      </w:r>
    </w:p>
    <w:p w14:paraId="5FC4A53B" w14:textId="10E27DCF" w:rsidR="00B16423" w:rsidRPr="00913D17" w:rsidRDefault="007D5D70" w:rsidP="00B16423">
      <w:pPr>
        <w:spacing w:line="480" w:lineRule="auto"/>
        <w:jc w:val="both"/>
        <w:rPr>
          <w:rFonts w:asciiTheme="majorBidi" w:hAnsiTheme="majorBidi" w:cstheme="majorBidi"/>
          <w:sz w:val="24"/>
          <w:szCs w:val="24"/>
        </w:rPr>
      </w:pPr>
      <w:r w:rsidRPr="002C5575">
        <w:rPr>
          <w:rFonts w:asciiTheme="majorBidi" w:hAnsiTheme="majorBidi" w:cstheme="majorBidi"/>
          <w:sz w:val="24"/>
          <w:szCs w:val="24"/>
        </w:rPr>
        <w:t>The present study required s</w:t>
      </w:r>
      <w:r w:rsidR="004939A0" w:rsidRPr="002C5575">
        <w:rPr>
          <w:rFonts w:asciiTheme="majorBidi" w:hAnsiTheme="majorBidi" w:cstheme="majorBidi"/>
          <w:sz w:val="24"/>
          <w:szCs w:val="24"/>
        </w:rPr>
        <w:t>ubjects to partake in two sessions</w:t>
      </w:r>
      <w:r w:rsidRPr="002C5575">
        <w:rPr>
          <w:rFonts w:asciiTheme="majorBidi" w:hAnsiTheme="majorBidi" w:cstheme="majorBidi"/>
          <w:sz w:val="24"/>
          <w:szCs w:val="24"/>
        </w:rPr>
        <w:t xml:space="preserve">. </w:t>
      </w:r>
      <w:r w:rsidR="004939A0" w:rsidRPr="002C5575">
        <w:rPr>
          <w:rFonts w:asciiTheme="majorBidi" w:hAnsiTheme="majorBidi" w:cstheme="majorBidi"/>
          <w:sz w:val="24"/>
          <w:szCs w:val="24"/>
        </w:rPr>
        <w:t>The first visit was for test familiarisation.</w:t>
      </w:r>
      <w:r w:rsidR="004939A0">
        <w:rPr>
          <w:rFonts w:asciiTheme="majorBidi" w:hAnsiTheme="majorBidi" w:cstheme="majorBidi"/>
          <w:sz w:val="24"/>
          <w:szCs w:val="24"/>
        </w:rPr>
        <w:t xml:space="preserve"> S</w:t>
      </w:r>
      <w:r w:rsidR="00B16423">
        <w:rPr>
          <w:rFonts w:asciiTheme="majorBidi" w:hAnsiTheme="majorBidi" w:cstheme="majorBidi"/>
          <w:sz w:val="24"/>
          <w:szCs w:val="24"/>
        </w:rPr>
        <w:t>ubjects</w:t>
      </w:r>
      <w:r w:rsidR="00B16423" w:rsidRPr="00F71835">
        <w:rPr>
          <w:rFonts w:asciiTheme="majorBidi" w:hAnsiTheme="majorBidi" w:cstheme="majorBidi"/>
          <w:sz w:val="24"/>
          <w:szCs w:val="24"/>
        </w:rPr>
        <w:t xml:space="preserve"> were provided with the relevant test instructions and the opportunity to practice each assessment until they reached a satisfactory level of technical competence</w:t>
      </w:r>
      <w:r w:rsidR="00B16423">
        <w:rPr>
          <w:rFonts w:asciiTheme="majorBidi" w:hAnsiTheme="majorBidi" w:cstheme="majorBidi"/>
          <w:sz w:val="24"/>
          <w:szCs w:val="24"/>
        </w:rPr>
        <w:t xml:space="preserve"> during each test (established by an accredited strength and conditioning coach)</w:t>
      </w:r>
      <w:r w:rsidR="00B16423" w:rsidRPr="00F71835">
        <w:rPr>
          <w:rFonts w:asciiTheme="majorBidi" w:hAnsiTheme="majorBidi" w:cstheme="majorBidi"/>
          <w:sz w:val="24"/>
          <w:szCs w:val="24"/>
        </w:rPr>
        <w:t>.</w:t>
      </w:r>
      <w:r w:rsidR="004939A0">
        <w:rPr>
          <w:rFonts w:asciiTheme="majorBidi" w:hAnsiTheme="majorBidi" w:cstheme="majorBidi"/>
          <w:sz w:val="24"/>
          <w:szCs w:val="24"/>
        </w:rPr>
        <w:t xml:space="preserve"> </w:t>
      </w:r>
      <w:r w:rsidR="004939A0" w:rsidRPr="002C5575">
        <w:rPr>
          <w:rFonts w:asciiTheme="majorBidi" w:hAnsiTheme="majorBidi" w:cstheme="majorBidi"/>
          <w:sz w:val="24"/>
          <w:szCs w:val="24"/>
        </w:rPr>
        <w:t>Data collection took place on the second visit.</w:t>
      </w:r>
      <w:r w:rsidR="00B16423">
        <w:rPr>
          <w:rFonts w:asciiTheme="majorBidi" w:hAnsiTheme="majorBidi" w:cstheme="majorBidi"/>
          <w:sz w:val="24"/>
          <w:szCs w:val="24"/>
        </w:rPr>
        <w:t xml:space="preserve"> Subjects</w:t>
      </w:r>
      <w:r w:rsidR="00B16423" w:rsidRPr="00F71835">
        <w:rPr>
          <w:rFonts w:asciiTheme="majorBidi" w:hAnsiTheme="majorBidi" w:cstheme="majorBidi"/>
          <w:sz w:val="24"/>
          <w:szCs w:val="24"/>
        </w:rPr>
        <w:t xml:space="preserve"> performed three trials on each limb for the following tests: unila</w:t>
      </w:r>
      <w:r w:rsidR="00B16423">
        <w:rPr>
          <w:rFonts w:asciiTheme="majorBidi" w:hAnsiTheme="majorBidi" w:cstheme="majorBidi"/>
          <w:sz w:val="24"/>
          <w:szCs w:val="24"/>
        </w:rPr>
        <w:t>teral isometric squats, S</w:t>
      </w:r>
      <w:r>
        <w:rPr>
          <w:rFonts w:asciiTheme="majorBidi" w:hAnsiTheme="majorBidi" w:cstheme="majorBidi"/>
          <w:sz w:val="24"/>
          <w:szCs w:val="24"/>
        </w:rPr>
        <w:t>LCMJ and SLBJ</w:t>
      </w:r>
      <w:r w:rsidR="00B16423">
        <w:rPr>
          <w:rFonts w:asciiTheme="majorBidi" w:hAnsiTheme="majorBidi" w:cstheme="majorBidi"/>
          <w:sz w:val="24"/>
          <w:szCs w:val="24"/>
        </w:rPr>
        <w:t xml:space="preserve"> </w:t>
      </w:r>
      <w:r w:rsidR="00B16423" w:rsidRPr="00F71835">
        <w:rPr>
          <w:rFonts w:asciiTheme="majorBidi" w:hAnsiTheme="majorBidi" w:cstheme="majorBidi"/>
          <w:sz w:val="24"/>
          <w:szCs w:val="24"/>
        </w:rPr>
        <w:t xml:space="preserve">on a single force platform (PASPORT </w:t>
      </w:r>
      <w:r w:rsidR="00B16423" w:rsidRPr="00F71835">
        <w:rPr>
          <w:rFonts w:asciiTheme="majorBidi" w:hAnsiTheme="majorBidi" w:cstheme="majorBidi"/>
          <w:sz w:val="24"/>
          <w:szCs w:val="24"/>
        </w:rPr>
        <w:lastRenderedPageBreak/>
        <w:t xml:space="preserve">force plate, PASCO Scientific, California, USA) sampling at 1000 Hz. Test order was </w:t>
      </w:r>
      <w:r w:rsidR="00B16423">
        <w:rPr>
          <w:rFonts w:asciiTheme="majorBidi" w:hAnsiTheme="majorBidi" w:cstheme="majorBidi"/>
          <w:sz w:val="24"/>
          <w:szCs w:val="24"/>
        </w:rPr>
        <w:t xml:space="preserve">randomized </w:t>
      </w:r>
      <w:r w:rsidR="00B16423" w:rsidRPr="00F71835">
        <w:rPr>
          <w:rFonts w:asciiTheme="majorBidi" w:hAnsiTheme="majorBidi" w:cstheme="majorBidi"/>
          <w:sz w:val="24"/>
          <w:szCs w:val="24"/>
        </w:rPr>
        <w:t xml:space="preserve">so as to negate any potential learning effects. </w:t>
      </w:r>
    </w:p>
    <w:p w14:paraId="1603BAED" w14:textId="77777777" w:rsidR="007D5D70" w:rsidRDefault="007D5D70" w:rsidP="00B16423">
      <w:pPr>
        <w:spacing w:line="480" w:lineRule="auto"/>
        <w:jc w:val="both"/>
        <w:rPr>
          <w:rFonts w:asciiTheme="majorBidi" w:hAnsiTheme="majorBidi" w:cstheme="majorBidi"/>
          <w:b/>
          <w:bCs/>
          <w:i/>
          <w:iCs/>
          <w:sz w:val="24"/>
          <w:szCs w:val="24"/>
        </w:rPr>
      </w:pPr>
    </w:p>
    <w:p w14:paraId="2826DE8E" w14:textId="77777777" w:rsidR="00B16423" w:rsidRPr="00F71835" w:rsidRDefault="00B16423" w:rsidP="00B16423">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Subjects</w:t>
      </w:r>
    </w:p>
    <w:p w14:paraId="7634B9DC" w14:textId="2310207A" w:rsidR="00B16423" w:rsidRPr="00F71835" w:rsidRDefault="00B16423" w:rsidP="00B16423">
      <w:pPr>
        <w:spacing w:line="480" w:lineRule="auto"/>
        <w:jc w:val="both"/>
        <w:rPr>
          <w:rFonts w:asciiTheme="majorBidi" w:hAnsiTheme="majorBidi" w:cstheme="majorBidi"/>
          <w:sz w:val="24"/>
          <w:szCs w:val="24"/>
        </w:rPr>
      </w:pPr>
      <w:r w:rsidRPr="00F71835">
        <w:rPr>
          <w:rFonts w:asciiTheme="majorBidi" w:hAnsiTheme="majorBidi" w:cstheme="majorBidi"/>
          <w:sz w:val="24"/>
          <w:szCs w:val="24"/>
        </w:rPr>
        <w:t>Twenty-eight recreational sport athletes (age = 27.29 ± 4.6 years; mass = 80.72 ± 9.26 kg; height = 1.81 ± 0.06 m) volunteered to take part in this study. A minimum of 27 participants was determined from a priori power analysis using G*Power (Version 3.1, University of Dusseldorf, Germany) implementing statistical power of 0.8 and a type 1 alpha level of 0.05 which has been used in comparable li</w:t>
      </w:r>
      <w:r>
        <w:rPr>
          <w:rFonts w:asciiTheme="majorBidi" w:hAnsiTheme="majorBidi" w:cstheme="majorBidi"/>
          <w:sz w:val="24"/>
          <w:szCs w:val="24"/>
        </w:rPr>
        <w:t xml:space="preserve">terature </w:t>
      </w:r>
      <w:r w:rsidRPr="003B3EAE">
        <w:rPr>
          <w:rFonts w:asciiTheme="majorBidi" w:hAnsiTheme="majorBidi" w:cstheme="majorBidi"/>
          <w:sz w:val="24"/>
          <w:szCs w:val="24"/>
        </w:rPr>
        <w:t>(</w:t>
      </w:r>
      <w:r w:rsidR="003B3EAE" w:rsidRPr="003B3EAE">
        <w:rPr>
          <w:rFonts w:asciiTheme="majorBidi" w:hAnsiTheme="majorBidi" w:cstheme="majorBidi"/>
          <w:sz w:val="24"/>
          <w:szCs w:val="24"/>
        </w:rPr>
        <w:t>10</w:t>
      </w:r>
      <w:r w:rsidRPr="003B3EAE">
        <w:rPr>
          <w:rFonts w:asciiTheme="majorBidi" w:hAnsiTheme="majorBidi" w:cstheme="majorBidi"/>
          <w:sz w:val="24"/>
          <w:szCs w:val="24"/>
        </w:rPr>
        <w:t xml:space="preserve">). </w:t>
      </w:r>
      <w:r>
        <w:rPr>
          <w:rFonts w:asciiTheme="majorBidi" w:hAnsiTheme="majorBidi" w:cstheme="majorBidi"/>
          <w:sz w:val="24"/>
          <w:szCs w:val="24"/>
        </w:rPr>
        <w:t xml:space="preserve">Inclusion criteria required all </w:t>
      </w:r>
      <w:r w:rsidRPr="00F71835">
        <w:rPr>
          <w:rFonts w:asciiTheme="majorBidi" w:hAnsiTheme="majorBidi" w:cstheme="majorBidi"/>
          <w:sz w:val="24"/>
          <w:szCs w:val="24"/>
        </w:rPr>
        <w:t>participants</w:t>
      </w:r>
      <w:r w:rsidR="004939A0">
        <w:rPr>
          <w:rFonts w:asciiTheme="majorBidi" w:hAnsiTheme="majorBidi" w:cstheme="majorBidi"/>
          <w:sz w:val="24"/>
          <w:szCs w:val="24"/>
        </w:rPr>
        <w:t xml:space="preserve"> to have a minimum of </w:t>
      </w:r>
      <w:r w:rsidR="004939A0" w:rsidRPr="002C5575">
        <w:rPr>
          <w:rFonts w:asciiTheme="majorBidi" w:hAnsiTheme="majorBidi" w:cstheme="majorBidi"/>
          <w:sz w:val="24"/>
          <w:szCs w:val="24"/>
        </w:rPr>
        <w:t>one year of</w:t>
      </w:r>
      <w:r w:rsidR="003249ED">
        <w:rPr>
          <w:rFonts w:asciiTheme="majorBidi" w:hAnsiTheme="majorBidi" w:cstheme="majorBidi"/>
          <w:sz w:val="24"/>
          <w:szCs w:val="24"/>
        </w:rPr>
        <w:t xml:space="preserve"> resistance training experience. </w:t>
      </w:r>
      <w:r w:rsidR="003249ED" w:rsidRPr="002C5575">
        <w:rPr>
          <w:rFonts w:asciiTheme="majorBidi" w:hAnsiTheme="majorBidi" w:cstheme="majorBidi"/>
          <w:sz w:val="24"/>
          <w:szCs w:val="24"/>
        </w:rPr>
        <w:t>In addition,</w:t>
      </w:r>
      <w:r w:rsidRPr="002C5575">
        <w:rPr>
          <w:rFonts w:asciiTheme="majorBidi" w:hAnsiTheme="majorBidi" w:cstheme="majorBidi"/>
          <w:sz w:val="24"/>
          <w:szCs w:val="24"/>
        </w:rPr>
        <w:t xml:space="preserve"> </w:t>
      </w:r>
      <w:r w:rsidR="003249ED" w:rsidRPr="002C5575">
        <w:rPr>
          <w:rFonts w:asciiTheme="majorBidi" w:hAnsiTheme="majorBidi" w:cstheme="majorBidi"/>
          <w:sz w:val="24"/>
          <w:szCs w:val="24"/>
        </w:rPr>
        <w:t xml:space="preserve">participants were </w:t>
      </w:r>
      <w:r w:rsidRPr="002C5575">
        <w:rPr>
          <w:rFonts w:asciiTheme="majorBidi" w:hAnsiTheme="majorBidi" w:cstheme="majorBidi"/>
          <w:sz w:val="24"/>
          <w:szCs w:val="24"/>
        </w:rPr>
        <w:t>excluded from t</w:t>
      </w:r>
      <w:r w:rsidR="003249ED" w:rsidRPr="002C5575">
        <w:rPr>
          <w:rFonts w:asciiTheme="majorBidi" w:hAnsiTheme="majorBidi" w:cstheme="majorBidi"/>
          <w:sz w:val="24"/>
          <w:szCs w:val="24"/>
        </w:rPr>
        <w:t>he study if they had</w:t>
      </w:r>
      <w:r w:rsidRPr="002C5575">
        <w:rPr>
          <w:rFonts w:asciiTheme="majorBidi" w:hAnsiTheme="majorBidi" w:cstheme="majorBidi"/>
          <w:sz w:val="24"/>
          <w:szCs w:val="24"/>
        </w:rPr>
        <w:t xml:space="preserve"> a </w:t>
      </w:r>
      <w:r w:rsidR="003249ED" w:rsidRPr="002C5575">
        <w:rPr>
          <w:rFonts w:asciiTheme="majorBidi" w:hAnsiTheme="majorBidi" w:cstheme="majorBidi"/>
          <w:sz w:val="24"/>
          <w:szCs w:val="24"/>
        </w:rPr>
        <w:t xml:space="preserve">history of </w:t>
      </w:r>
      <w:r w:rsidRPr="002C5575">
        <w:rPr>
          <w:rFonts w:asciiTheme="majorBidi" w:hAnsiTheme="majorBidi" w:cstheme="majorBidi"/>
          <w:sz w:val="24"/>
          <w:szCs w:val="24"/>
        </w:rPr>
        <w:t>lower body injury</w:t>
      </w:r>
      <w:r w:rsidR="003249ED" w:rsidRPr="002C5575">
        <w:rPr>
          <w:rFonts w:asciiTheme="majorBidi" w:hAnsiTheme="majorBidi" w:cstheme="majorBidi"/>
          <w:sz w:val="24"/>
          <w:szCs w:val="24"/>
        </w:rPr>
        <w:t xml:space="preserve"> or were injured</w:t>
      </w:r>
      <w:r w:rsidRPr="002C5575">
        <w:rPr>
          <w:rFonts w:asciiTheme="majorBidi" w:hAnsiTheme="majorBidi" w:cstheme="majorBidi"/>
          <w:sz w:val="24"/>
          <w:szCs w:val="24"/>
        </w:rPr>
        <w:t xml:space="preserve"> at the time of testing.</w:t>
      </w:r>
      <w:r>
        <w:rPr>
          <w:rFonts w:asciiTheme="majorBidi" w:hAnsiTheme="majorBidi" w:cstheme="majorBidi"/>
          <w:sz w:val="24"/>
          <w:szCs w:val="24"/>
        </w:rPr>
        <w:t xml:space="preserve"> </w:t>
      </w:r>
      <w:r w:rsidRPr="00F71835">
        <w:rPr>
          <w:rFonts w:asciiTheme="majorBidi" w:hAnsiTheme="majorBidi" w:cstheme="majorBidi"/>
          <w:sz w:val="24"/>
          <w:szCs w:val="24"/>
        </w:rPr>
        <w:t xml:space="preserve">Participants were required to complete informed consent forms to demonstrate that they were willing and able to undertake all testing protocols. Ethical approval was granted from the Research and Ethics Committee at the London Sport Institute, Middlesex University. </w:t>
      </w:r>
    </w:p>
    <w:p w14:paraId="5FCB29AD" w14:textId="77777777" w:rsidR="00B16423" w:rsidRPr="00F71835" w:rsidRDefault="00B16423" w:rsidP="00B16423">
      <w:pPr>
        <w:spacing w:line="480" w:lineRule="auto"/>
        <w:jc w:val="both"/>
        <w:rPr>
          <w:rFonts w:asciiTheme="majorBidi" w:hAnsiTheme="majorBidi" w:cstheme="majorBidi"/>
          <w:sz w:val="24"/>
          <w:szCs w:val="24"/>
        </w:rPr>
      </w:pPr>
    </w:p>
    <w:p w14:paraId="100ABC53" w14:textId="77777777" w:rsidR="00B16423" w:rsidRPr="00F71835" w:rsidRDefault="00B16423" w:rsidP="00B16423">
      <w:pPr>
        <w:spacing w:line="480" w:lineRule="auto"/>
        <w:jc w:val="both"/>
        <w:rPr>
          <w:rFonts w:asciiTheme="majorBidi" w:hAnsiTheme="majorBidi" w:cstheme="majorBidi"/>
          <w:b/>
          <w:bCs/>
          <w:i/>
          <w:iCs/>
          <w:sz w:val="24"/>
          <w:szCs w:val="24"/>
        </w:rPr>
      </w:pPr>
      <w:r w:rsidRPr="00F71835">
        <w:rPr>
          <w:rFonts w:asciiTheme="majorBidi" w:hAnsiTheme="majorBidi" w:cstheme="majorBidi"/>
          <w:b/>
          <w:bCs/>
          <w:i/>
          <w:iCs/>
          <w:sz w:val="24"/>
          <w:szCs w:val="24"/>
        </w:rPr>
        <w:t>Procedures</w:t>
      </w:r>
    </w:p>
    <w:p w14:paraId="06E773E7" w14:textId="2327B37A" w:rsidR="007D5D70" w:rsidRPr="00913D17" w:rsidRDefault="007D5D70" w:rsidP="007D5D70">
      <w:pPr>
        <w:spacing w:line="480" w:lineRule="auto"/>
        <w:jc w:val="both"/>
        <w:rPr>
          <w:rFonts w:asciiTheme="majorBidi" w:hAnsiTheme="majorBidi" w:cstheme="majorBidi"/>
          <w:sz w:val="24"/>
          <w:szCs w:val="24"/>
        </w:rPr>
      </w:pPr>
      <w:r w:rsidRPr="002C5575">
        <w:rPr>
          <w:rFonts w:asciiTheme="majorBidi" w:hAnsiTheme="majorBidi" w:cstheme="majorBidi"/>
          <w:sz w:val="24"/>
          <w:szCs w:val="24"/>
        </w:rPr>
        <w:t xml:space="preserve">A standardised dynamic warm up was conducted prior to each session consisting of dynamic stretches to the lower body (such as multi-planar lunges, inchworms, and ‘world’s greatest stretch’), in addition to three practice trials at 60, 80, and 100% perceived effort. Two minutes of rest was provided after the final warm up trial before undertaking the first test. It should be noted that although additional metrics could be quantified from the force platform, only comparable metrics across tests were computed given the focus of this study was to establish asymmetry side consistency across the different tests. </w:t>
      </w:r>
      <w:r w:rsidR="00A011B4" w:rsidRPr="002C5575">
        <w:rPr>
          <w:rFonts w:asciiTheme="majorBidi" w:hAnsiTheme="majorBidi" w:cstheme="majorBidi"/>
          <w:sz w:val="24"/>
          <w:szCs w:val="24"/>
        </w:rPr>
        <w:t>Finally, although test order was randomised, trials were always conducted on the left limb first.</w:t>
      </w:r>
      <w:r w:rsidR="00A011B4">
        <w:rPr>
          <w:rFonts w:asciiTheme="majorBidi" w:hAnsiTheme="majorBidi" w:cstheme="majorBidi"/>
          <w:sz w:val="24"/>
          <w:szCs w:val="24"/>
        </w:rPr>
        <w:t xml:space="preserve"> </w:t>
      </w:r>
    </w:p>
    <w:p w14:paraId="78561DC9" w14:textId="77777777" w:rsidR="007D5D70" w:rsidRPr="007D5D70" w:rsidRDefault="007D5D70" w:rsidP="00B16423">
      <w:pPr>
        <w:spacing w:line="480" w:lineRule="auto"/>
        <w:jc w:val="both"/>
        <w:rPr>
          <w:rFonts w:asciiTheme="majorBidi" w:hAnsiTheme="majorBidi" w:cstheme="majorBidi"/>
          <w:iCs/>
          <w:sz w:val="24"/>
          <w:szCs w:val="24"/>
        </w:rPr>
      </w:pPr>
    </w:p>
    <w:p w14:paraId="1AC1A30E" w14:textId="77777777" w:rsidR="00B16423" w:rsidRDefault="00B16423" w:rsidP="00B16423">
      <w:pPr>
        <w:spacing w:line="480" w:lineRule="auto"/>
        <w:jc w:val="both"/>
        <w:rPr>
          <w:rFonts w:asciiTheme="majorBidi" w:hAnsiTheme="majorBidi" w:cstheme="majorBidi"/>
          <w:sz w:val="24"/>
          <w:szCs w:val="24"/>
        </w:rPr>
      </w:pPr>
      <w:r w:rsidRPr="00F71835">
        <w:rPr>
          <w:rFonts w:asciiTheme="majorBidi" w:hAnsiTheme="majorBidi" w:cstheme="majorBidi"/>
          <w:i/>
          <w:iCs/>
          <w:sz w:val="24"/>
          <w:szCs w:val="24"/>
        </w:rPr>
        <w:t xml:space="preserve">Unilateral Isometric Squat. </w:t>
      </w:r>
      <w:r w:rsidRPr="00F71835">
        <w:rPr>
          <w:rFonts w:asciiTheme="majorBidi" w:hAnsiTheme="majorBidi" w:cstheme="majorBidi"/>
          <w:sz w:val="24"/>
          <w:szCs w:val="24"/>
        </w:rPr>
        <w:t>A custom built ‘ISO rig’ (Absolute Performance, Cardiff, UK) was used for this t</w:t>
      </w:r>
      <w:r>
        <w:rPr>
          <w:rFonts w:asciiTheme="majorBidi" w:hAnsiTheme="majorBidi" w:cstheme="majorBidi"/>
          <w:sz w:val="24"/>
          <w:szCs w:val="24"/>
        </w:rPr>
        <w:t>est protocol</w:t>
      </w:r>
      <w:r w:rsidRPr="00F71835">
        <w:rPr>
          <w:rFonts w:asciiTheme="majorBidi" w:hAnsiTheme="majorBidi" w:cstheme="majorBidi"/>
          <w:sz w:val="24"/>
          <w:szCs w:val="24"/>
        </w:rPr>
        <w:t xml:space="preserve">. A goniometer was used to measure </w:t>
      </w:r>
      <w:r w:rsidR="000D205F">
        <w:rPr>
          <w:rFonts w:asciiTheme="majorBidi" w:hAnsiTheme="majorBidi" w:cstheme="majorBidi"/>
          <w:sz w:val="24"/>
          <w:szCs w:val="24"/>
        </w:rPr>
        <w:t>~</w:t>
      </w:r>
      <w:r w:rsidRPr="00F71835">
        <w:rPr>
          <w:rFonts w:asciiTheme="majorBidi" w:hAnsiTheme="majorBidi" w:cstheme="majorBidi"/>
          <w:sz w:val="24"/>
          <w:szCs w:val="24"/>
        </w:rPr>
        <w:t>14</w:t>
      </w:r>
      <w:r>
        <w:rPr>
          <w:rFonts w:asciiTheme="majorBidi" w:hAnsiTheme="majorBidi" w:cstheme="majorBidi"/>
          <w:sz w:val="24"/>
          <w:szCs w:val="24"/>
        </w:rPr>
        <w:t xml:space="preserve">0° of hip and knee flexion </w:t>
      </w:r>
      <w:r w:rsidRPr="003B3EAE">
        <w:rPr>
          <w:rFonts w:asciiTheme="majorBidi" w:hAnsiTheme="majorBidi" w:cstheme="majorBidi"/>
          <w:sz w:val="24"/>
          <w:szCs w:val="24"/>
        </w:rPr>
        <w:t>(</w:t>
      </w:r>
      <w:r w:rsidR="003B3EAE" w:rsidRPr="003B3EAE">
        <w:rPr>
          <w:rFonts w:asciiTheme="majorBidi" w:hAnsiTheme="majorBidi" w:cstheme="majorBidi"/>
          <w:sz w:val="24"/>
          <w:szCs w:val="24"/>
        </w:rPr>
        <w:t>14</w:t>
      </w:r>
      <w:r w:rsidRPr="003B3EAE">
        <w:rPr>
          <w:rFonts w:asciiTheme="majorBidi" w:hAnsiTheme="majorBidi" w:cstheme="majorBidi"/>
          <w:sz w:val="24"/>
          <w:szCs w:val="24"/>
        </w:rPr>
        <w:t xml:space="preserve">) for </w:t>
      </w:r>
      <w:r w:rsidRPr="00F71835">
        <w:rPr>
          <w:rFonts w:asciiTheme="majorBidi" w:hAnsiTheme="majorBidi" w:cstheme="majorBidi"/>
          <w:sz w:val="24"/>
          <w:szCs w:val="24"/>
        </w:rPr>
        <w:t xml:space="preserve">each participant, with full extension of the knee joint equalling 180°. The fulcrum of the goniometer was positioned on the lateral condyle of the femur. The stabilisation arm was lined up along the line of the fibula (in the direction of the lateral malleolus) and the movement arm was lined up with the femur (pointing towards the greater trochanter at the hip). The non-stance limb was required to hover next to the working limb, so as to try and keep the hips level during the isometric squat action; thus, aiding balance and stability. Once in position, participants were required to remain motionless for 2-seconds, without applying any upwards force (which was verified by manual detection of the force-time curve in real time). Each trial was then initiated by a “3, 2, 1, Go” countdown and participants were instructed to try and extend their knees and hips by driving up as “fast and hard as </w:t>
      </w:r>
      <w:r w:rsidRPr="003B3EAE">
        <w:rPr>
          <w:rFonts w:asciiTheme="majorBidi" w:hAnsiTheme="majorBidi" w:cstheme="majorBidi"/>
          <w:sz w:val="24"/>
          <w:szCs w:val="24"/>
        </w:rPr>
        <w:t>possible” (</w:t>
      </w:r>
      <w:r w:rsidR="003B3EAE" w:rsidRPr="003B3EAE">
        <w:rPr>
          <w:rFonts w:asciiTheme="majorBidi" w:hAnsiTheme="majorBidi" w:cstheme="majorBidi"/>
          <w:sz w:val="24"/>
          <w:szCs w:val="24"/>
        </w:rPr>
        <w:t>10</w:t>
      </w:r>
      <w:r w:rsidRPr="003B3EAE">
        <w:rPr>
          <w:rFonts w:asciiTheme="majorBidi" w:hAnsiTheme="majorBidi" w:cstheme="majorBidi"/>
          <w:sz w:val="24"/>
          <w:szCs w:val="24"/>
        </w:rPr>
        <w:t xml:space="preserve">) against </w:t>
      </w:r>
      <w:r w:rsidRPr="00F71835">
        <w:rPr>
          <w:rFonts w:asciiTheme="majorBidi" w:hAnsiTheme="majorBidi" w:cstheme="majorBidi"/>
          <w:sz w:val="24"/>
          <w:szCs w:val="24"/>
        </w:rPr>
        <w:t>the bar for</w:t>
      </w:r>
      <w:r w:rsidR="007D5D70">
        <w:rPr>
          <w:rFonts w:asciiTheme="majorBidi" w:hAnsiTheme="majorBidi" w:cstheme="majorBidi"/>
          <w:sz w:val="24"/>
          <w:szCs w:val="24"/>
        </w:rPr>
        <w:t xml:space="preserve"> three seconds. PF</w:t>
      </w:r>
      <w:r>
        <w:rPr>
          <w:rFonts w:asciiTheme="majorBidi" w:hAnsiTheme="majorBidi" w:cstheme="majorBidi"/>
          <w:sz w:val="24"/>
          <w:szCs w:val="24"/>
        </w:rPr>
        <w:t xml:space="preserve"> was recorded and was defined as </w:t>
      </w:r>
      <w:r w:rsidRPr="00F71835">
        <w:rPr>
          <w:rFonts w:asciiTheme="majorBidi" w:hAnsiTheme="majorBidi" w:cstheme="majorBidi"/>
          <w:sz w:val="24"/>
          <w:szCs w:val="24"/>
        </w:rPr>
        <w:t>the maximum force generated during the test</w:t>
      </w:r>
      <w:r>
        <w:rPr>
          <w:rFonts w:asciiTheme="majorBidi" w:hAnsiTheme="majorBidi" w:cstheme="majorBidi"/>
          <w:sz w:val="24"/>
          <w:szCs w:val="24"/>
        </w:rPr>
        <w:t xml:space="preserve"> and reported as absolute values</w:t>
      </w:r>
      <w:r w:rsidRPr="00F71835">
        <w:rPr>
          <w:rFonts w:asciiTheme="majorBidi" w:hAnsiTheme="majorBidi" w:cstheme="majorBidi"/>
          <w:sz w:val="24"/>
          <w:szCs w:val="24"/>
        </w:rPr>
        <w:t xml:space="preserve">. </w:t>
      </w:r>
    </w:p>
    <w:p w14:paraId="11990D75" w14:textId="77777777" w:rsidR="00B16423" w:rsidRPr="00F71835" w:rsidRDefault="00B16423" w:rsidP="00B16423">
      <w:pPr>
        <w:spacing w:line="480" w:lineRule="auto"/>
        <w:jc w:val="both"/>
        <w:rPr>
          <w:rFonts w:asciiTheme="majorBidi" w:hAnsiTheme="majorBidi" w:cstheme="majorBidi"/>
          <w:sz w:val="24"/>
          <w:szCs w:val="24"/>
        </w:rPr>
      </w:pPr>
    </w:p>
    <w:p w14:paraId="37A5EBEA" w14:textId="33DC10CA" w:rsidR="00B16423" w:rsidRPr="000D205F" w:rsidRDefault="00B16423" w:rsidP="00B16423">
      <w:pPr>
        <w:spacing w:line="480" w:lineRule="auto"/>
        <w:jc w:val="both"/>
        <w:rPr>
          <w:rFonts w:asciiTheme="majorBidi" w:hAnsiTheme="majorBidi" w:cstheme="majorBidi"/>
          <w:color w:val="FF0000"/>
          <w:sz w:val="24"/>
          <w:szCs w:val="24"/>
        </w:rPr>
      </w:pPr>
      <w:r w:rsidRPr="00F71835">
        <w:rPr>
          <w:rFonts w:asciiTheme="majorBidi" w:hAnsiTheme="majorBidi" w:cstheme="majorBidi"/>
          <w:i/>
          <w:iCs/>
          <w:sz w:val="24"/>
          <w:szCs w:val="24"/>
        </w:rPr>
        <w:t xml:space="preserve">Unilateral Countermovement Jump. </w:t>
      </w:r>
      <w:r w:rsidRPr="00F71835">
        <w:rPr>
          <w:rFonts w:asciiTheme="majorBidi" w:hAnsiTheme="majorBidi" w:cstheme="majorBidi"/>
          <w:sz w:val="24"/>
          <w:szCs w:val="24"/>
        </w:rPr>
        <w:t xml:space="preserve">Participants were instructed to step onto the force plate with their designated test leg with hands placed on hips which were required to remain in the same position for the duration of the test. The jump was initiated by performing a countermovement to a self-selected depth before accelerating vertically as explosively as possible into the </w:t>
      </w:r>
      <w:r w:rsidRPr="003B3EAE">
        <w:rPr>
          <w:rFonts w:asciiTheme="majorBidi" w:hAnsiTheme="majorBidi" w:cstheme="majorBidi"/>
          <w:sz w:val="24"/>
          <w:szCs w:val="24"/>
        </w:rPr>
        <w:t>air (</w:t>
      </w:r>
      <w:r w:rsidR="003B3EAE" w:rsidRPr="003B3EAE">
        <w:rPr>
          <w:rFonts w:ascii="Times New Roman" w:hAnsi="Times New Roman" w:cs="Times New Roman"/>
          <w:sz w:val="24"/>
          <w:szCs w:val="24"/>
          <w:lang w:val="en-US"/>
        </w:rPr>
        <w:t>34</w:t>
      </w:r>
      <w:r w:rsidRPr="003B3EAE">
        <w:rPr>
          <w:rFonts w:asciiTheme="majorBidi" w:hAnsiTheme="majorBidi" w:cstheme="majorBidi"/>
          <w:sz w:val="24"/>
          <w:szCs w:val="24"/>
        </w:rPr>
        <w:t xml:space="preserve">). </w:t>
      </w:r>
      <w:r w:rsidR="000D205F">
        <w:rPr>
          <w:rFonts w:asciiTheme="majorBidi" w:hAnsiTheme="majorBidi" w:cstheme="majorBidi"/>
          <w:sz w:val="24"/>
          <w:szCs w:val="24"/>
        </w:rPr>
        <w:t>The test leg was</w:t>
      </w:r>
      <w:r w:rsidRPr="003B3EAE">
        <w:rPr>
          <w:rFonts w:asciiTheme="majorBidi" w:hAnsiTheme="majorBidi" w:cstheme="majorBidi"/>
          <w:sz w:val="24"/>
          <w:szCs w:val="24"/>
        </w:rPr>
        <w:t xml:space="preserve"> required to remain fully extended throughout the flight phase of the jump before landing back onto the force plate as per the set up.</w:t>
      </w:r>
      <w:r w:rsidR="000D205F">
        <w:rPr>
          <w:rFonts w:asciiTheme="majorBidi" w:hAnsiTheme="majorBidi" w:cstheme="majorBidi"/>
          <w:sz w:val="24"/>
          <w:szCs w:val="24"/>
        </w:rPr>
        <w:t xml:space="preserve"> </w:t>
      </w:r>
      <w:r w:rsidR="000D205F" w:rsidRPr="002C5575">
        <w:rPr>
          <w:rFonts w:asciiTheme="majorBidi" w:hAnsiTheme="majorBidi" w:cstheme="majorBidi"/>
          <w:sz w:val="24"/>
          <w:szCs w:val="24"/>
        </w:rPr>
        <w:t>The non-test leg was flexed at the hip to ~90° for the duration of each trial.</w:t>
      </w:r>
      <w:r w:rsidRPr="003B3EAE">
        <w:rPr>
          <w:rFonts w:asciiTheme="majorBidi" w:hAnsiTheme="majorBidi" w:cstheme="majorBidi"/>
          <w:sz w:val="24"/>
          <w:szCs w:val="24"/>
        </w:rPr>
        <w:t xml:space="preserve"> Each trial was separated by 60 seconds of rest. Recorded metrics for each trial included PF (propulsive), eccentric and </w:t>
      </w:r>
      <w:r w:rsidRPr="003B3EAE">
        <w:rPr>
          <w:rFonts w:asciiTheme="majorBidi" w:hAnsiTheme="majorBidi" w:cstheme="majorBidi"/>
          <w:sz w:val="24"/>
          <w:szCs w:val="24"/>
        </w:rPr>
        <w:lastRenderedPageBreak/>
        <w:t>concentric impulse, with definitions for their quantification conducted in line with suggestions by Chavda</w:t>
      </w:r>
      <w:r w:rsidR="003B3EAE" w:rsidRPr="003B3EAE">
        <w:rPr>
          <w:rFonts w:asciiTheme="majorBidi" w:hAnsiTheme="majorBidi" w:cstheme="majorBidi"/>
          <w:sz w:val="24"/>
          <w:szCs w:val="24"/>
        </w:rPr>
        <w:t xml:space="preserve"> et al. (7</w:t>
      </w:r>
      <w:r w:rsidRPr="003B3EAE">
        <w:rPr>
          <w:rFonts w:asciiTheme="majorBidi" w:hAnsiTheme="majorBidi" w:cstheme="majorBidi"/>
          <w:sz w:val="24"/>
          <w:szCs w:val="24"/>
        </w:rPr>
        <w:t xml:space="preserve">). Peak propulsive </w:t>
      </w:r>
      <w:r>
        <w:rPr>
          <w:rFonts w:asciiTheme="majorBidi" w:hAnsiTheme="majorBidi" w:cstheme="majorBidi"/>
          <w:sz w:val="24"/>
          <w:szCs w:val="24"/>
        </w:rPr>
        <w:t>force was</w:t>
      </w:r>
      <w:r w:rsidRPr="00F71835">
        <w:rPr>
          <w:rFonts w:asciiTheme="majorBidi" w:hAnsiTheme="majorBidi" w:cstheme="majorBidi"/>
          <w:sz w:val="24"/>
          <w:szCs w:val="24"/>
        </w:rPr>
        <w:t xml:space="preserve"> d</w:t>
      </w:r>
      <w:r>
        <w:rPr>
          <w:rFonts w:asciiTheme="majorBidi" w:hAnsiTheme="majorBidi" w:cstheme="majorBidi"/>
          <w:sz w:val="24"/>
          <w:szCs w:val="24"/>
        </w:rPr>
        <w:t xml:space="preserve">efined as the maximum </w:t>
      </w:r>
      <w:r w:rsidRPr="00F71835">
        <w:rPr>
          <w:rFonts w:asciiTheme="majorBidi" w:hAnsiTheme="majorBidi" w:cstheme="majorBidi"/>
          <w:sz w:val="24"/>
          <w:szCs w:val="24"/>
        </w:rPr>
        <w:t>force ou</w:t>
      </w:r>
      <w:r>
        <w:rPr>
          <w:rFonts w:asciiTheme="majorBidi" w:hAnsiTheme="majorBidi" w:cstheme="majorBidi"/>
          <w:sz w:val="24"/>
          <w:szCs w:val="24"/>
        </w:rPr>
        <w:t>tput</w:t>
      </w:r>
      <w:r w:rsidRPr="00F71835">
        <w:rPr>
          <w:rFonts w:asciiTheme="majorBidi" w:hAnsiTheme="majorBidi" w:cstheme="majorBidi"/>
          <w:sz w:val="24"/>
          <w:szCs w:val="24"/>
        </w:rPr>
        <w:t xml:space="preserve"> during the propulsiv</w:t>
      </w:r>
      <w:r>
        <w:rPr>
          <w:rFonts w:asciiTheme="majorBidi" w:hAnsiTheme="majorBidi" w:cstheme="majorBidi"/>
          <w:sz w:val="24"/>
          <w:szCs w:val="24"/>
        </w:rPr>
        <w:t>e phase of the jump</w:t>
      </w:r>
      <w:r w:rsidRPr="00F71835">
        <w:rPr>
          <w:rFonts w:asciiTheme="majorBidi" w:hAnsiTheme="majorBidi" w:cstheme="majorBidi"/>
          <w:sz w:val="24"/>
          <w:szCs w:val="24"/>
        </w:rPr>
        <w:t xml:space="preserve">. </w:t>
      </w:r>
      <w:r w:rsidR="003249ED" w:rsidRPr="002C5575">
        <w:rPr>
          <w:rFonts w:asciiTheme="majorBidi" w:hAnsiTheme="majorBidi" w:cstheme="majorBidi"/>
          <w:sz w:val="24"/>
          <w:szCs w:val="24"/>
        </w:rPr>
        <w:t>Eccentric impulse was</w:t>
      </w:r>
      <w:r w:rsidR="00825CEC" w:rsidRPr="002C5575">
        <w:rPr>
          <w:rFonts w:asciiTheme="majorBidi" w:hAnsiTheme="majorBidi" w:cstheme="majorBidi"/>
          <w:sz w:val="24"/>
          <w:szCs w:val="24"/>
        </w:rPr>
        <w:t xml:space="preserve"> defined as the</w:t>
      </w:r>
      <w:r w:rsidRPr="002C5575">
        <w:rPr>
          <w:rFonts w:asciiTheme="majorBidi" w:hAnsiTheme="majorBidi" w:cstheme="majorBidi"/>
          <w:sz w:val="24"/>
          <w:szCs w:val="24"/>
        </w:rPr>
        <w:t xml:space="preserve"> force exert</w:t>
      </w:r>
      <w:r w:rsidR="003249ED" w:rsidRPr="002C5575">
        <w:rPr>
          <w:rFonts w:asciiTheme="majorBidi" w:hAnsiTheme="majorBidi" w:cstheme="majorBidi"/>
          <w:sz w:val="24"/>
          <w:szCs w:val="24"/>
        </w:rPr>
        <w:t xml:space="preserve">ed </w:t>
      </w:r>
      <w:r w:rsidRPr="002C5575">
        <w:rPr>
          <w:rFonts w:asciiTheme="majorBidi" w:hAnsiTheme="majorBidi" w:cstheme="majorBidi"/>
          <w:sz w:val="24"/>
          <w:szCs w:val="24"/>
        </w:rPr>
        <w:t>multiplied by the time taken to produce it</w:t>
      </w:r>
      <w:r w:rsidR="003249ED" w:rsidRPr="002C5575">
        <w:rPr>
          <w:rFonts w:asciiTheme="majorBidi" w:hAnsiTheme="majorBidi" w:cstheme="majorBidi"/>
          <w:sz w:val="24"/>
          <w:szCs w:val="24"/>
        </w:rPr>
        <w:t xml:space="preserve"> during the eccentric braking phase of the jump</w:t>
      </w:r>
      <w:r w:rsidRPr="002C5575">
        <w:rPr>
          <w:rFonts w:asciiTheme="majorBidi" w:hAnsiTheme="majorBidi" w:cstheme="majorBidi"/>
          <w:sz w:val="24"/>
          <w:szCs w:val="24"/>
        </w:rPr>
        <w:t>.</w:t>
      </w:r>
      <w:r w:rsidR="003249ED" w:rsidRPr="002C5575">
        <w:rPr>
          <w:rFonts w:asciiTheme="majorBidi" w:hAnsiTheme="majorBidi" w:cstheme="majorBidi"/>
          <w:sz w:val="24"/>
          <w:szCs w:val="24"/>
        </w:rPr>
        <w:t xml:space="preserve"> Concentric impulse was de</w:t>
      </w:r>
      <w:r w:rsidR="00825CEC" w:rsidRPr="002C5575">
        <w:rPr>
          <w:rFonts w:asciiTheme="majorBidi" w:hAnsiTheme="majorBidi" w:cstheme="majorBidi"/>
          <w:sz w:val="24"/>
          <w:szCs w:val="24"/>
        </w:rPr>
        <w:t>fined as the</w:t>
      </w:r>
      <w:r w:rsidR="003249ED" w:rsidRPr="002C5575">
        <w:rPr>
          <w:rFonts w:asciiTheme="majorBidi" w:hAnsiTheme="majorBidi" w:cstheme="majorBidi"/>
          <w:sz w:val="24"/>
          <w:szCs w:val="24"/>
        </w:rPr>
        <w:t xml:space="preserve"> force multiplied by the time taken to produce it during the concentric propulsion phase of the jump</w:t>
      </w:r>
      <w:r w:rsidR="00A011B4" w:rsidRPr="002C5575">
        <w:rPr>
          <w:rFonts w:asciiTheme="majorBidi" w:hAnsiTheme="majorBidi" w:cstheme="majorBidi"/>
          <w:sz w:val="24"/>
          <w:szCs w:val="24"/>
        </w:rPr>
        <w:t xml:space="preserve"> (7)</w:t>
      </w:r>
      <w:r w:rsidR="003249ED" w:rsidRPr="002C5575">
        <w:rPr>
          <w:rFonts w:asciiTheme="majorBidi" w:hAnsiTheme="majorBidi" w:cstheme="majorBidi"/>
          <w:sz w:val="24"/>
          <w:szCs w:val="24"/>
        </w:rPr>
        <w:t>.</w:t>
      </w:r>
      <w:r w:rsidR="003249ED">
        <w:rPr>
          <w:rFonts w:asciiTheme="majorBidi" w:hAnsiTheme="majorBidi" w:cstheme="majorBidi"/>
          <w:sz w:val="24"/>
          <w:szCs w:val="24"/>
        </w:rPr>
        <w:t xml:space="preserve"> </w:t>
      </w:r>
      <w:r w:rsidRPr="00EE69D1">
        <w:rPr>
          <w:rFonts w:asciiTheme="majorBidi" w:hAnsiTheme="majorBidi" w:cstheme="majorBidi"/>
          <w:sz w:val="24"/>
          <w:szCs w:val="24"/>
        </w:rPr>
        <w:t xml:space="preserve"> </w:t>
      </w:r>
    </w:p>
    <w:p w14:paraId="73584280" w14:textId="77777777" w:rsidR="00B16423" w:rsidRPr="00065DA9" w:rsidRDefault="00B16423" w:rsidP="00B16423">
      <w:pPr>
        <w:spacing w:line="480" w:lineRule="auto"/>
        <w:jc w:val="both"/>
        <w:rPr>
          <w:rFonts w:asciiTheme="majorBidi" w:hAnsiTheme="majorBidi" w:cstheme="majorBidi"/>
          <w:iCs/>
          <w:sz w:val="24"/>
          <w:szCs w:val="24"/>
        </w:rPr>
      </w:pPr>
    </w:p>
    <w:p w14:paraId="1BFC282E" w14:textId="77777777" w:rsidR="00B16423" w:rsidRPr="00F71835" w:rsidRDefault="00B16423" w:rsidP="00B16423">
      <w:pPr>
        <w:spacing w:line="480" w:lineRule="auto"/>
        <w:jc w:val="both"/>
        <w:rPr>
          <w:rFonts w:asciiTheme="majorBidi" w:hAnsiTheme="majorBidi" w:cstheme="majorBidi"/>
          <w:sz w:val="24"/>
          <w:szCs w:val="24"/>
        </w:rPr>
      </w:pPr>
      <w:r w:rsidRPr="00F71835">
        <w:rPr>
          <w:rFonts w:asciiTheme="majorBidi" w:hAnsiTheme="majorBidi" w:cstheme="majorBidi"/>
          <w:i/>
          <w:iCs/>
          <w:sz w:val="24"/>
          <w:szCs w:val="24"/>
        </w:rPr>
        <w:t xml:space="preserve">Unilateral Broad Jump. </w:t>
      </w:r>
      <w:r w:rsidRPr="00F71835">
        <w:rPr>
          <w:rFonts w:asciiTheme="majorBidi" w:hAnsiTheme="majorBidi" w:cstheme="majorBidi"/>
          <w:sz w:val="24"/>
          <w:szCs w:val="24"/>
        </w:rPr>
        <w:t xml:space="preserve">Participants stood on the force plate with their designated test leg and hands placed on their hips. The jump was initiated by performing a countermovement to a self-selected depth before jumping forward as far as </w:t>
      </w:r>
      <w:r w:rsidRPr="003B3EAE">
        <w:rPr>
          <w:rFonts w:asciiTheme="majorBidi" w:hAnsiTheme="majorBidi" w:cstheme="majorBidi"/>
          <w:sz w:val="24"/>
          <w:szCs w:val="24"/>
        </w:rPr>
        <w:t>possible (</w:t>
      </w:r>
      <w:r w:rsidR="003B3EAE" w:rsidRPr="003B3EAE">
        <w:rPr>
          <w:rFonts w:ascii="Times New Roman" w:hAnsi="Times New Roman" w:cs="Times New Roman"/>
          <w:sz w:val="24"/>
          <w:szCs w:val="24"/>
          <w:lang w:val="en-US"/>
        </w:rPr>
        <w:t>34</w:t>
      </w:r>
      <w:r w:rsidRPr="003B3EAE">
        <w:rPr>
          <w:rFonts w:asciiTheme="majorBidi" w:hAnsiTheme="majorBidi" w:cstheme="majorBidi"/>
          <w:sz w:val="24"/>
          <w:szCs w:val="24"/>
        </w:rPr>
        <w:t xml:space="preserve">). The </w:t>
      </w:r>
      <w:r w:rsidRPr="00F71835">
        <w:rPr>
          <w:rFonts w:asciiTheme="majorBidi" w:hAnsiTheme="majorBidi" w:cstheme="majorBidi"/>
          <w:sz w:val="24"/>
          <w:szCs w:val="24"/>
        </w:rPr>
        <w:t xml:space="preserve">fronts of the participants’ </w:t>
      </w:r>
      <w:r>
        <w:rPr>
          <w:rFonts w:asciiTheme="majorBidi" w:hAnsiTheme="majorBidi" w:cstheme="majorBidi"/>
          <w:sz w:val="24"/>
          <w:szCs w:val="24"/>
        </w:rPr>
        <w:t>shoes</w:t>
      </w:r>
      <w:r w:rsidRPr="00F71835">
        <w:rPr>
          <w:rFonts w:asciiTheme="majorBidi" w:hAnsiTheme="majorBidi" w:cstheme="majorBidi"/>
          <w:sz w:val="24"/>
          <w:szCs w:val="24"/>
        </w:rPr>
        <w:t xml:space="preserve"> were placed on the edge of the force plate (without going over) so that the edge of the force plate also served as 0 cm. The tape measure</w:t>
      </w:r>
      <w:r>
        <w:rPr>
          <w:rFonts w:asciiTheme="majorBidi" w:hAnsiTheme="majorBidi" w:cstheme="majorBidi"/>
          <w:sz w:val="24"/>
          <w:szCs w:val="24"/>
        </w:rPr>
        <w:t xml:space="preserve"> (which was fixed to the floor)</w:t>
      </w:r>
      <w:r w:rsidRPr="00F71835">
        <w:rPr>
          <w:rFonts w:asciiTheme="majorBidi" w:hAnsiTheme="majorBidi" w:cstheme="majorBidi"/>
          <w:sz w:val="24"/>
          <w:szCs w:val="24"/>
        </w:rPr>
        <w:t xml:space="preserve"> ran perpendicular to the force plate for distance to be measured from the </w:t>
      </w:r>
      <w:r>
        <w:rPr>
          <w:rFonts w:asciiTheme="majorBidi" w:hAnsiTheme="majorBidi" w:cstheme="majorBidi"/>
          <w:sz w:val="24"/>
          <w:szCs w:val="24"/>
        </w:rPr>
        <w:t xml:space="preserve">heel of the </w:t>
      </w:r>
      <w:r w:rsidRPr="00F71835">
        <w:rPr>
          <w:rFonts w:asciiTheme="majorBidi" w:hAnsiTheme="majorBidi" w:cstheme="majorBidi"/>
          <w:sz w:val="24"/>
          <w:szCs w:val="24"/>
        </w:rPr>
        <w:t>landing</w:t>
      </w:r>
      <w:r>
        <w:rPr>
          <w:rFonts w:asciiTheme="majorBidi" w:hAnsiTheme="majorBidi" w:cstheme="majorBidi"/>
          <w:sz w:val="24"/>
          <w:szCs w:val="24"/>
        </w:rPr>
        <w:t xml:space="preserve"> foot</w:t>
      </w:r>
      <w:r w:rsidRPr="00F71835">
        <w:rPr>
          <w:rFonts w:asciiTheme="majorBidi" w:hAnsiTheme="majorBidi" w:cstheme="majorBidi"/>
          <w:sz w:val="24"/>
          <w:szCs w:val="24"/>
        </w:rPr>
        <w:t>. Participants were required to “stick the landing” and avoid toppling forward, otherwise trials were excluded and subsequently retaken after a 60-second rest interval. Recorded</w:t>
      </w:r>
      <w:r>
        <w:rPr>
          <w:rFonts w:asciiTheme="majorBidi" w:hAnsiTheme="majorBidi" w:cstheme="majorBidi"/>
          <w:sz w:val="24"/>
          <w:szCs w:val="24"/>
        </w:rPr>
        <w:t xml:space="preserve"> metrics included PF, </w:t>
      </w:r>
      <w:r w:rsidRPr="00F71835">
        <w:rPr>
          <w:rFonts w:asciiTheme="majorBidi" w:hAnsiTheme="majorBidi" w:cstheme="majorBidi"/>
          <w:sz w:val="24"/>
          <w:szCs w:val="24"/>
        </w:rPr>
        <w:t xml:space="preserve">eccentric and concentric impulse respectively. </w:t>
      </w:r>
    </w:p>
    <w:p w14:paraId="339E33F8" w14:textId="77777777" w:rsidR="00B16423" w:rsidRPr="00F71835" w:rsidRDefault="00B16423" w:rsidP="00B16423">
      <w:pPr>
        <w:spacing w:line="480" w:lineRule="auto"/>
        <w:jc w:val="both"/>
        <w:rPr>
          <w:rFonts w:asciiTheme="majorBidi" w:hAnsiTheme="majorBidi" w:cstheme="majorBidi"/>
          <w:i/>
          <w:iCs/>
          <w:sz w:val="24"/>
          <w:szCs w:val="24"/>
        </w:rPr>
      </w:pPr>
    </w:p>
    <w:p w14:paraId="573C80F7" w14:textId="77777777" w:rsidR="00B16423" w:rsidRPr="00F71835" w:rsidRDefault="00B16423" w:rsidP="00B16423">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Statistical Analyse</w:t>
      </w:r>
      <w:r w:rsidRPr="00F71835">
        <w:rPr>
          <w:rFonts w:asciiTheme="majorBidi" w:hAnsiTheme="majorBidi" w:cstheme="majorBidi"/>
          <w:b/>
          <w:bCs/>
          <w:i/>
          <w:iCs/>
          <w:sz w:val="24"/>
          <w:szCs w:val="24"/>
        </w:rPr>
        <w:t>s</w:t>
      </w:r>
    </w:p>
    <w:p w14:paraId="472C75B2" w14:textId="77777777" w:rsidR="00B16423" w:rsidRPr="003B3EAE" w:rsidRDefault="00B16423" w:rsidP="00B16423">
      <w:pPr>
        <w:spacing w:line="480" w:lineRule="auto"/>
        <w:jc w:val="both"/>
        <w:rPr>
          <w:rFonts w:asciiTheme="majorBidi" w:hAnsiTheme="majorBidi" w:cstheme="majorBidi"/>
          <w:sz w:val="24"/>
          <w:szCs w:val="24"/>
        </w:rPr>
      </w:pPr>
      <w:r w:rsidRPr="00F71835">
        <w:rPr>
          <w:rFonts w:asciiTheme="majorBidi" w:hAnsiTheme="majorBidi" w:cstheme="majorBidi"/>
          <w:sz w:val="24"/>
          <w:szCs w:val="24"/>
        </w:rPr>
        <w:t>Initially all force-time data were exported to Microsoft Excel™, expressed as means and standard deviations (SD), and later transferred into SPSS (V.24, Chicago, IL, USA) for additional analyses. Within-session reliability was quantified for each metric in both test sessions using the coefficient of variation (CV: SD[trial</w:t>
      </w:r>
      <w:r>
        <w:rPr>
          <w:rFonts w:asciiTheme="majorBidi" w:hAnsiTheme="majorBidi" w:cstheme="majorBidi"/>
          <w:sz w:val="24"/>
          <w:szCs w:val="24"/>
        </w:rPr>
        <w:t>s 1-3]/average[trials 1-3]*100) and</w:t>
      </w:r>
      <w:r w:rsidRPr="00F71835">
        <w:rPr>
          <w:rFonts w:asciiTheme="majorBidi" w:hAnsiTheme="majorBidi" w:cstheme="majorBidi"/>
          <w:sz w:val="24"/>
          <w:szCs w:val="24"/>
        </w:rPr>
        <w:t xml:space="preserve"> intraclass correlation coefficient (I</w:t>
      </w:r>
      <w:r>
        <w:rPr>
          <w:rFonts w:asciiTheme="majorBidi" w:hAnsiTheme="majorBidi" w:cstheme="majorBidi"/>
          <w:sz w:val="24"/>
          <w:szCs w:val="24"/>
        </w:rPr>
        <w:t xml:space="preserve">CC) with absolute agreement. </w:t>
      </w:r>
      <w:r w:rsidRPr="00F71835">
        <w:rPr>
          <w:rFonts w:asciiTheme="majorBidi" w:hAnsiTheme="majorBidi" w:cstheme="majorBidi"/>
          <w:sz w:val="24"/>
          <w:szCs w:val="24"/>
        </w:rPr>
        <w:t>CV values &lt; 10% were deemed</w:t>
      </w:r>
      <w:r>
        <w:rPr>
          <w:rFonts w:asciiTheme="majorBidi" w:hAnsiTheme="majorBidi" w:cstheme="majorBidi"/>
          <w:sz w:val="24"/>
          <w:szCs w:val="24"/>
        </w:rPr>
        <w:t xml:space="preserve"> </w:t>
      </w:r>
      <w:r w:rsidRPr="003B3EAE">
        <w:rPr>
          <w:rFonts w:asciiTheme="majorBidi" w:hAnsiTheme="majorBidi" w:cstheme="majorBidi"/>
          <w:sz w:val="24"/>
          <w:szCs w:val="24"/>
        </w:rPr>
        <w:t>acceptable (</w:t>
      </w:r>
      <w:r w:rsidR="003B3EAE" w:rsidRPr="003B3EAE">
        <w:rPr>
          <w:rFonts w:asciiTheme="majorBidi" w:hAnsiTheme="majorBidi" w:cstheme="majorBidi"/>
          <w:sz w:val="24"/>
          <w:szCs w:val="24"/>
        </w:rPr>
        <w:t>9</w:t>
      </w:r>
      <w:r w:rsidRPr="003B3EAE">
        <w:rPr>
          <w:rFonts w:asciiTheme="majorBidi" w:hAnsiTheme="majorBidi" w:cstheme="majorBidi"/>
          <w:sz w:val="24"/>
          <w:szCs w:val="24"/>
        </w:rPr>
        <w:t xml:space="preserve">) and ICC values were interpreted in line with suggestions by Koo and </w:t>
      </w:r>
      <w:r w:rsidRPr="003B3EAE">
        <w:rPr>
          <w:rFonts w:asciiTheme="majorBidi" w:hAnsiTheme="majorBidi" w:cstheme="majorBidi"/>
          <w:sz w:val="24"/>
          <w:szCs w:val="24"/>
        </w:rPr>
        <w:lastRenderedPageBreak/>
        <w:t>Li</w:t>
      </w:r>
      <w:r w:rsidR="003B3EAE" w:rsidRPr="003B3EAE">
        <w:rPr>
          <w:rFonts w:asciiTheme="majorBidi" w:hAnsiTheme="majorBidi" w:cstheme="majorBidi"/>
          <w:sz w:val="24"/>
          <w:szCs w:val="24"/>
        </w:rPr>
        <w:t>, (22</w:t>
      </w:r>
      <w:r w:rsidRPr="003B3EAE">
        <w:rPr>
          <w:rFonts w:asciiTheme="majorBidi" w:hAnsiTheme="majorBidi" w:cstheme="majorBidi"/>
          <w:sz w:val="24"/>
          <w:szCs w:val="24"/>
        </w:rPr>
        <w:t>) where scores &gt; 0.9 = excellent, 0.75-0.9 = good, 0.5-0.75 = moderate, and &lt; 0.5 = poor. Noting that asymmetries may favour either the left or right limbs, a Kappa coefficient was calculated to determine the levels of agreement between asymmetries for a common metric across two tests (</w:t>
      </w:r>
      <w:r w:rsidR="003B3EAE" w:rsidRPr="003B3EAE">
        <w:rPr>
          <w:rFonts w:asciiTheme="majorBidi" w:hAnsiTheme="majorBidi" w:cstheme="majorBidi"/>
          <w:sz w:val="24"/>
          <w:szCs w:val="24"/>
        </w:rPr>
        <w:t>8</w:t>
      </w:r>
      <w:r w:rsidRPr="003B3EAE">
        <w:rPr>
          <w:rFonts w:asciiTheme="majorBidi" w:hAnsiTheme="majorBidi" w:cstheme="majorBidi"/>
          <w:sz w:val="24"/>
          <w:szCs w:val="24"/>
        </w:rPr>
        <w:t xml:space="preserve">). </w:t>
      </w:r>
      <w:r w:rsidR="008056A5" w:rsidRPr="002C5575">
        <w:rPr>
          <w:rFonts w:asciiTheme="majorBidi" w:hAnsiTheme="majorBidi" w:cstheme="majorBidi"/>
          <w:sz w:val="24"/>
          <w:szCs w:val="24"/>
        </w:rPr>
        <w:t>This method was chosen because the Kappa coefficient describes the proportion of agreement between two methods after any agreement by chance has been removed (8).</w:t>
      </w:r>
      <w:r w:rsidR="00064D85" w:rsidRPr="002C5575">
        <w:rPr>
          <w:rFonts w:asciiTheme="majorBidi" w:hAnsiTheme="majorBidi" w:cstheme="majorBidi"/>
          <w:sz w:val="24"/>
          <w:szCs w:val="24"/>
        </w:rPr>
        <w:t xml:space="preserve"> In addition, only</w:t>
      </w:r>
      <w:r w:rsidR="008056A5" w:rsidRPr="002C5575">
        <w:rPr>
          <w:rFonts w:asciiTheme="majorBidi" w:hAnsiTheme="majorBidi" w:cstheme="majorBidi"/>
          <w:sz w:val="24"/>
          <w:szCs w:val="24"/>
        </w:rPr>
        <w:t xml:space="preserve"> metrics</w:t>
      </w:r>
      <w:r w:rsidR="00064D85" w:rsidRPr="002C5575">
        <w:rPr>
          <w:rFonts w:asciiTheme="majorBidi" w:hAnsiTheme="majorBidi" w:cstheme="majorBidi"/>
          <w:sz w:val="24"/>
          <w:szCs w:val="24"/>
        </w:rPr>
        <w:t xml:space="preserve"> that were common</w:t>
      </w:r>
      <w:r w:rsidR="008056A5" w:rsidRPr="002C5575">
        <w:rPr>
          <w:rFonts w:asciiTheme="majorBidi" w:hAnsiTheme="majorBidi" w:cstheme="majorBidi"/>
          <w:sz w:val="24"/>
          <w:szCs w:val="24"/>
        </w:rPr>
        <w:t xml:space="preserve"> across</w:t>
      </w:r>
      <w:r w:rsidR="00064D85" w:rsidRPr="002C5575">
        <w:rPr>
          <w:rFonts w:asciiTheme="majorBidi" w:hAnsiTheme="majorBidi" w:cstheme="majorBidi"/>
          <w:sz w:val="24"/>
          <w:szCs w:val="24"/>
        </w:rPr>
        <w:t xml:space="preserve"> more than one test</w:t>
      </w:r>
      <w:r w:rsidR="008056A5" w:rsidRPr="002C5575">
        <w:rPr>
          <w:rFonts w:asciiTheme="majorBidi" w:hAnsiTheme="majorBidi" w:cstheme="majorBidi"/>
          <w:sz w:val="24"/>
          <w:szCs w:val="24"/>
        </w:rPr>
        <w:t xml:space="preserve"> were used for this statistic (e.g., PF for all tests</w:t>
      </w:r>
      <w:r w:rsidR="00064D85" w:rsidRPr="002C5575">
        <w:rPr>
          <w:rFonts w:asciiTheme="majorBidi" w:hAnsiTheme="majorBidi" w:cstheme="majorBidi"/>
          <w:sz w:val="24"/>
          <w:szCs w:val="24"/>
        </w:rPr>
        <w:t>). Intuitively, this made sense given that asymmetries have been shown to be both task and metric-specific (4,26,27,28,29).</w:t>
      </w:r>
      <w:r w:rsidR="008056A5">
        <w:rPr>
          <w:rFonts w:asciiTheme="majorBidi" w:hAnsiTheme="majorBidi" w:cstheme="majorBidi"/>
          <w:sz w:val="24"/>
          <w:szCs w:val="24"/>
        </w:rPr>
        <w:t xml:space="preserve"> </w:t>
      </w:r>
      <w:r w:rsidRPr="003B3EAE">
        <w:rPr>
          <w:rFonts w:asciiTheme="majorBidi" w:hAnsiTheme="majorBidi" w:cstheme="majorBidi"/>
          <w:sz w:val="24"/>
          <w:szCs w:val="24"/>
        </w:rPr>
        <w:t xml:space="preserve">Kappa values were interpreted in line with suggestions from </w:t>
      </w:r>
      <w:r w:rsidR="003B3EAE" w:rsidRPr="003B3EAE">
        <w:rPr>
          <w:rFonts w:asciiTheme="majorBidi" w:hAnsiTheme="majorBidi" w:cstheme="majorBidi"/>
          <w:sz w:val="24"/>
          <w:szCs w:val="24"/>
        </w:rPr>
        <w:t>Viera and Garrett (3</w:t>
      </w:r>
      <w:r w:rsidRPr="003B3EAE">
        <w:rPr>
          <w:rFonts w:asciiTheme="majorBidi" w:hAnsiTheme="majorBidi" w:cstheme="majorBidi"/>
          <w:sz w:val="24"/>
          <w:szCs w:val="24"/>
        </w:rPr>
        <w:t>5), where 0.01-0.20 = slight, 0.21-0.40 = fair, 0.41-0.60 = moderate, 0.61-</w:t>
      </w:r>
      <w:r>
        <w:rPr>
          <w:rFonts w:asciiTheme="majorBidi" w:hAnsiTheme="majorBidi" w:cstheme="majorBidi"/>
          <w:sz w:val="24"/>
          <w:szCs w:val="24"/>
        </w:rPr>
        <w:t xml:space="preserve">0.80 = substantial, and 0.81-0.99 = almost perfect. </w:t>
      </w:r>
      <w:r w:rsidRPr="00F71835">
        <w:rPr>
          <w:rFonts w:asciiTheme="majorBidi" w:hAnsiTheme="majorBidi" w:cstheme="majorBidi"/>
          <w:sz w:val="24"/>
          <w:szCs w:val="24"/>
        </w:rPr>
        <w:t>Finally, inter-limb asymmetries were quantified as a percentage difference between limbs (from best trials) using the formula</w:t>
      </w:r>
      <w:r>
        <w:rPr>
          <w:rFonts w:asciiTheme="majorBidi" w:hAnsiTheme="majorBidi" w:cstheme="majorBidi"/>
          <w:sz w:val="24"/>
          <w:szCs w:val="24"/>
        </w:rPr>
        <w:t xml:space="preserve"> </w:t>
      </w:r>
      <w:r w:rsidRPr="003B3EAE">
        <w:rPr>
          <w:rFonts w:asciiTheme="majorBidi" w:hAnsiTheme="majorBidi" w:cstheme="majorBidi"/>
          <w:sz w:val="24"/>
          <w:szCs w:val="24"/>
        </w:rPr>
        <w:t xml:space="preserve">proposed by </w:t>
      </w:r>
      <w:r w:rsidR="003B3EAE" w:rsidRPr="003B3EAE">
        <w:rPr>
          <w:rFonts w:asciiTheme="majorBidi" w:hAnsiTheme="majorBidi" w:cstheme="majorBidi"/>
          <w:sz w:val="24"/>
          <w:szCs w:val="24"/>
        </w:rPr>
        <w:t>Bishop et al. (4</w:t>
      </w:r>
      <w:r w:rsidRPr="003B3EAE">
        <w:rPr>
          <w:rFonts w:asciiTheme="majorBidi" w:hAnsiTheme="majorBidi" w:cstheme="majorBidi"/>
          <w:sz w:val="24"/>
          <w:szCs w:val="24"/>
        </w:rPr>
        <w:t>). Given that the quantification of asymmetry was focused on percentage difference between limbs, no reference value was required (</w:t>
      </w:r>
      <w:r w:rsidR="003B3EAE" w:rsidRPr="003B3EAE">
        <w:rPr>
          <w:rFonts w:asciiTheme="majorBidi" w:hAnsiTheme="majorBidi" w:cstheme="majorBidi"/>
          <w:sz w:val="24"/>
          <w:szCs w:val="24"/>
        </w:rPr>
        <w:t>4</w:t>
      </w:r>
      <w:r w:rsidRPr="003B3EAE">
        <w:rPr>
          <w:rFonts w:asciiTheme="majorBidi" w:hAnsiTheme="majorBidi" w:cstheme="majorBidi"/>
          <w:sz w:val="24"/>
          <w:szCs w:val="24"/>
        </w:rPr>
        <w:t xml:space="preserve">). In addition, it has been suggested </w:t>
      </w:r>
      <w:r>
        <w:rPr>
          <w:rFonts w:asciiTheme="majorBidi" w:hAnsiTheme="majorBidi" w:cstheme="majorBidi"/>
          <w:sz w:val="24"/>
          <w:szCs w:val="24"/>
        </w:rPr>
        <w:t xml:space="preserve">that the easiest way to utilise this formula is in Microsoft </w:t>
      </w:r>
      <w:r w:rsidRPr="003B3EAE">
        <w:rPr>
          <w:rFonts w:asciiTheme="majorBidi" w:hAnsiTheme="majorBidi" w:cstheme="majorBidi"/>
          <w:sz w:val="24"/>
          <w:szCs w:val="24"/>
        </w:rPr>
        <w:t>Excel™ (</w:t>
      </w:r>
      <w:r w:rsidR="003B3EAE" w:rsidRPr="003B3EAE">
        <w:rPr>
          <w:rFonts w:asciiTheme="majorBidi" w:hAnsiTheme="majorBidi" w:cstheme="majorBidi"/>
          <w:sz w:val="24"/>
          <w:szCs w:val="24"/>
        </w:rPr>
        <w:t>4</w:t>
      </w:r>
      <w:r w:rsidRPr="003B3EAE">
        <w:rPr>
          <w:rFonts w:asciiTheme="majorBidi" w:hAnsiTheme="majorBidi" w:cstheme="majorBidi"/>
          <w:sz w:val="24"/>
          <w:szCs w:val="24"/>
        </w:rPr>
        <w:t>); thus, a modification was made via the use of an ‘IF function’ (Equation). Consequently, if an asymmetry score was positive, the right limb had the largest score between limbs and vice versa for a negative asymmetry outcome (</w:t>
      </w:r>
      <w:r w:rsidR="003B3EAE" w:rsidRPr="003B3EAE">
        <w:rPr>
          <w:rFonts w:asciiTheme="majorBidi" w:hAnsiTheme="majorBidi" w:cstheme="majorBidi"/>
          <w:sz w:val="24"/>
          <w:szCs w:val="24"/>
        </w:rPr>
        <w:t>19</w:t>
      </w:r>
      <w:r w:rsidRPr="003B3EAE">
        <w:rPr>
          <w:rFonts w:asciiTheme="majorBidi" w:hAnsiTheme="majorBidi" w:cstheme="majorBidi"/>
          <w:sz w:val="24"/>
          <w:szCs w:val="24"/>
        </w:rPr>
        <w:t xml:space="preserve">). </w:t>
      </w:r>
    </w:p>
    <w:p w14:paraId="0FAC1212" w14:textId="77777777" w:rsidR="00B16423" w:rsidRPr="00F71835" w:rsidRDefault="00B16423" w:rsidP="00B16423">
      <w:pPr>
        <w:spacing w:line="480" w:lineRule="auto"/>
        <w:jc w:val="both"/>
        <w:rPr>
          <w:rFonts w:asciiTheme="majorBidi" w:hAnsiTheme="majorBidi" w:cstheme="majorBidi"/>
          <w:sz w:val="24"/>
          <w:szCs w:val="24"/>
        </w:rPr>
      </w:pPr>
    </w:p>
    <w:p w14:paraId="573DFF4D" w14:textId="77777777" w:rsidR="00B16423" w:rsidRDefault="00B16423" w:rsidP="00B16423">
      <w:pPr>
        <w:spacing w:line="480" w:lineRule="auto"/>
        <w:jc w:val="both"/>
        <w:rPr>
          <w:rFonts w:asciiTheme="majorBidi" w:hAnsiTheme="majorBidi" w:cstheme="majorBidi"/>
          <w:sz w:val="24"/>
          <w:szCs w:val="24"/>
        </w:rPr>
      </w:pPr>
      <w:r w:rsidRPr="004E09C6">
        <w:rPr>
          <w:rFonts w:asciiTheme="majorBidi" w:hAnsiTheme="majorBidi" w:cstheme="majorBidi"/>
          <w:i/>
          <w:iCs/>
          <w:sz w:val="24"/>
          <w:szCs w:val="24"/>
        </w:rPr>
        <w:t xml:space="preserve">Equation: </w:t>
      </w:r>
      <w:r>
        <w:rPr>
          <w:rFonts w:asciiTheme="majorBidi" w:hAnsiTheme="majorBidi" w:cstheme="majorBidi"/>
          <w:iCs/>
          <w:sz w:val="24"/>
          <w:szCs w:val="24"/>
        </w:rPr>
        <w:t>((</w:t>
      </w:r>
      <w:r>
        <w:rPr>
          <w:rFonts w:asciiTheme="majorBidi" w:hAnsiTheme="majorBidi" w:cstheme="majorBidi"/>
          <w:sz w:val="24"/>
          <w:szCs w:val="24"/>
        </w:rPr>
        <w:t xml:space="preserve">100/(maximum value))*(minimum value)*-1+100)*IF(left&lt;right,1,-1) </w:t>
      </w:r>
    </w:p>
    <w:p w14:paraId="007800BF" w14:textId="77777777" w:rsidR="00B16423" w:rsidRDefault="00B16423" w:rsidP="00B16423">
      <w:pPr>
        <w:spacing w:line="480" w:lineRule="auto"/>
        <w:jc w:val="both"/>
        <w:rPr>
          <w:rFonts w:asciiTheme="majorBidi" w:hAnsiTheme="majorBidi" w:cstheme="majorBidi"/>
          <w:sz w:val="24"/>
          <w:szCs w:val="24"/>
        </w:rPr>
      </w:pPr>
    </w:p>
    <w:p w14:paraId="16C155B6" w14:textId="77777777" w:rsidR="00B16423" w:rsidRDefault="00B16423" w:rsidP="00B16423">
      <w:p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RESULTS </w:t>
      </w:r>
    </w:p>
    <w:p w14:paraId="1201F50C"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Mean values, asymmetries, and reliability data are presented in Table 1. Results showed moderate to excellent reliability (ICC) and acceptable consistency (CV) for each test and metric. Levels of agreement for inter-limb asymmetry scores were calculated using the Kappa </w:t>
      </w:r>
      <w:r>
        <w:rPr>
          <w:rFonts w:asciiTheme="majorBidi" w:hAnsiTheme="majorBidi" w:cstheme="majorBidi"/>
          <w:sz w:val="24"/>
          <w:szCs w:val="24"/>
        </w:rPr>
        <w:lastRenderedPageBreak/>
        <w:t xml:space="preserve">coefficient and are shown and described in Table 2. Results showed slight to fair levels of agreement (range = -0.34 to 0.32) for all comparisons with the exception of concentric impulse between the SLCMJ and SLBJ (0.79) which showed substantial levels of agreement. Individual asymmetry values for PF (across all tests) are shown in Figure 1, and for eccentric and concentric impulse for the SLCMJ and SLBJ in Figure 2. </w:t>
      </w:r>
      <w:r w:rsidR="00BF3BA1" w:rsidRPr="002C5575">
        <w:rPr>
          <w:rFonts w:asciiTheme="majorBidi" w:hAnsiTheme="majorBidi" w:cstheme="majorBidi"/>
          <w:sz w:val="24"/>
          <w:szCs w:val="24"/>
        </w:rPr>
        <w:t>It has been suggested that asymmetries may only be ‘real’ if greater than the test variability</w:t>
      </w:r>
      <w:r w:rsidR="006C5F59" w:rsidRPr="002C5575">
        <w:rPr>
          <w:rFonts w:asciiTheme="majorBidi" w:hAnsiTheme="majorBidi" w:cstheme="majorBidi"/>
          <w:sz w:val="24"/>
          <w:szCs w:val="24"/>
        </w:rPr>
        <w:t xml:space="preserve"> (3,5,12), which in this study is represented by the CV value. Thus, the reader is encouraged to pay particular attention to Figures 1 and 2 where the asymmetry bars surpass the dotted line (which represents the largest CV value for those given metrics).</w:t>
      </w:r>
      <w:r w:rsidR="006C5F59">
        <w:rPr>
          <w:rFonts w:asciiTheme="majorBidi" w:hAnsiTheme="majorBidi" w:cstheme="majorBidi"/>
          <w:sz w:val="24"/>
          <w:szCs w:val="24"/>
        </w:rPr>
        <w:t xml:space="preserve"> </w:t>
      </w:r>
    </w:p>
    <w:p w14:paraId="702288BD" w14:textId="77777777" w:rsidR="001A60D7" w:rsidRDefault="001A60D7" w:rsidP="00B16423">
      <w:pPr>
        <w:spacing w:line="480" w:lineRule="auto"/>
        <w:jc w:val="both"/>
        <w:rPr>
          <w:rFonts w:asciiTheme="majorBidi" w:hAnsiTheme="majorBidi" w:cstheme="majorBidi"/>
          <w:sz w:val="24"/>
          <w:szCs w:val="24"/>
        </w:rPr>
      </w:pPr>
    </w:p>
    <w:p w14:paraId="77E4A5C4" w14:textId="77777777" w:rsidR="001A60D7" w:rsidRPr="002C5575" w:rsidRDefault="001A60D7" w:rsidP="001A60D7">
      <w:pPr>
        <w:spacing w:line="480" w:lineRule="auto"/>
        <w:jc w:val="center"/>
        <w:rPr>
          <w:rFonts w:asciiTheme="majorBidi" w:hAnsiTheme="majorBidi" w:cstheme="majorBidi"/>
          <w:sz w:val="24"/>
          <w:szCs w:val="24"/>
        </w:rPr>
      </w:pPr>
      <w:r w:rsidRPr="002C5575">
        <w:rPr>
          <w:rFonts w:asciiTheme="majorBidi" w:hAnsiTheme="majorBidi" w:cstheme="majorBidi"/>
          <w:sz w:val="24"/>
          <w:szCs w:val="24"/>
        </w:rPr>
        <w:t>*** INSERT TABLES 1-2 ABOUT HERE ***</w:t>
      </w:r>
    </w:p>
    <w:p w14:paraId="19B85667" w14:textId="77777777" w:rsidR="001A60D7" w:rsidRDefault="001A60D7" w:rsidP="001A60D7">
      <w:pPr>
        <w:spacing w:line="480" w:lineRule="auto"/>
        <w:jc w:val="center"/>
        <w:rPr>
          <w:rFonts w:asciiTheme="majorBidi" w:hAnsiTheme="majorBidi" w:cstheme="majorBidi"/>
          <w:sz w:val="24"/>
          <w:szCs w:val="24"/>
        </w:rPr>
      </w:pPr>
      <w:r w:rsidRPr="002C5575">
        <w:rPr>
          <w:rFonts w:asciiTheme="majorBidi" w:hAnsiTheme="majorBidi" w:cstheme="majorBidi"/>
          <w:sz w:val="24"/>
          <w:szCs w:val="24"/>
        </w:rPr>
        <w:t>*** INSERT FIGURES 1-2 ABOUT HERE ***</w:t>
      </w:r>
    </w:p>
    <w:p w14:paraId="4FD76D2E" w14:textId="77777777" w:rsidR="00320B7D" w:rsidRDefault="00320B7D"/>
    <w:p w14:paraId="16846DA8" w14:textId="77777777" w:rsidR="00B16423" w:rsidRDefault="00B16423" w:rsidP="00B16423">
      <w:pPr>
        <w:spacing w:line="480" w:lineRule="auto"/>
        <w:jc w:val="both"/>
        <w:rPr>
          <w:rFonts w:asciiTheme="majorBidi" w:hAnsiTheme="majorBidi" w:cstheme="majorBidi"/>
          <w:b/>
          <w:sz w:val="24"/>
          <w:szCs w:val="24"/>
        </w:rPr>
      </w:pPr>
      <w:r>
        <w:rPr>
          <w:rFonts w:asciiTheme="majorBidi" w:hAnsiTheme="majorBidi" w:cstheme="majorBidi"/>
          <w:b/>
          <w:sz w:val="24"/>
          <w:szCs w:val="24"/>
        </w:rPr>
        <w:t>DISCUSSION</w:t>
      </w:r>
    </w:p>
    <w:p w14:paraId="716F87BE"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aim of the present study was to show whether inter-limb asymmetries were favoured for the same limb during the unilateral isometric squat, SLCMJ and SLBJ tests. Test reliability was generally good to excellent; however, levels of agreement for measures of peak force, eccentric and concentric impulse across tests was poor, with the exception of concentric impulse between the SLCMJ and SLBJ. This was also represented by individual asymmetry analyses (Figures 1-2). These data indicate that asymmetries are test-specific, highly individual in nature, and rarely favour the same limb when comparing across tests. </w:t>
      </w:r>
    </w:p>
    <w:p w14:paraId="5EB76953"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Mean scores, mean asymmetry, and reliability data are presented in Table 1. When asymmetry values are considered, previous research has suggested that ~10% might be considered a potential threshold where reductions in </w:t>
      </w:r>
      <w:r w:rsidRPr="003B3EAE">
        <w:rPr>
          <w:rFonts w:asciiTheme="majorBidi" w:hAnsiTheme="majorBidi" w:cstheme="majorBidi"/>
          <w:sz w:val="24"/>
          <w:szCs w:val="24"/>
        </w:rPr>
        <w:t>performance (</w:t>
      </w:r>
      <w:r w:rsidR="003B3EAE" w:rsidRPr="003B3EAE">
        <w:rPr>
          <w:rFonts w:asciiTheme="majorBidi" w:hAnsiTheme="majorBidi" w:cstheme="majorBidi"/>
          <w:sz w:val="24"/>
          <w:szCs w:val="24"/>
        </w:rPr>
        <w:t>6</w:t>
      </w:r>
      <w:r w:rsidRPr="003B3EAE">
        <w:rPr>
          <w:rFonts w:asciiTheme="majorBidi" w:hAnsiTheme="majorBidi" w:cstheme="majorBidi"/>
          <w:sz w:val="24"/>
          <w:szCs w:val="24"/>
        </w:rPr>
        <w:t xml:space="preserve">) and heightened injury risk occur </w:t>
      </w:r>
      <w:r w:rsidRPr="003B3EAE">
        <w:rPr>
          <w:rFonts w:asciiTheme="majorBidi" w:hAnsiTheme="majorBidi" w:cstheme="majorBidi"/>
          <w:sz w:val="24"/>
          <w:szCs w:val="24"/>
        </w:rPr>
        <w:lastRenderedPageBreak/>
        <w:t>(</w:t>
      </w:r>
      <w:r w:rsidR="003B3EAE" w:rsidRPr="003B3EAE">
        <w:rPr>
          <w:rFonts w:asciiTheme="majorBidi" w:hAnsiTheme="majorBidi" w:cstheme="majorBidi"/>
          <w:sz w:val="24"/>
          <w:szCs w:val="24"/>
        </w:rPr>
        <w:t>23,32</w:t>
      </w:r>
      <w:r w:rsidRPr="003B3EAE">
        <w:rPr>
          <w:rFonts w:asciiTheme="majorBidi" w:hAnsiTheme="majorBidi" w:cstheme="majorBidi"/>
          <w:sz w:val="24"/>
          <w:szCs w:val="24"/>
        </w:rPr>
        <w:t xml:space="preserve">). Therefore, mean asymmetry values in the present study </w:t>
      </w:r>
      <w:r>
        <w:rPr>
          <w:rFonts w:asciiTheme="majorBidi" w:hAnsiTheme="majorBidi" w:cstheme="majorBidi"/>
          <w:sz w:val="24"/>
          <w:szCs w:val="24"/>
        </w:rPr>
        <w:t xml:space="preserve">can be considered small. Of note though (and although these mean values are small), it is interesting to see all jumping-based asymmetry values favour the left limb (as represented by negative scores) and the isometric squat favouring the right limb (positive asymmetry outcome). Thus, the asymmetry values alone highlight how one limb may be favoured over the other from task to task. Although somewhat anecdotal, it is plausible that the </w:t>
      </w:r>
      <w:r w:rsidRPr="003B3EAE">
        <w:rPr>
          <w:rFonts w:asciiTheme="majorBidi" w:hAnsiTheme="majorBidi" w:cstheme="majorBidi"/>
          <w:sz w:val="24"/>
          <w:szCs w:val="24"/>
        </w:rPr>
        <w:t>majority of subjects’ right limb was their dominant (often defined by the preferred kicking limb) (</w:t>
      </w:r>
      <w:r w:rsidR="003B3EAE" w:rsidRPr="003B3EAE">
        <w:rPr>
          <w:rFonts w:asciiTheme="majorBidi" w:hAnsiTheme="majorBidi" w:cstheme="majorBidi"/>
          <w:sz w:val="24"/>
          <w:szCs w:val="24"/>
        </w:rPr>
        <w:t>15,16,17</w:t>
      </w:r>
      <w:r w:rsidRPr="003B3EAE">
        <w:rPr>
          <w:rFonts w:asciiTheme="majorBidi" w:hAnsiTheme="majorBidi" w:cstheme="majorBidi"/>
          <w:sz w:val="24"/>
          <w:szCs w:val="24"/>
        </w:rPr>
        <w:t>), which has been shown to be outperformed by the non-dominant limb in previous research (</w:t>
      </w:r>
      <w:r w:rsidR="003B3EAE" w:rsidRPr="003B3EAE">
        <w:rPr>
          <w:rFonts w:asciiTheme="majorBidi" w:hAnsiTheme="majorBidi" w:cstheme="majorBidi"/>
          <w:sz w:val="24"/>
          <w:szCs w:val="24"/>
        </w:rPr>
        <w:t>13,15</w:t>
      </w:r>
      <w:r w:rsidRPr="003B3EAE">
        <w:rPr>
          <w:rFonts w:asciiTheme="majorBidi" w:hAnsiTheme="majorBidi" w:cstheme="majorBidi"/>
          <w:sz w:val="24"/>
          <w:szCs w:val="24"/>
        </w:rPr>
        <w:t>). However</w:t>
      </w:r>
      <w:r>
        <w:rPr>
          <w:rFonts w:asciiTheme="majorBidi" w:hAnsiTheme="majorBidi" w:cstheme="majorBidi"/>
          <w:sz w:val="24"/>
          <w:szCs w:val="24"/>
        </w:rPr>
        <w:t xml:space="preserve">, due to the wide range of sporting experience from the present sample and the calculation of asymmetry focused on a percentage difference at a given time point, no reference value (i.e., dominant vs. non-dominant) was defined. </w:t>
      </w:r>
    </w:p>
    <w:p w14:paraId="3D50852C"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2 shows the results of the Kappa agreement between metric analysis. The Kappa coefficient describes the proportion of agreement between two methods after any agreement by chance has been </w:t>
      </w:r>
      <w:r w:rsidRPr="003B3EAE">
        <w:rPr>
          <w:rFonts w:asciiTheme="majorBidi" w:hAnsiTheme="majorBidi" w:cstheme="majorBidi"/>
          <w:sz w:val="24"/>
          <w:szCs w:val="24"/>
        </w:rPr>
        <w:t>removed (</w:t>
      </w:r>
      <w:r w:rsidR="003B3EAE" w:rsidRPr="003B3EAE">
        <w:rPr>
          <w:rFonts w:asciiTheme="majorBidi" w:hAnsiTheme="majorBidi" w:cstheme="majorBidi"/>
          <w:sz w:val="24"/>
          <w:szCs w:val="24"/>
        </w:rPr>
        <w:t>8</w:t>
      </w:r>
      <w:r w:rsidRPr="003B3EAE">
        <w:rPr>
          <w:rFonts w:asciiTheme="majorBidi" w:hAnsiTheme="majorBidi" w:cstheme="majorBidi"/>
          <w:sz w:val="24"/>
          <w:szCs w:val="24"/>
        </w:rPr>
        <w:t xml:space="preserve">). </w:t>
      </w:r>
      <w:r>
        <w:rPr>
          <w:rFonts w:asciiTheme="majorBidi" w:hAnsiTheme="majorBidi" w:cstheme="majorBidi"/>
          <w:sz w:val="24"/>
          <w:szCs w:val="24"/>
        </w:rPr>
        <w:t>In the present study, PF was a common metric across all tests; thus, asymmetry values were comparable (Figure 1). Noting that the present study aimed to determine how common it was for asymmetries to be present on the same limb, the Kappa values highlight slight to fair levels of agreement for PF asymmetries. For example, if an asymmetry was favoured on the right limb during the SLCMJ, it was likely that the right limb was not favoured during the isometric squat (Kappa</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0.04) or SLBJ (Kappa = 0.05), remembering that this statistic removes the possibility that this agreement may have occurred by chance. Where jumps were concerned, eccentric and concentric impulse metrics were comparable; thus, asymmetry scores for these metrics were compared (Figure 2). Of note, a comparison between concentric impulse across both jumps showed substantial levels of agreement, indicating that asymmetries for this metric were often present on the same side. This may indicate that a similar strategy was adopted prior to take off regardless of whether </w:t>
      </w:r>
      <w:r>
        <w:rPr>
          <w:rFonts w:asciiTheme="majorBidi" w:hAnsiTheme="majorBidi" w:cstheme="majorBidi"/>
          <w:sz w:val="24"/>
          <w:szCs w:val="24"/>
        </w:rPr>
        <w:lastRenderedPageBreak/>
        <w:t xml:space="preserve">the focus was maximal jump height or distance. As a result, asymmetries often appear to be affected in the same way for this metric during vertical and horizontal jumping tasks. When all other comparisons were drawn for impulse asymmetries, slight to fair levels of agreement were present, again highlighting the individual nature of asymmetries across tests. This is in agreement with previous research </w:t>
      </w:r>
      <w:r w:rsidRPr="003B3EAE">
        <w:rPr>
          <w:rFonts w:asciiTheme="majorBidi" w:hAnsiTheme="majorBidi" w:cstheme="majorBidi"/>
          <w:sz w:val="24"/>
          <w:szCs w:val="24"/>
        </w:rPr>
        <w:t>(</w:t>
      </w:r>
      <w:r w:rsidR="003B3EAE" w:rsidRPr="003B3EAE">
        <w:rPr>
          <w:rFonts w:asciiTheme="majorBidi" w:hAnsiTheme="majorBidi" w:cstheme="majorBidi"/>
          <w:sz w:val="24"/>
          <w:szCs w:val="24"/>
        </w:rPr>
        <w:t>4,29</w:t>
      </w:r>
      <w:r w:rsidRPr="003B3EAE">
        <w:rPr>
          <w:rFonts w:asciiTheme="majorBidi" w:hAnsiTheme="majorBidi" w:cstheme="majorBidi"/>
          <w:sz w:val="24"/>
          <w:szCs w:val="24"/>
        </w:rPr>
        <w:t>), although to the authors’ knowledge, levels of agreement in respect to asymmetries are limited to date (</w:t>
      </w:r>
      <w:r w:rsidR="003B3EAE" w:rsidRPr="003B3EAE">
        <w:rPr>
          <w:rFonts w:asciiTheme="majorBidi" w:hAnsiTheme="majorBidi" w:cstheme="majorBidi"/>
          <w:sz w:val="24"/>
          <w:szCs w:val="24"/>
        </w:rPr>
        <w:t>24,25</w:t>
      </w:r>
      <w:r w:rsidRPr="003B3EAE">
        <w:rPr>
          <w:rFonts w:asciiTheme="majorBidi" w:hAnsiTheme="majorBidi" w:cstheme="majorBidi"/>
          <w:sz w:val="24"/>
          <w:szCs w:val="24"/>
        </w:rPr>
        <w:t xml:space="preserve">). These </w:t>
      </w:r>
      <w:r>
        <w:rPr>
          <w:rFonts w:asciiTheme="majorBidi" w:hAnsiTheme="majorBidi" w:cstheme="majorBidi"/>
          <w:sz w:val="24"/>
          <w:szCs w:val="24"/>
        </w:rPr>
        <w:t xml:space="preserve">results demonstrate the changing nature of asymmetries from test to test, and highlights the need for a more individual approach to data analysis.  </w:t>
      </w:r>
    </w:p>
    <w:p w14:paraId="5511B1AA"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Individual asymmetry data for PF and eccentric and concentric impulse measures are shown in Figures 1 and 2 respectively. The largest mean asymmetry value for any test was -5.3%; however, it is clear from both figures that many individual asymmetry values greatly surpassed this. It was not uncommon for asymmetries to be &gt; 10% across all tests with some individuals demonstrating values between 20-30%. If proposed thresholds of ~10% are to be accepted as cut-offs where reduced </w:t>
      </w:r>
      <w:r w:rsidRPr="003B3EAE">
        <w:rPr>
          <w:rFonts w:asciiTheme="majorBidi" w:hAnsiTheme="majorBidi" w:cstheme="majorBidi"/>
          <w:sz w:val="24"/>
          <w:szCs w:val="24"/>
        </w:rPr>
        <w:t>performance (</w:t>
      </w:r>
      <w:r w:rsidR="003B3EAE" w:rsidRPr="003B3EAE">
        <w:rPr>
          <w:rFonts w:asciiTheme="majorBidi" w:hAnsiTheme="majorBidi" w:cstheme="majorBidi"/>
          <w:sz w:val="24"/>
          <w:szCs w:val="24"/>
        </w:rPr>
        <w:t>6</w:t>
      </w:r>
      <w:r w:rsidRPr="003B3EAE">
        <w:rPr>
          <w:rFonts w:asciiTheme="majorBidi" w:hAnsiTheme="majorBidi" w:cstheme="majorBidi"/>
          <w:sz w:val="24"/>
          <w:szCs w:val="24"/>
        </w:rPr>
        <w:t>) and increased risk of injury are present (</w:t>
      </w:r>
      <w:r w:rsidR="003B3EAE" w:rsidRPr="003B3EAE">
        <w:rPr>
          <w:rFonts w:asciiTheme="majorBidi" w:hAnsiTheme="majorBidi" w:cstheme="majorBidi"/>
          <w:sz w:val="24"/>
          <w:szCs w:val="24"/>
        </w:rPr>
        <w:t>23,32</w:t>
      </w:r>
      <w:r w:rsidRPr="003B3EAE">
        <w:rPr>
          <w:rFonts w:asciiTheme="majorBidi" w:hAnsiTheme="majorBidi" w:cstheme="majorBidi"/>
          <w:sz w:val="24"/>
          <w:szCs w:val="24"/>
        </w:rPr>
        <w:t xml:space="preserve">), then </w:t>
      </w:r>
      <w:r>
        <w:rPr>
          <w:rFonts w:asciiTheme="majorBidi" w:hAnsiTheme="majorBidi" w:cstheme="majorBidi"/>
          <w:sz w:val="24"/>
          <w:szCs w:val="24"/>
        </w:rPr>
        <w:t xml:space="preserve">Figures 1 and 2 also clearly show that many individuals may require training interventions to minimise these differences. In addition, previous literature has suggested that asymmetries should be reported within the context of test variability (CV) so as to determine whether the between-limb difference is outside the associated error of the </w:t>
      </w:r>
      <w:r w:rsidRPr="003B3EAE">
        <w:rPr>
          <w:rFonts w:asciiTheme="majorBidi" w:hAnsiTheme="majorBidi" w:cstheme="majorBidi"/>
          <w:sz w:val="24"/>
          <w:szCs w:val="24"/>
        </w:rPr>
        <w:t>test (</w:t>
      </w:r>
      <w:r w:rsidR="003B3EAE" w:rsidRPr="003B3EAE">
        <w:rPr>
          <w:rFonts w:asciiTheme="majorBidi" w:hAnsiTheme="majorBidi" w:cstheme="majorBidi"/>
          <w:sz w:val="24"/>
          <w:szCs w:val="24"/>
        </w:rPr>
        <w:t>3,4,12</w:t>
      </w:r>
      <w:r w:rsidRPr="003B3EAE">
        <w:rPr>
          <w:rFonts w:asciiTheme="majorBidi" w:hAnsiTheme="majorBidi" w:cstheme="majorBidi"/>
          <w:sz w:val="24"/>
          <w:szCs w:val="24"/>
        </w:rPr>
        <w:t xml:space="preserve">). Noting </w:t>
      </w:r>
      <w:r>
        <w:rPr>
          <w:rFonts w:asciiTheme="majorBidi" w:hAnsiTheme="majorBidi" w:cstheme="majorBidi"/>
          <w:sz w:val="24"/>
          <w:szCs w:val="24"/>
        </w:rPr>
        <w:t xml:space="preserve">that multiple CV scores exist, the authors chose to represent the greatest CV value for each metric as a proposed threshold (as represented by the dotted lines on Figures 1 and 2) to identify when inter-limb differences fell outside this value. When this is considered, it is again clear that many individuals showed substantial asymmetries in PF (Figure 1) and impulse metrics (Figure 2) as represented by bars surpassing the dotted lines. If mean asymmetry values were interpreted alone, this would not depict the full story of how imbalanced some individuals are; thus, </w:t>
      </w:r>
      <w:r>
        <w:rPr>
          <w:rFonts w:asciiTheme="majorBidi" w:hAnsiTheme="majorBidi" w:cstheme="majorBidi"/>
          <w:sz w:val="24"/>
          <w:szCs w:val="24"/>
        </w:rPr>
        <w:lastRenderedPageBreak/>
        <w:t xml:space="preserve">individual data analyses for side-to-side differences appears critical to further our understanding of this concept. </w:t>
      </w:r>
    </w:p>
    <w:p w14:paraId="22D9A7F1" w14:textId="5577E6BA" w:rsidR="001A60D7" w:rsidRDefault="001A60D7" w:rsidP="00B16423">
      <w:pPr>
        <w:spacing w:line="480" w:lineRule="auto"/>
        <w:jc w:val="both"/>
        <w:rPr>
          <w:rFonts w:asciiTheme="majorBidi" w:hAnsiTheme="majorBidi" w:cstheme="majorBidi"/>
          <w:sz w:val="24"/>
          <w:szCs w:val="24"/>
        </w:rPr>
      </w:pPr>
      <w:r w:rsidRPr="002C5575">
        <w:rPr>
          <w:rFonts w:asciiTheme="majorBidi" w:hAnsiTheme="majorBidi" w:cstheme="majorBidi"/>
          <w:sz w:val="24"/>
          <w:szCs w:val="24"/>
        </w:rPr>
        <w:t xml:space="preserve">Despite the aforementioned results, readers should be mindful of a couple of limitations. Firstly, the present study used recreational sport athletes; thus, these findings cannot be attributed to </w:t>
      </w:r>
      <w:r w:rsidR="002C5575" w:rsidRPr="002C5575">
        <w:rPr>
          <w:rFonts w:asciiTheme="majorBidi" w:hAnsiTheme="majorBidi" w:cstheme="majorBidi"/>
          <w:sz w:val="24"/>
          <w:szCs w:val="24"/>
        </w:rPr>
        <w:t xml:space="preserve">elite </w:t>
      </w:r>
      <w:r w:rsidRPr="002C5575">
        <w:rPr>
          <w:rFonts w:asciiTheme="majorBidi" w:hAnsiTheme="majorBidi" w:cstheme="majorBidi"/>
          <w:sz w:val="24"/>
          <w:szCs w:val="24"/>
        </w:rPr>
        <w:t>athlete populations. Furthermore, the very premise of this paper highlights that asymmetries are both task and metric-specific, suggesting that interpreting mean data is somewhat limited. Secondly, this study used a force platform to gather data relating to asymmetries. Although this is not a limitation, it is worth acknowledging that not all practitioners will have access to this equipment. Therefore, an alternative</w:t>
      </w:r>
      <w:r w:rsidR="00A0281B" w:rsidRPr="002C5575">
        <w:rPr>
          <w:rFonts w:asciiTheme="majorBidi" w:hAnsiTheme="majorBidi" w:cstheme="majorBidi"/>
          <w:sz w:val="24"/>
          <w:szCs w:val="24"/>
        </w:rPr>
        <w:t xml:space="preserve"> strategy to determine whether asymmetries are favoured for the same limb is required for practitioners governed by smaller budgets. As such, previous work from Bishop et al. (4) used the SLCMJ, single leg hop, triple hop, and crossover hop for distance tests to show the changing nature of asymmetries between tasks. Practitioners who cannot access force platforms could consider such tests to determine whether asymmetries are favoured for the same side during outcome measures such as jump height and distance.</w:t>
      </w:r>
      <w:r w:rsidR="00A0281B">
        <w:rPr>
          <w:rFonts w:asciiTheme="majorBidi" w:hAnsiTheme="majorBidi" w:cstheme="majorBidi"/>
          <w:sz w:val="24"/>
          <w:szCs w:val="24"/>
        </w:rPr>
        <w:t xml:space="preserve"> </w:t>
      </w:r>
    </w:p>
    <w:p w14:paraId="130C9295"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w:t>
      </w:r>
      <w:r w:rsidRPr="00404DFE">
        <w:rPr>
          <w:rFonts w:asciiTheme="majorBidi" w:hAnsiTheme="majorBidi" w:cstheme="majorBidi"/>
          <w:sz w:val="24"/>
          <w:szCs w:val="24"/>
        </w:rPr>
        <w:t>summary, the results of the present study show that</w:t>
      </w:r>
      <w:r>
        <w:rPr>
          <w:rFonts w:asciiTheme="majorBidi" w:hAnsiTheme="majorBidi" w:cstheme="majorBidi"/>
          <w:sz w:val="24"/>
          <w:szCs w:val="24"/>
        </w:rPr>
        <w:t xml:space="preserve"> the</w:t>
      </w:r>
      <w:r w:rsidRPr="00404DFE">
        <w:rPr>
          <w:rFonts w:asciiTheme="majorBidi" w:hAnsiTheme="majorBidi" w:cstheme="majorBidi"/>
          <w:sz w:val="24"/>
          <w:szCs w:val="24"/>
        </w:rPr>
        <w:t xml:space="preserve"> </w:t>
      </w:r>
      <w:r>
        <w:rPr>
          <w:rFonts w:asciiTheme="majorBidi" w:hAnsiTheme="majorBidi" w:cstheme="majorBidi"/>
          <w:sz w:val="24"/>
          <w:szCs w:val="24"/>
        </w:rPr>
        <w:t xml:space="preserve">levels of agreement for asymmetries being present on the same side are quite low and highlights the changing nature of inter-limb differences across tests. In addition, individual asymmetry scores were vastly different to mean values for all metrics and highlights the necessity for a more individualised approach to asymmetry analysis and will likely provide a more complete picture of the presence of inter-limb differences. </w:t>
      </w:r>
    </w:p>
    <w:p w14:paraId="64602349" w14:textId="77777777" w:rsidR="00B16423" w:rsidRDefault="00B16423" w:rsidP="00B16423">
      <w:pPr>
        <w:spacing w:line="480" w:lineRule="auto"/>
        <w:jc w:val="both"/>
        <w:rPr>
          <w:rFonts w:asciiTheme="majorBidi" w:hAnsiTheme="majorBidi" w:cstheme="majorBidi"/>
          <w:sz w:val="24"/>
          <w:szCs w:val="24"/>
        </w:rPr>
      </w:pPr>
    </w:p>
    <w:p w14:paraId="57369A75" w14:textId="77777777" w:rsidR="00B16423" w:rsidRDefault="00B16423" w:rsidP="00B16423">
      <w:pPr>
        <w:spacing w:line="480" w:lineRule="auto"/>
        <w:jc w:val="both"/>
        <w:rPr>
          <w:rFonts w:asciiTheme="majorBidi" w:hAnsiTheme="majorBidi" w:cstheme="majorBidi"/>
          <w:b/>
          <w:sz w:val="24"/>
          <w:szCs w:val="24"/>
        </w:rPr>
      </w:pPr>
      <w:r>
        <w:rPr>
          <w:rFonts w:asciiTheme="majorBidi" w:hAnsiTheme="majorBidi" w:cstheme="majorBidi"/>
          <w:b/>
          <w:sz w:val="24"/>
          <w:szCs w:val="24"/>
        </w:rPr>
        <w:t>PRACTICAL APPLICATIONS</w:t>
      </w:r>
    </w:p>
    <w:p w14:paraId="64D06CC5" w14:textId="77777777" w:rsidR="00B16423" w:rsidRPr="003B3EAE" w:rsidRDefault="00B16423" w:rsidP="003B3EAE">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findings from the present study highlight that asymmetries vary across commonly used strength and jumping-based tests and that the same side is also rarely favoured. As such, practitioners should always consider the individual nature of asymmetries when interpreting data relative to these side-to-side differences. If the mean values alone were used for interpretation, it would suggest that no action would be needed to correct the existing between-limb differences. However, individual asymmetry scores were vastly different and this type of analysis may offer practitioners the chance to implement training interventions to reduce these side-to-side differences on a more individual level. Noting that individualized training programmes can be a challenge when working with large groups of athletes (i.e., in a team sport environment), assessing individual athlete data in respect to asymmetries offers practitioners a viable method of establishing which athletes may require additional exercises to their existing training programme, in an attempt to optimise physical performance and reduce the risk of future injury. </w:t>
      </w:r>
    </w:p>
    <w:p w14:paraId="2AE99B7B" w14:textId="77777777" w:rsidR="00B16423" w:rsidRPr="00D52DB8" w:rsidRDefault="00B16423" w:rsidP="00B16423">
      <w:pPr>
        <w:spacing w:line="480" w:lineRule="auto"/>
        <w:rPr>
          <w:rFonts w:ascii="Times New Roman" w:hAnsi="Times New Roman" w:cs="Times New Roman"/>
          <w:sz w:val="24"/>
          <w:szCs w:val="24"/>
        </w:rPr>
        <w:sectPr w:rsidR="00B16423" w:rsidRPr="00D52DB8" w:rsidSect="005D7838">
          <w:pgSz w:w="11906" w:h="16838"/>
          <w:pgMar w:top="1440" w:right="1440" w:bottom="1440" w:left="1440" w:header="708" w:footer="708" w:gutter="0"/>
          <w:lnNumType w:countBy="1" w:restart="continuous"/>
          <w:cols w:space="708"/>
          <w:docGrid w:linePitch="360"/>
        </w:sectPr>
      </w:pPr>
    </w:p>
    <w:p w14:paraId="5EFE9652" w14:textId="77777777" w:rsidR="00B16423" w:rsidRDefault="00B16423" w:rsidP="00B16423">
      <w:pPr>
        <w:spacing w:line="480" w:lineRule="auto"/>
        <w:jc w:val="both"/>
        <w:rPr>
          <w:rFonts w:asciiTheme="majorBidi" w:hAnsiTheme="majorBidi" w:cstheme="majorBidi"/>
          <w:b/>
          <w:sz w:val="24"/>
          <w:szCs w:val="24"/>
        </w:rPr>
      </w:pPr>
      <w:r>
        <w:rPr>
          <w:rFonts w:asciiTheme="majorBidi" w:hAnsiTheme="majorBidi" w:cstheme="majorBidi"/>
          <w:sz w:val="24"/>
          <w:szCs w:val="24"/>
        </w:rPr>
        <w:lastRenderedPageBreak/>
        <w:t xml:space="preserve"> </w:t>
      </w:r>
      <w:r w:rsidRPr="00582744">
        <w:rPr>
          <w:rFonts w:asciiTheme="majorBidi" w:hAnsiTheme="majorBidi" w:cstheme="majorBidi"/>
          <w:b/>
          <w:sz w:val="24"/>
          <w:szCs w:val="24"/>
        </w:rPr>
        <w:t xml:space="preserve">REFERENCES </w:t>
      </w:r>
    </w:p>
    <w:p w14:paraId="67D9C36B" w14:textId="77777777" w:rsidR="00B16423" w:rsidRPr="005372D0" w:rsidRDefault="00B16423" w:rsidP="00B16423">
      <w:pPr>
        <w:pStyle w:val="ListParagraph"/>
        <w:numPr>
          <w:ilvl w:val="0"/>
          <w:numId w:val="1"/>
        </w:numPr>
        <w:spacing w:after="200" w:line="480" w:lineRule="auto"/>
        <w:jc w:val="both"/>
        <w:rPr>
          <w:rFonts w:asciiTheme="majorBidi" w:hAnsiTheme="majorBidi" w:cstheme="majorBidi"/>
          <w:sz w:val="24"/>
          <w:szCs w:val="24"/>
        </w:rPr>
      </w:pPr>
      <w:r w:rsidRPr="005372D0">
        <w:rPr>
          <w:rFonts w:asciiTheme="majorBidi" w:hAnsiTheme="majorBidi" w:cstheme="majorBidi"/>
          <w:sz w:val="24"/>
          <w:szCs w:val="24"/>
        </w:rPr>
        <w:t xml:space="preserve">Atkins S, Bentley I, Hurst H, Sinclair J, and Hesketh C. The presence of bilateral imbalance of the lower limbs in elite youth soccer players of different ages. </w:t>
      </w:r>
      <w:r w:rsidRPr="005372D0">
        <w:rPr>
          <w:rFonts w:ascii="Times New Roman" w:hAnsi="Times New Roman" w:cs="Times New Roman"/>
          <w:i/>
          <w:iCs/>
          <w:sz w:val="24"/>
          <w:szCs w:val="24"/>
        </w:rPr>
        <w:t xml:space="preserve">J Strength Cond Res </w:t>
      </w:r>
      <w:r w:rsidRPr="005372D0">
        <w:rPr>
          <w:rFonts w:ascii="Times New Roman" w:hAnsi="Times New Roman" w:cs="Times New Roman"/>
          <w:iCs/>
          <w:sz w:val="24"/>
          <w:szCs w:val="24"/>
        </w:rPr>
        <w:t xml:space="preserve">30: 1007-1013, 2016. </w:t>
      </w:r>
    </w:p>
    <w:p w14:paraId="282AD4D6" w14:textId="77777777" w:rsidR="00B16423" w:rsidRPr="00FE1505"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Bell D, Sanfilippo J, Binkley</w:t>
      </w:r>
      <w:r w:rsidRPr="00FE1505">
        <w:rPr>
          <w:rFonts w:asciiTheme="majorBidi" w:hAnsiTheme="majorBidi" w:cstheme="majorBidi"/>
          <w:sz w:val="24"/>
          <w:szCs w:val="24"/>
        </w:rPr>
        <w:t xml:space="preserve"> N</w:t>
      </w:r>
      <w:r>
        <w:rPr>
          <w:rFonts w:asciiTheme="majorBidi" w:hAnsiTheme="majorBidi" w:cstheme="majorBidi"/>
          <w:sz w:val="24"/>
          <w:szCs w:val="24"/>
        </w:rPr>
        <w:t>, and Heiderscheit B</w:t>
      </w:r>
      <w:r w:rsidRPr="00FE1505">
        <w:rPr>
          <w:rFonts w:asciiTheme="majorBidi" w:hAnsiTheme="majorBidi" w:cstheme="majorBidi"/>
          <w:sz w:val="24"/>
          <w:szCs w:val="24"/>
        </w:rPr>
        <w:t xml:space="preserve">. Lean mass asymmetry influences force and power asymmetry during jumping in collegiate athletes. </w:t>
      </w:r>
      <w:r w:rsidRPr="00FE1505">
        <w:rPr>
          <w:rFonts w:asciiTheme="majorBidi" w:hAnsiTheme="majorBidi" w:cstheme="majorBidi"/>
          <w:i/>
          <w:iCs/>
          <w:sz w:val="24"/>
          <w:szCs w:val="24"/>
        </w:rPr>
        <w:t xml:space="preserve">J Strength Cond Res </w:t>
      </w:r>
      <w:r w:rsidRPr="00FE1505">
        <w:rPr>
          <w:rFonts w:asciiTheme="majorBidi" w:hAnsiTheme="majorBidi" w:cstheme="majorBidi"/>
          <w:sz w:val="24"/>
          <w:szCs w:val="24"/>
        </w:rPr>
        <w:t xml:space="preserve">28: 884-891, 2014. </w:t>
      </w:r>
    </w:p>
    <w:p w14:paraId="0E33DDFA"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Bishop C, Read P, Chavda S, and Turner A. Asymmetries of the lower limb: The calculation conundrum in strength training and conditioning. </w:t>
      </w:r>
      <w:r>
        <w:rPr>
          <w:rFonts w:asciiTheme="majorBidi" w:hAnsiTheme="majorBidi" w:cstheme="majorBidi"/>
          <w:i/>
          <w:iCs/>
          <w:sz w:val="24"/>
          <w:szCs w:val="24"/>
        </w:rPr>
        <w:t xml:space="preserve">Strength Cond J </w:t>
      </w:r>
      <w:r>
        <w:rPr>
          <w:rFonts w:asciiTheme="majorBidi" w:hAnsiTheme="majorBidi" w:cstheme="majorBidi"/>
          <w:sz w:val="24"/>
          <w:szCs w:val="24"/>
        </w:rPr>
        <w:t xml:space="preserve">38: 27-32, 2016. </w:t>
      </w:r>
    </w:p>
    <w:p w14:paraId="76D77730" w14:textId="77777777" w:rsidR="00B16423" w:rsidRPr="006E36E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Bishop C, Read P, McCubbine J, and Turner A. Vertical and horizontal asymmetries are related to slower sprinting and jump performance in elite youth female soccer players. </w:t>
      </w:r>
      <w:r w:rsidRPr="00B63147">
        <w:rPr>
          <w:rFonts w:asciiTheme="majorBidi" w:hAnsiTheme="majorBidi" w:cstheme="majorBidi"/>
          <w:i/>
          <w:iCs/>
          <w:sz w:val="24"/>
          <w:szCs w:val="24"/>
        </w:rPr>
        <w:t>J Strength Cond Res</w:t>
      </w:r>
      <w:r>
        <w:rPr>
          <w:rFonts w:asciiTheme="majorBidi" w:hAnsiTheme="majorBidi" w:cstheme="majorBidi"/>
          <w:i/>
          <w:iCs/>
          <w:sz w:val="24"/>
          <w:szCs w:val="24"/>
        </w:rPr>
        <w:t xml:space="preserve"> </w:t>
      </w:r>
      <w:r>
        <w:rPr>
          <w:rFonts w:asciiTheme="majorBidi" w:hAnsiTheme="majorBidi" w:cstheme="majorBidi"/>
          <w:iCs/>
          <w:sz w:val="24"/>
          <w:szCs w:val="24"/>
        </w:rPr>
        <w:t xml:space="preserve">(Published ahead of print). </w:t>
      </w:r>
    </w:p>
    <w:p w14:paraId="4304758E" w14:textId="77777777" w:rsidR="00B16423" w:rsidRPr="00B6291B" w:rsidRDefault="00B16423" w:rsidP="00B16423">
      <w:pPr>
        <w:pStyle w:val="ListParagraph"/>
        <w:numPr>
          <w:ilvl w:val="0"/>
          <w:numId w:val="1"/>
        </w:numPr>
        <w:spacing w:after="200"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Bishop C, Turner A and Read P. Training methods and considerations for practitioners to reduce inter-limb asymmetries. </w:t>
      </w:r>
      <w:r w:rsidRPr="00B6291B">
        <w:rPr>
          <w:rFonts w:asciiTheme="majorBidi" w:hAnsiTheme="majorBidi" w:cstheme="majorBidi"/>
          <w:i/>
          <w:iCs/>
          <w:sz w:val="24"/>
          <w:szCs w:val="24"/>
        </w:rPr>
        <w:t xml:space="preserve">Strength Cond J </w:t>
      </w:r>
      <w:r>
        <w:rPr>
          <w:rFonts w:asciiTheme="majorBidi" w:hAnsiTheme="majorBidi" w:cstheme="majorBidi"/>
          <w:iCs/>
          <w:sz w:val="24"/>
          <w:szCs w:val="24"/>
        </w:rPr>
        <w:t>(</w:t>
      </w:r>
      <w:r w:rsidRPr="00B6291B">
        <w:rPr>
          <w:rFonts w:asciiTheme="majorBidi" w:hAnsiTheme="majorBidi" w:cstheme="majorBidi"/>
          <w:sz w:val="24"/>
          <w:szCs w:val="24"/>
        </w:rPr>
        <w:t>Published ahead of print</w:t>
      </w:r>
      <w:r>
        <w:rPr>
          <w:rFonts w:asciiTheme="majorBidi" w:hAnsiTheme="majorBidi" w:cstheme="majorBidi"/>
          <w:sz w:val="24"/>
          <w:szCs w:val="24"/>
        </w:rPr>
        <w:t>)</w:t>
      </w:r>
      <w:r w:rsidRPr="00B6291B">
        <w:rPr>
          <w:rFonts w:asciiTheme="majorBidi" w:hAnsiTheme="majorBidi" w:cstheme="majorBidi"/>
          <w:sz w:val="24"/>
          <w:szCs w:val="24"/>
        </w:rPr>
        <w:t>.</w:t>
      </w:r>
    </w:p>
    <w:p w14:paraId="1D1EB203" w14:textId="77777777" w:rsidR="00B16423" w:rsidRPr="006E36E3" w:rsidRDefault="00B16423" w:rsidP="00B16423">
      <w:pPr>
        <w:pStyle w:val="ListParagraph"/>
        <w:numPr>
          <w:ilvl w:val="0"/>
          <w:numId w:val="1"/>
        </w:numPr>
        <w:spacing w:after="200"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Bishop C, Turner A, and Read P. Effects of inter-limb asymmetries on physical and sports performance: A systematic review. </w:t>
      </w:r>
      <w:r w:rsidRPr="00B6291B">
        <w:rPr>
          <w:rFonts w:asciiTheme="majorBidi" w:hAnsiTheme="majorBidi" w:cstheme="majorBidi"/>
          <w:i/>
          <w:iCs/>
          <w:sz w:val="24"/>
          <w:szCs w:val="24"/>
        </w:rPr>
        <w:t xml:space="preserve">J Sports Sci </w:t>
      </w:r>
      <w:r w:rsidRPr="00B6291B">
        <w:rPr>
          <w:rFonts w:asciiTheme="majorBidi" w:hAnsiTheme="majorBidi" w:cstheme="majorBidi"/>
          <w:sz w:val="24"/>
          <w:szCs w:val="24"/>
        </w:rPr>
        <w:t xml:space="preserve">36: 1135-1144, 2018. </w:t>
      </w:r>
    </w:p>
    <w:p w14:paraId="3D9FE65F" w14:textId="77777777" w:rsidR="00B16423" w:rsidRPr="00F71835" w:rsidRDefault="00B16423" w:rsidP="00B16423">
      <w:pPr>
        <w:pStyle w:val="ListParagraph"/>
        <w:numPr>
          <w:ilvl w:val="0"/>
          <w:numId w:val="1"/>
        </w:numPr>
        <w:spacing w:after="200" w:line="480" w:lineRule="auto"/>
        <w:jc w:val="both"/>
        <w:rPr>
          <w:rFonts w:asciiTheme="majorBidi" w:hAnsiTheme="majorBidi" w:cstheme="majorBidi"/>
          <w:sz w:val="24"/>
          <w:szCs w:val="24"/>
        </w:rPr>
      </w:pPr>
      <w:r w:rsidRPr="00F71835">
        <w:rPr>
          <w:rFonts w:asciiTheme="majorBidi" w:hAnsiTheme="majorBidi" w:cstheme="majorBidi"/>
          <w:sz w:val="24"/>
          <w:szCs w:val="24"/>
        </w:rPr>
        <w:t xml:space="preserve">Chavda S, Bromley T, Jarvis P, Williams S, Bishop C, Turner A, Lake J, &amp; Mundy P. Force-time characteristics of the countermovement jump: Analyzing the curve in Excel. </w:t>
      </w:r>
      <w:r w:rsidRPr="00F71835">
        <w:rPr>
          <w:rFonts w:asciiTheme="majorBidi" w:hAnsiTheme="majorBidi" w:cstheme="majorBidi"/>
          <w:i/>
          <w:iCs/>
          <w:sz w:val="24"/>
          <w:szCs w:val="24"/>
        </w:rPr>
        <w:t xml:space="preserve">Strength Cond J </w:t>
      </w:r>
      <w:r>
        <w:rPr>
          <w:rFonts w:asciiTheme="majorBidi" w:hAnsiTheme="majorBidi" w:cstheme="majorBidi"/>
          <w:sz w:val="24"/>
          <w:szCs w:val="24"/>
        </w:rPr>
        <w:t xml:space="preserve">2018. (Published ahead of print). </w:t>
      </w:r>
    </w:p>
    <w:p w14:paraId="3A5596B7"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Cohen J. A coefficient of agreement for nominal scales. </w:t>
      </w:r>
      <w:r>
        <w:rPr>
          <w:rFonts w:asciiTheme="majorBidi" w:hAnsiTheme="majorBidi" w:cstheme="majorBidi"/>
          <w:i/>
          <w:sz w:val="24"/>
          <w:szCs w:val="24"/>
        </w:rPr>
        <w:t xml:space="preserve">Educ Psych Meas </w:t>
      </w:r>
      <w:r>
        <w:rPr>
          <w:rFonts w:asciiTheme="majorBidi" w:hAnsiTheme="majorBidi" w:cstheme="majorBidi"/>
          <w:sz w:val="24"/>
          <w:szCs w:val="24"/>
        </w:rPr>
        <w:t xml:space="preserve">20: 37-46, 1960. </w:t>
      </w:r>
    </w:p>
    <w:p w14:paraId="0083B9E9" w14:textId="77777777" w:rsidR="00B16423" w:rsidRPr="00CD564C"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Cormack S, Newton R, McGuigan M, and Doyle T</w:t>
      </w:r>
      <w:r w:rsidRPr="00CD564C">
        <w:rPr>
          <w:rFonts w:asciiTheme="majorBidi" w:hAnsiTheme="majorBidi" w:cstheme="majorBidi"/>
          <w:sz w:val="24"/>
          <w:szCs w:val="24"/>
        </w:rPr>
        <w:t xml:space="preserve">. Reliability of measures obtained during single and repeated countermovement jumps. </w:t>
      </w:r>
      <w:r w:rsidRPr="00CD564C">
        <w:rPr>
          <w:rFonts w:asciiTheme="majorBidi" w:hAnsiTheme="majorBidi" w:cstheme="majorBidi"/>
          <w:i/>
          <w:iCs/>
          <w:sz w:val="24"/>
          <w:szCs w:val="24"/>
        </w:rPr>
        <w:t>Int J Sp</w:t>
      </w:r>
      <w:r>
        <w:rPr>
          <w:rFonts w:asciiTheme="majorBidi" w:hAnsiTheme="majorBidi" w:cstheme="majorBidi"/>
          <w:i/>
          <w:iCs/>
          <w:sz w:val="24"/>
          <w:szCs w:val="24"/>
        </w:rPr>
        <w:t>orts</w:t>
      </w:r>
      <w:r w:rsidRPr="00CD564C">
        <w:rPr>
          <w:rFonts w:asciiTheme="majorBidi" w:hAnsiTheme="majorBidi" w:cstheme="majorBidi"/>
          <w:i/>
          <w:iCs/>
          <w:sz w:val="24"/>
          <w:szCs w:val="24"/>
        </w:rPr>
        <w:t xml:space="preserve"> Phys</w:t>
      </w:r>
      <w:r>
        <w:rPr>
          <w:rFonts w:asciiTheme="majorBidi" w:hAnsiTheme="majorBidi" w:cstheme="majorBidi"/>
          <w:i/>
          <w:iCs/>
          <w:sz w:val="24"/>
          <w:szCs w:val="24"/>
        </w:rPr>
        <w:t>iol</w:t>
      </w:r>
      <w:r w:rsidRPr="00CD564C">
        <w:rPr>
          <w:rFonts w:asciiTheme="majorBidi" w:hAnsiTheme="majorBidi" w:cstheme="majorBidi"/>
          <w:i/>
          <w:iCs/>
          <w:sz w:val="24"/>
          <w:szCs w:val="24"/>
        </w:rPr>
        <w:t xml:space="preserve"> Perf</w:t>
      </w:r>
      <w:r>
        <w:rPr>
          <w:rFonts w:asciiTheme="majorBidi" w:hAnsiTheme="majorBidi" w:cstheme="majorBidi"/>
          <w:i/>
          <w:iCs/>
          <w:sz w:val="24"/>
          <w:szCs w:val="24"/>
        </w:rPr>
        <w:t>orm</w:t>
      </w:r>
      <w:r w:rsidRPr="00CD564C">
        <w:rPr>
          <w:rFonts w:asciiTheme="majorBidi" w:hAnsiTheme="majorBidi" w:cstheme="majorBidi"/>
          <w:i/>
          <w:iCs/>
          <w:sz w:val="24"/>
          <w:szCs w:val="24"/>
        </w:rPr>
        <w:t xml:space="preserve"> </w:t>
      </w:r>
      <w:r w:rsidRPr="00CD564C">
        <w:rPr>
          <w:rFonts w:asciiTheme="majorBidi" w:hAnsiTheme="majorBidi" w:cstheme="majorBidi"/>
          <w:sz w:val="24"/>
          <w:szCs w:val="24"/>
        </w:rPr>
        <w:t xml:space="preserve">3: 131-144, 2008. </w:t>
      </w:r>
    </w:p>
    <w:p w14:paraId="587FC170"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Dos’Santos T, Thomas C, Jones P, and Comfort P. Assessing muscle strength asymmetry via a unilateral stance isometric mid-thigh pull. </w:t>
      </w:r>
      <w:r>
        <w:rPr>
          <w:rFonts w:asciiTheme="majorBidi" w:hAnsiTheme="majorBidi" w:cstheme="majorBidi"/>
          <w:i/>
          <w:iCs/>
          <w:sz w:val="24"/>
          <w:szCs w:val="24"/>
        </w:rPr>
        <w:t xml:space="preserve">Int J Sports Physiol Perform </w:t>
      </w:r>
      <w:r>
        <w:rPr>
          <w:rFonts w:asciiTheme="majorBidi" w:hAnsiTheme="majorBidi" w:cstheme="majorBidi"/>
          <w:sz w:val="24"/>
          <w:szCs w:val="24"/>
        </w:rPr>
        <w:t xml:space="preserve">12: 505-511, 2017. </w:t>
      </w:r>
    </w:p>
    <w:p w14:paraId="382CBC75"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Dos’Santos T, Thomas C, Jones P, and Comfort P. Asymmetries in single and triple hop are not detrimental to change of direction speed. </w:t>
      </w:r>
      <w:r>
        <w:rPr>
          <w:rFonts w:asciiTheme="majorBidi" w:hAnsiTheme="majorBidi" w:cstheme="majorBidi"/>
          <w:i/>
          <w:sz w:val="24"/>
          <w:szCs w:val="24"/>
        </w:rPr>
        <w:t xml:space="preserve">J Trainology </w:t>
      </w:r>
      <w:r>
        <w:rPr>
          <w:rFonts w:asciiTheme="majorBidi" w:hAnsiTheme="majorBidi" w:cstheme="majorBidi"/>
          <w:sz w:val="24"/>
          <w:szCs w:val="24"/>
        </w:rPr>
        <w:t xml:space="preserve">6: 35-41, 2017. </w:t>
      </w:r>
    </w:p>
    <w:p w14:paraId="2746A07C" w14:textId="77777777" w:rsidR="00B16423" w:rsidRPr="00162670"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Exell T</w:t>
      </w:r>
      <w:r w:rsidRPr="00162670">
        <w:rPr>
          <w:rFonts w:asciiTheme="majorBidi" w:hAnsiTheme="majorBidi" w:cstheme="majorBidi"/>
          <w:sz w:val="24"/>
          <w:szCs w:val="24"/>
        </w:rPr>
        <w:t>, Irwin G, Gittoes</w:t>
      </w:r>
      <w:r>
        <w:rPr>
          <w:rFonts w:asciiTheme="majorBidi" w:hAnsiTheme="majorBidi" w:cstheme="majorBidi"/>
          <w:sz w:val="24"/>
          <w:szCs w:val="24"/>
        </w:rPr>
        <w:t xml:space="preserve"> M</w:t>
      </w:r>
      <w:r w:rsidRPr="00162670">
        <w:rPr>
          <w:rFonts w:asciiTheme="majorBidi" w:hAnsiTheme="majorBidi" w:cstheme="majorBidi"/>
          <w:sz w:val="24"/>
          <w:szCs w:val="24"/>
        </w:rPr>
        <w:t>,</w:t>
      </w:r>
      <w:r>
        <w:rPr>
          <w:rFonts w:asciiTheme="majorBidi" w:hAnsiTheme="majorBidi" w:cstheme="majorBidi"/>
          <w:sz w:val="24"/>
          <w:szCs w:val="24"/>
        </w:rPr>
        <w:t xml:space="preserve"> and Kerwin D</w:t>
      </w:r>
      <w:r w:rsidRPr="00162670">
        <w:rPr>
          <w:rFonts w:asciiTheme="majorBidi" w:hAnsiTheme="majorBidi" w:cstheme="majorBidi"/>
          <w:sz w:val="24"/>
          <w:szCs w:val="24"/>
        </w:rPr>
        <w:t xml:space="preserve">. Implications of intra-limb variability on asymmetry analyses. </w:t>
      </w:r>
      <w:r w:rsidRPr="00162670">
        <w:rPr>
          <w:rFonts w:asciiTheme="majorBidi" w:hAnsiTheme="majorBidi" w:cstheme="majorBidi"/>
          <w:i/>
          <w:iCs/>
          <w:sz w:val="24"/>
          <w:szCs w:val="24"/>
        </w:rPr>
        <w:t>J Sp</w:t>
      </w:r>
      <w:r>
        <w:rPr>
          <w:rFonts w:asciiTheme="majorBidi" w:hAnsiTheme="majorBidi" w:cstheme="majorBidi"/>
          <w:i/>
          <w:iCs/>
          <w:sz w:val="24"/>
          <w:szCs w:val="24"/>
        </w:rPr>
        <w:t>orts</w:t>
      </w:r>
      <w:r w:rsidRPr="00162670">
        <w:rPr>
          <w:rFonts w:asciiTheme="majorBidi" w:hAnsiTheme="majorBidi" w:cstheme="majorBidi"/>
          <w:i/>
          <w:iCs/>
          <w:sz w:val="24"/>
          <w:szCs w:val="24"/>
        </w:rPr>
        <w:t xml:space="preserve"> Sci </w:t>
      </w:r>
      <w:r w:rsidRPr="00162670">
        <w:rPr>
          <w:rFonts w:asciiTheme="majorBidi" w:hAnsiTheme="majorBidi" w:cstheme="majorBidi"/>
          <w:sz w:val="24"/>
          <w:szCs w:val="24"/>
        </w:rPr>
        <w:t xml:space="preserve">30: 403-409, 2012. </w:t>
      </w:r>
    </w:p>
    <w:p w14:paraId="5B876F91"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Fort-Vanmeerhaeghe A, Gual G, Romero-Rodriguez D, and Unnitha V. Lower limb neuromuscular asymmetry in volleyball and basketball players. </w:t>
      </w:r>
      <w:r>
        <w:rPr>
          <w:rFonts w:asciiTheme="majorBidi" w:hAnsiTheme="majorBidi" w:cstheme="majorBidi"/>
          <w:i/>
          <w:iCs/>
          <w:sz w:val="24"/>
          <w:szCs w:val="24"/>
        </w:rPr>
        <w:t xml:space="preserve">J Human Kinet </w:t>
      </w:r>
      <w:r>
        <w:rPr>
          <w:rFonts w:asciiTheme="majorBidi" w:hAnsiTheme="majorBidi" w:cstheme="majorBidi"/>
          <w:sz w:val="24"/>
          <w:szCs w:val="24"/>
        </w:rPr>
        <w:t xml:space="preserve">50: 135-143, 2016. </w:t>
      </w:r>
    </w:p>
    <w:p w14:paraId="75CFE231"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Hart N, Nimphius S, Cochrane J, and Newton R. Reliability and validity of unilateral and bilateral isometric strength measures using a customised, portable apparatus. </w:t>
      </w:r>
      <w:r>
        <w:rPr>
          <w:rFonts w:asciiTheme="majorBidi" w:hAnsiTheme="majorBidi" w:cstheme="majorBidi"/>
          <w:i/>
          <w:iCs/>
          <w:sz w:val="24"/>
          <w:szCs w:val="24"/>
        </w:rPr>
        <w:t xml:space="preserve">J Aust Strength Cond </w:t>
      </w:r>
      <w:r>
        <w:rPr>
          <w:rFonts w:asciiTheme="majorBidi" w:hAnsiTheme="majorBidi" w:cstheme="majorBidi"/>
          <w:sz w:val="24"/>
          <w:szCs w:val="24"/>
        </w:rPr>
        <w:t xml:space="preserve">20: 61-67, 2012. </w:t>
      </w:r>
    </w:p>
    <w:p w14:paraId="43256DCF"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Hart N, Nimphius S, Spiteri T, and Newton R. Leg strength and lean mass symmetry influences kicking performance in Australian Football. </w:t>
      </w:r>
      <w:r>
        <w:rPr>
          <w:rFonts w:asciiTheme="majorBidi" w:hAnsiTheme="majorBidi" w:cstheme="majorBidi"/>
          <w:i/>
          <w:iCs/>
          <w:sz w:val="24"/>
          <w:szCs w:val="24"/>
        </w:rPr>
        <w:t xml:space="preserve">J Sports Sci Med </w:t>
      </w:r>
      <w:r>
        <w:rPr>
          <w:rFonts w:asciiTheme="majorBidi" w:hAnsiTheme="majorBidi" w:cstheme="majorBidi"/>
          <w:sz w:val="24"/>
          <w:szCs w:val="24"/>
        </w:rPr>
        <w:t xml:space="preserve">13: 157-165, 2014. </w:t>
      </w:r>
    </w:p>
    <w:p w14:paraId="0DF2695B"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Hart N, Nimphius S, Weber J, Spiteri T, Rantalainen T, Dobbin M, and Newton R. Musculoskeletal asymmetry in football athletes: A product of limb function over time. </w:t>
      </w:r>
      <w:r>
        <w:rPr>
          <w:rFonts w:asciiTheme="majorBidi" w:hAnsiTheme="majorBidi" w:cstheme="majorBidi"/>
          <w:i/>
          <w:iCs/>
          <w:sz w:val="24"/>
          <w:szCs w:val="24"/>
        </w:rPr>
        <w:t xml:space="preserve">Med Sci Sports Exerc </w:t>
      </w:r>
      <w:r>
        <w:rPr>
          <w:rFonts w:asciiTheme="majorBidi" w:hAnsiTheme="majorBidi" w:cstheme="majorBidi"/>
          <w:sz w:val="24"/>
          <w:szCs w:val="24"/>
        </w:rPr>
        <w:t xml:space="preserve">48: 1379-1387, 2016. </w:t>
      </w:r>
    </w:p>
    <w:p w14:paraId="27C082A8"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Hobara H, Inoue K, and Kanosue K. Effect of hopping frequency on bilateral differences in leg stiffness. </w:t>
      </w:r>
      <w:r>
        <w:rPr>
          <w:rFonts w:asciiTheme="majorBidi" w:hAnsiTheme="majorBidi" w:cstheme="majorBidi"/>
          <w:i/>
          <w:sz w:val="24"/>
          <w:szCs w:val="24"/>
        </w:rPr>
        <w:t xml:space="preserve">J Appl Biomech </w:t>
      </w:r>
      <w:r>
        <w:rPr>
          <w:rFonts w:asciiTheme="majorBidi" w:hAnsiTheme="majorBidi" w:cstheme="majorBidi"/>
          <w:sz w:val="24"/>
          <w:szCs w:val="24"/>
        </w:rPr>
        <w:t xml:space="preserve">29: 55-60, 2013. </w:t>
      </w:r>
    </w:p>
    <w:p w14:paraId="1F611C28"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Hoffman</w:t>
      </w:r>
      <w:r w:rsidRPr="00FE1505">
        <w:rPr>
          <w:rFonts w:asciiTheme="majorBidi" w:hAnsiTheme="majorBidi" w:cstheme="majorBidi"/>
          <w:sz w:val="24"/>
          <w:szCs w:val="24"/>
        </w:rPr>
        <w:t xml:space="preserve"> J</w:t>
      </w:r>
      <w:r>
        <w:rPr>
          <w:rFonts w:asciiTheme="majorBidi" w:hAnsiTheme="majorBidi" w:cstheme="majorBidi"/>
          <w:sz w:val="24"/>
          <w:szCs w:val="24"/>
        </w:rPr>
        <w:t>, Ratamess</w:t>
      </w:r>
      <w:r w:rsidRPr="00FE1505">
        <w:rPr>
          <w:rFonts w:asciiTheme="majorBidi" w:hAnsiTheme="majorBidi" w:cstheme="majorBidi"/>
          <w:sz w:val="24"/>
          <w:szCs w:val="24"/>
        </w:rPr>
        <w:t xml:space="preserve"> N</w:t>
      </w:r>
      <w:r>
        <w:rPr>
          <w:rFonts w:asciiTheme="majorBidi" w:hAnsiTheme="majorBidi" w:cstheme="majorBidi"/>
          <w:sz w:val="24"/>
          <w:szCs w:val="24"/>
        </w:rPr>
        <w:t>, Klatt</w:t>
      </w:r>
      <w:r w:rsidRPr="00FE1505">
        <w:rPr>
          <w:rFonts w:asciiTheme="majorBidi" w:hAnsiTheme="majorBidi" w:cstheme="majorBidi"/>
          <w:sz w:val="24"/>
          <w:szCs w:val="24"/>
        </w:rPr>
        <w:t xml:space="preserve"> M,</w:t>
      </w:r>
      <w:r>
        <w:rPr>
          <w:rFonts w:asciiTheme="majorBidi" w:hAnsiTheme="majorBidi" w:cstheme="majorBidi"/>
          <w:sz w:val="24"/>
          <w:szCs w:val="24"/>
        </w:rPr>
        <w:t xml:space="preserve"> Faigenbaum</w:t>
      </w:r>
      <w:r w:rsidRPr="00FE1505">
        <w:rPr>
          <w:rFonts w:asciiTheme="majorBidi" w:hAnsiTheme="majorBidi" w:cstheme="majorBidi"/>
          <w:sz w:val="24"/>
          <w:szCs w:val="24"/>
        </w:rPr>
        <w:t xml:space="preserve"> A</w:t>
      </w:r>
      <w:r>
        <w:rPr>
          <w:rFonts w:asciiTheme="majorBidi" w:hAnsiTheme="majorBidi" w:cstheme="majorBidi"/>
          <w:sz w:val="24"/>
          <w:szCs w:val="24"/>
        </w:rPr>
        <w:t>, and Kang</w:t>
      </w:r>
      <w:r w:rsidRPr="00FE1505">
        <w:rPr>
          <w:rFonts w:asciiTheme="majorBidi" w:hAnsiTheme="majorBidi" w:cstheme="majorBidi"/>
          <w:sz w:val="24"/>
          <w:szCs w:val="24"/>
        </w:rPr>
        <w:t xml:space="preserve"> J.</w:t>
      </w:r>
      <w:r>
        <w:rPr>
          <w:rFonts w:asciiTheme="majorBidi" w:hAnsiTheme="majorBidi" w:cstheme="majorBidi"/>
          <w:sz w:val="24"/>
          <w:szCs w:val="24"/>
        </w:rPr>
        <w:t xml:space="preserve"> </w:t>
      </w:r>
      <w:r w:rsidRPr="00FE1505">
        <w:rPr>
          <w:rFonts w:asciiTheme="majorBidi" w:hAnsiTheme="majorBidi" w:cstheme="majorBidi"/>
          <w:sz w:val="24"/>
          <w:szCs w:val="24"/>
        </w:rPr>
        <w:t xml:space="preserve">Do bilateral power deficits influence direction-specific movement patterns? </w:t>
      </w:r>
      <w:r w:rsidRPr="00FE1505">
        <w:rPr>
          <w:rFonts w:asciiTheme="majorBidi" w:hAnsiTheme="majorBidi" w:cstheme="majorBidi"/>
          <w:i/>
          <w:iCs/>
          <w:sz w:val="24"/>
          <w:szCs w:val="24"/>
        </w:rPr>
        <w:t xml:space="preserve">Res Sports Med </w:t>
      </w:r>
      <w:r w:rsidRPr="005037AA">
        <w:rPr>
          <w:rFonts w:asciiTheme="majorBidi" w:hAnsiTheme="majorBidi" w:cstheme="majorBidi"/>
          <w:iCs/>
          <w:sz w:val="24"/>
          <w:szCs w:val="24"/>
        </w:rPr>
        <w:t>15</w:t>
      </w:r>
      <w:r>
        <w:rPr>
          <w:rFonts w:asciiTheme="majorBidi" w:hAnsiTheme="majorBidi" w:cstheme="majorBidi"/>
          <w:sz w:val="24"/>
          <w:szCs w:val="24"/>
        </w:rPr>
        <w:t xml:space="preserve">: 125-132, 2007. </w:t>
      </w:r>
    </w:p>
    <w:p w14:paraId="6B81FC0D" w14:textId="77777777" w:rsidR="00B16423" w:rsidRPr="0033481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lastRenderedPageBreak/>
        <w:t>Impellizzeri F</w:t>
      </w:r>
      <w:r w:rsidRPr="002812E7">
        <w:rPr>
          <w:rFonts w:asciiTheme="majorBidi" w:hAnsiTheme="majorBidi" w:cstheme="majorBidi"/>
          <w:sz w:val="24"/>
          <w:szCs w:val="24"/>
        </w:rPr>
        <w:t xml:space="preserve">, Rampinini </w:t>
      </w:r>
      <w:r>
        <w:rPr>
          <w:rFonts w:asciiTheme="majorBidi" w:hAnsiTheme="majorBidi" w:cstheme="majorBidi"/>
          <w:sz w:val="24"/>
          <w:szCs w:val="24"/>
        </w:rPr>
        <w:t>E, Maffiuletti N, and Marcora S</w:t>
      </w:r>
      <w:r w:rsidRPr="002812E7">
        <w:rPr>
          <w:rFonts w:asciiTheme="majorBidi" w:hAnsiTheme="majorBidi" w:cstheme="majorBidi"/>
          <w:sz w:val="24"/>
          <w:szCs w:val="24"/>
        </w:rPr>
        <w:t xml:space="preserve">. A vertical jump force test for assessing bilateral strength asymmetry in athletes. </w:t>
      </w:r>
      <w:r w:rsidRPr="002812E7">
        <w:rPr>
          <w:rFonts w:asciiTheme="majorBidi" w:hAnsiTheme="majorBidi" w:cstheme="majorBidi"/>
          <w:i/>
          <w:iCs/>
          <w:sz w:val="24"/>
          <w:szCs w:val="24"/>
        </w:rPr>
        <w:t>Med Sci Sports Ex</w:t>
      </w:r>
      <w:r>
        <w:rPr>
          <w:rFonts w:asciiTheme="majorBidi" w:hAnsiTheme="majorBidi" w:cstheme="majorBidi"/>
          <w:i/>
          <w:iCs/>
          <w:sz w:val="24"/>
          <w:szCs w:val="24"/>
        </w:rPr>
        <w:t>erc</w:t>
      </w:r>
      <w:r w:rsidRPr="002812E7">
        <w:rPr>
          <w:rFonts w:asciiTheme="majorBidi" w:hAnsiTheme="majorBidi" w:cstheme="majorBidi"/>
          <w:i/>
          <w:iCs/>
          <w:sz w:val="24"/>
          <w:szCs w:val="24"/>
        </w:rPr>
        <w:t xml:space="preserve"> </w:t>
      </w:r>
      <w:r w:rsidRPr="002812E7">
        <w:rPr>
          <w:rFonts w:asciiTheme="majorBidi" w:hAnsiTheme="majorBidi" w:cstheme="majorBidi"/>
          <w:sz w:val="24"/>
          <w:szCs w:val="24"/>
        </w:rPr>
        <w:t>39: 2044-2050, 2007.</w:t>
      </w:r>
      <w:r>
        <w:rPr>
          <w:rFonts w:asciiTheme="majorBidi" w:hAnsiTheme="majorBidi" w:cstheme="majorBidi"/>
          <w:sz w:val="24"/>
          <w:szCs w:val="24"/>
        </w:rPr>
        <w:t xml:space="preserve"> </w:t>
      </w:r>
    </w:p>
    <w:p w14:paraId="74AF7089" w14:textId="77777777" w:rsidR="00B16423" w:rsidRPr="008E521D"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Jones P, and Bampouras T</w:t>
      </w:r>
      <w:r w:rsidRPr="008E521D">
        <w:rPr>
          <w:rFonts w:asciiTheme="majorBidi" w:hAnsiTheme="majorBidi" w:cstheme="majorBidi"/>
          <w:sz w:val="24"/>
          <w:szCs w:val="24"/>
        </w:rPr>
        <w:t xml:space="preserve">. A comparison of isokinetic and functional methods of assessing bilateral strength imbalance. </w:t>
      </w:r>
      <w:r w:rsidRPr="008E521D">
        <w:rPr>
          <w:rFonts w:asciiTheme="majorBidi" w:hAnsiTheme="majorBidi" w:cstheme="majorBidi"/>
          <w:i/>
          <w:iCs/>
          <w:sz w:val="24"/>
          <w:szCs w:val="24"/>
        </w:rPr>
        <w:t>J Str</w:t>
      </w:r>
      <w:r>
        <w:rPr>
          <w:rFonts w:asciiTheme="majorBidi" w:hAnsiTheme="majorBidi" w:cstheme="majorBidi"/>
          <w:i/>
          <w:iCs/>
          <w:sz w:val="24"/>
          <w:szCs w:val="24"/>
        </w:rPr>
        <w:t>ength</w:t>
      </w:r>
      <w:r w:rsidRPr="008E521D">
        <w:rPr>
          <w:rFonts w:asciiTheme="majorBidi" w:hAnsiTheme="majorBidi" w:cstheme="majorBidi"/>
          <w:i/>
          <w:iCs/>
          <w:sz w:val="24"/>
          <w:szCs w:val="24"/>
        </w:rPr>
        <w:t xml:space="preserve"> Cond Res</w:t>
      </w:r>
      <w:r w:rsidRPr="008E521D">
        <w:rPr>
          <w:rFonts w:asciiTheme="majorBidi" w:hAnsiTheme="majorBidi" w:cstheme="majorBidi"/>
          <w:sz w:val="24"/>
          <w:szCs w:val="24"/>
        </w:rPr>
        <w:t xml:space="preserve"> 24: 1553-1558, 2010. </w:t>
      </w:r>
    </w:p>
    <w:p w14:paraId="097D34AE" w14:textId="77777777" w:rsidR="00B16423" w:rsidRPr="00FA7C9D" w:rsidRDefault="00B16423" w:rsidP="00B16423">
      <w:pPr>
        <w:pStyle w:val="ListParagraph"/>
        <w:numPr>
          <w:ilvl w:val="0"/>
          <w:numId w:val="1"/>
        </w:numPr>
        <w:spacing w:after="200" w:line="480" w:lineRule="auto"/>
        <w:jc w:val="both"/>
        <w:rPr>
          <w:rFonts w:ascii="Times New Roman" w:hAnsi="Times New Roman" w:cs="Times New Roman"/>
          <w:sz w:val="24"/>
          <w:szCs w:val="24"/>
        </w:rPr>
      </w:pPr>
      <w:r w:rsidRPr="00FA7C9D">
        <w:rPr>
          <w:rFonts w:ascii="Times New Roman" w:hAnsi="Times New Roman" w:cs="Times New Roman"/>
          <w:sz w:val="24"/>
          <w:szCs w:val="24"/>
        </w:rPr>
        <w:t xml:space="preserve">Keeley DW, Plummer HA, and Oliver GD. Predicting asymmetrical lower extremity strength deficits in college-aged men and women using common horizontal and vertical power field tests: A possible screening mechanism. </w:t>
      </w:r>
      <w:r w:rsidRPr="00FA7C9D">
        <w:rPr>
          <w:rFonts w:ascii="Times New Roman" w:hAnsi="Times New Roman" w:cs="Times New Roman"/>
          <w:i/>
          <w:iCs/>
          <w:sz w:val="24"/>
          <w:szCs w:val="24"/>
        </w:rPr>
        <w:t xml:space="preserve">J Strength Cond Res </w:t>
      </w:r>
      <w:r w:rsidRPr="00FA7C9D">
        <w:rPr>
          <w:rFonts w:ascii="Times New Roman" w:hAnsi="Times New Roman" w:cs="Times New Roman"/>
          <w:sz w:val="24"/>
          <w:szCs w:val="24"/>
        </w:rPr>
        <w:t xml:space="preserve">25: 1632-1637, 2011. </w:t>
      </w:r>
    </w:p>
    <w:p w14:paraId="235AA2E5" w14:textId="77777777" w:rsidR="00B16423" w:rsidRPr="00A907D5" w:rsidRDefault="00B16423" w:rsidP="00B16423">
      <w:pPr>
        <w:pStyle w:val="ListParagraph"/>
        <w:numPr>
          <w:ilvl w:val="0"/>
          <w:numId w:val="1"/>
        </w:numPr>
        <w:spacing w:after="0" w:line="480" w:lineRule="auto"/>
        <w:jc w:val="both"/>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rPr>
        <w:t xml:space="preserve">Koo T, and Li M. </w:t>
      </w:r>
      <w:r w:rsidRPr="00A907D5">
        <w:rPr>
          <w:rFonts w:asciiTheme="majorBidi" w:eastAsia="Times New Roman" w:hAnsiTheme="majorBidi" w:cstheme="majorBidi"/>
          <w:color w:val="222222"/>
          <w:sz w:val="24"/>
          <w:szCs w:val="24"/>
          <w:shd w:val="clear" w:color="auto" w:fill="FFFFFF"/>
        </w:rPr>
        <w:t>A guideline of selecting and reporting intraclass correlation coefficients for reliability research.</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i/>
          <w:iCs/>
          <w:color w:val="222222"/>
          <w:sz w:val="24"/>
          <w:szCs w:val="24"/>
        </w:rPr>
        <w:t>J Chiro Med</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color w:val="222222"/>
          <w:sz w:val="24"/>
          <w:szCs w:val="24"/>
        </w:rPr>
        <w:t>15</w:t>
      </w:r>
      <w:r>
        <w:rPr>
          <w:rFonts w:asciiTheme="majorBidi" w:eastAsia="Times New Roman" w:hAnsiTheme="majorBidi" w:cstheme="majorBidi"/>
          <w:color w:val="222222"/>
          <w:sz w:val="24"/>
          <w:szCs w:val="24"/>
          <w:shd w:val="clear" w:color="auto" w:fill="FFFFFF"/>
        </w:rPr>
        <w:t>: 155-163, 2016.</w:t>
      </w:r>
    </w:p>
    <w:p w14:paraId="6728010F" w14:textId="77777777" w:rsidR="00B16423" w:rsidRPr="00E7682A" w:rsidRDefault="00B16423" w:rsidP="00B16423">
      <w:pPr>
        <w:pStyle w:val="ListParagraph"/>
        <w:numPr>
          <w:ilvl w:val="0"/>
          <w:numId w:val="1"/>
        </w:numPr>
        <w:spacing w:after="200" w:line="480" w:lineRule="auto"/>
        <w:jc w:val="both"/>
        <w:rPr>
          <w:rFonts w:asciiTheme="majorBidi" w:hAnsiTheme="majorBidi" w:cstheme="majorBidi"/>
          <w:sz w:val="24"/>
          <w:szCs w:val="24"/>
        </w:rPr>
      </w:pPr>
      <w:r w:rsidRPr="00E7682A">
        <w:rPr>
          <w:rFonts w:asciiTheme="majorBidi" w:hAnsiTheme="majorBidi" w:cstheme="majorBidi"/>
          <w:color w:val="000000"/>
          <w:sz w:val="24"/>
          <w:szCs w:val="24"/>
        </w:rPr>
        <w:t>Kyritsis P, Bahr R, Landreau P, Miladi R</w:t>
      </w:r>
      <w:r>
        <w:rPr>
          <w:rFonts w:asciiTheme="majorBidi" w:hAnsiTheme="majorBidi" w:cstheme="majorBidi"/>
          <w:color w:val="000000"/>
          <w:sz w:val="24"/>
          <w:szCs w:val="24"/>
        </w:rPr>
        <w:t>,</w:t>
      </w:r>
      <w:r w:rsidRPr="00E7682A">
        <w:rPr>
          <w:rFonts w:asciiTheme="majorBidi" w:hAnsiTheme="majorBidi" w:cstheme="majorBidi"/>
          <w:color w:val="000000"/>
          <w:sz w:val="24"/>
          <w:szCs w:val="24"/>
        </w:rPr>
        <w:t xml:space="preserve"> and Witvrouw E. Likelihood of ACL graft rupture: Not meeting six clinical discharge criteria before return to sport is associated with a four times greater risk of rupture. </w:t>
      </w:r>
      <w:r w:rsidRPr="00E7682A">
        <w:rPr>
          <w:rFonts w:asciiTheme="majorBidi" w:hAnsiTheme="majorBidi" w:cstheme="majorBidi"/>
          <w:i/>
          <w:iCs/>
          <w:color w:val="000000"/>
          <w:sz w:val="24"/>
          <w:szCs w:val="24"/>
        </w:rPr>
        <w:t>Brit J Sports Med</w:t>
      </w:r>
      <w:r w:rsidRPr="00E7682A">
        <w:rPr>
          <w:rFonts w:asciiTheme="majorBidi" w:hAnsiTheme="majorBidi" w:cstheme="majorBidi"/>
          <w:color w:val="000000"/>
          <w:sz w:val="24"/>
          <w:szCs w:val="24"/>
        </w:rPr>
        <w:t xml:space="preserve"> 50: 946–951, 2016.</w:t>
      </w:r>
    </w:p>
    <w:p w14:paraId="04BD7C70"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Lake J, Lauder M, and Smith N. Does  side dominance affect  the symmetry of barbell end kinematics during lower-body resistance exercise? </w:t>
      </w:r>
      <w:r w:rsidRPr="00FA7C9D">
        <w:rPr>
          <w:rFonts w:ascii="Times New Roman" w:hAnsi="Times New Roman" w:cs="Times New Roman"/>
          <w:i/>
          <w:iCs/>
          <w:sz w:val="24"/>
          <w:szCs w:val="24"/>
        </w:rPr>
        <w:t>J Strength Cond Res</w:t>
      </w:r>
      <w:r>
        <w:rPr>
          <w:rFonts w:asciiTheme="majorBidi" w:hAnsiTheme="majorBidi" w:cstheme="majorBidi"/>
          <w:sz w:val="24"/>
          <w:szCs w:val="24"/>
        </w:rPr>
        <w:t xml:space="preserve"> 25: 872-878, 2011. </w:t>
      </w:r>
    </w:p>
    <w:p w14:paraId="745B7BF2" w14:textId="77777777" w:rsidR="00B16423" w:rsidRPr="00FA7C9D"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Lake J, Lauder M, and Smith N. The effect that side dominance has on barbell power symmetry during the hang power clean. </w:t>
      </w:r>
      <w:r w:rsidRPr="00FA7C9D">
        <w:rPr>
          <w:rFonts w:ascii="Times New Roman" w:hAnsi="Times New Roman" w:cs="Times New Roman"/>
          <w:i/>
          <w:iCs/>
          <w:sz w:val="24"/>
          <w:szCs w:val="24"/>
        </w:rPr>
        <w:t>J Strength Cond Res</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24: 3180-3185, 2010. </w:t>
      </w:r>
    </w:p>
    <w:p w14:paraId="74AEFA02"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Lockie R, Callaghan S, Berry S, Cooke E, Jordan C, Luczo T, and Jeffriess M. Relationship between unilateral jumping ability and asymmetry on multidirectional speed in team-sport athletes. </w:t>
      </w:r>
      <w:r>
        <w:rPr>
          <w:rFonts w:asciiTheme="majorBidi" w:hAnsiTheme="majorBidi" w:cstheme="majorBidi"/>
          <w:i/>
          <w:iCs/>
          <w:sz w:val="24"/>
          <w:szCs w:val="24"/>
        </w:rPr>
        <w:t xml:space="preserve">J Strength Cond Res </w:t>
      </w:r>
      <w:r w:rsidRPr="00EE5B95">
        <w:rPr>
          <w:rFonts w:asciiTheme="majorBidi" w:hAnsiTheme="majorBidi" w:cstheme="majorBidi"/>
          <w:sz w:val="24"/>
          <w:szCs w:val="24"/>
        </w:rPr>
        <w:t>28</w:t>
      </w:r>
      <w:r>
        <w:rPr>
          <w:rFonts w:asciiTheme="majorBidi" w:hAnsiTheme="majorBidi" w:cstheme="majorBidi"/>
          <w:sz w:val="24"/>
          <w:szCs w:val="24"/>
        </w:rPr>
        <w:t xml:space="preserve">: 3557-3566, 2014.  </w:t>
      </w:r>
    </w:p>
    <w:p w14:paraId="77BA0BBF"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Maloney S, Richards J, Nixon D, Harvey L, and Fletcher I. Do stiffness and asymmetries predict change of direction performance? </w:t>
      </w:r>
      <w:r w:rsidRPr="00F72939">
        <w:rPr>
          <w:rFonts w:asciiTheme="majorBidi" w:hAnsiTheme="majorBidi" w:cstheme="majorBidi"/>
          <w:i/>
          <w:iCs/>
          <w:sz w:val="24"/>
          <w:szCs w:val="24"/>
        </w:rPr>
        <w:t>J Sports Sci</w:t>
      </w:r>
      <w:r>
        <w:rPr>
          <w:rFonts w:asciiTheme="majorBidi" w:hAnsiTheme="majorBidi" w:cstheme="majorBidi"/>
          <w:sz w:val="24"/>
          <w:szCs w:val="24"/>
        </w:rPr>
        <w:t xml:space="preserve"> 35: 547-556, 2017. </w:t>
      </w:r>
    </w:p>
    <w:p w14:paraId="37618351"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Maloney SJ, Fletcher IM and Richards J. A comparison of methods to determine bilateral asymmetries in vertical leg stiffness. </w:t>
      </w:r>
      <w:r>
        <w:rPr>
          <w:rFonts w:asciiTheme="majorBidi" w:hAnsiTheme="majorBidi" w:cstheme="majorBidi"/>
          <w:i/>
          <w:iCs/>
          <w:sz w:val="24"/>
          <w:szCs w:val="24"/>
        </w:rPr>
        <w:t xml:space="preserve">J Sports Sci </w:t>
      </w:r>
      <w:r>
        <w:rPr>
          <w:rFonts w:asciiTheme="majorBidi" w:hAnsiTheme="majorBidi" w:cstheme="majorBidi"/>
          <w:sz w:val="24"/>
          <w:szCs w:val="24"/>
        </w:rPr>
        <w:t xml:space="preserve">34: 829-835, 2016. </w:t>
      </w:r>
    </w:p>
    <w:p w14:paraId="32F787AE"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McCubbine J, Turner A, Dos’Santos T, and Bishop C. Reliability and measurement of inter-limb asymmetries using 4 unilateral jump tests in elite youth female soccer players. </w:t>
      </w:r>
      <w:r>
        <w:rPr>
          <w:rFonts w:asciiTheme="majorBidi" w:hAnsiTheme="majorBidi" w:cstheme="majorBidi"/>
          <w:i/>
          <w:sz w:val="24"/>
          <w:szCs w:val="24"/>
        </w:rPr>
        <w:t xml:space="preserve">Prof Strength Cond J </w:t>
      </w:r>
      <w:r>
        <w:rPr>
          <w:rFonts w:asciiTheme="majorBidi" w:hAnsiTheme="majorBidi" w:cstheme="majorBidi"/>
          <w:sz w:val="24"/>
          <w:szCs w:val="24"/>
        </w:rPr>
        <w:t xml:space="preserve">(Published ahead of print). </w:t>
      </w:r>
    </w:p>
    <w:p w14:paraId="5D1CDC1A" w14:textId="77777777" w:rsidR="00B16423" w:rsidRPr="005037AA"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Meylan C, McMaster T, Cronin J, Mohammed NI, Rogers C, and deKlerk M. Single-leg lateral, horizontal, and vertical jump assessment: Reliability, interrelationships, and ability to predict sprint and change of direction performance. </w:t>
      </w:r>
      <w:r>
        <w:rPr>
          <w:rFonts w:asciiTheme="majorBidi" w:hAnsiTheme="majorBidi" w:cstheme="majorBidi"/>
          <w:i/>
          <w:iCs/>
          <w:sz w:val="24"/>
          <w:szCs w:val="24"/>
        </w:rPr>
        <w:t xml:space="preserve">J Strength Cond Res </w:t>
      </w:r>
      <w:r>
        <w:rPr>
          <w:rFonts w:asciiTheme="majorBidi" w:hAnsiTheme="majorBidi" w:cstheme="majorBidi"/>
          <w:iCs/>
          <w:sz w:val="24"/>
          <w:szCs w:val="24"/>
        </w:rPr>
        <w:t xml:space="preserve">23: 1140-1147, 2009. </w:t>
      </w:r>
    </w:p>
    <w:p w14:paraId="3734ACA2"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Newton R, Gerber A, Nimphius S, Shim J, Doan B, Robertson M, Pearson D, Craig B, Hakkinen</w:t>
      </w:r>
      <w:r w:rsidRPr="00B63147">
        <w:rPr>
          <w:rFonts w:asciiTheme="majorBidi" w:hAnsiTheme="majorBidi" w:cstheme="majorBidi"/>
          <w:sz w:val="24"/>
          <w:szCs w:val="24"/>
        </w:rPr>
        <w:t xml:space="preserve"> K</w:t>
      </w:r>
      <w:r>
        <w:rPr>
          <w:rFonts w:asciiTheme="majorBidi" w:hAnsiTheme="majorBidi" w:cstheme="majorBidi"/>
          <w:sz w:val="24"/>
          <w:szCs w:val="24"/>
        </w:rPr>
        <w:t>, and Kraemer W</w:t>
      </w:r>
      <w:r w:rsidRPr="00B63147">
        <w:rPr>
          <w:rFonts w:asciiTheme="majorBidi" w:hAnsiTheme="majorBidi" w:cstheme="majorBidi"/>
          <w:sz w:val="24"/>
          <w:szCs w:val="24"/>
        </w:rPr>
        <w:t xml:space="preserve">. Determination of functional strength imbalance of the lower extremities.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20: 971-977, 2006. </w:t>
      </w:r>
    </w:p>
    <w:p w14:paraId="7ACF9EDC"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Rohman E, Steubs J, and Tompkins M. Changes in involved and uninvolved limb function during rehabilitation after anterior cruciate ligament reconstruction: Implications for limb symmetry index measures. </w:t>
      </w:r>
      <w:r>
        <w:rPr>
          <w:rFonts w:asciiTheme="majorBidi" w:hAnsiTheme="majorBidi" w:cstheme="majorBidi"/>
          <w:i/>
          <w:iCs/>
          <w:sz w:val="24"/>
          <w:szCs w:val="24"/>
        </w:rPr>
        <w:t xml:space="preserve">Amer J Sports Med </w:t>
      </w:r>
      <w:r>
        <w:rPr>
          <w:rFonts w:asciiTheme="majorBidi" w:hAnsiTheme="majorBidi" w:cstheme="majorBidi"/>
          <w:sz w:val="24"/>
          <w:szCs w:val="24"/>
        </w:rPr>
        <w:t xml:space="preserve">43: 1391-1398, 2015. </w:t>
      </w:r>
    </w:p>
    <w:p w14:paraId="0A0E603A" w14:textId="77777777" w:rsidR="00B16423" w:rsidRDefault="00B16423" w:rsidP="00B16423">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Sato K, and Heise G</w:t>
      </w:r>
      <w:r w:rsidRPr="00B63147">
        <w:rPr>
          <w:rFonts w:asciiTheme="majorBidi" w:hAnsiTheme="majorBidi" w:cstheme="majorBidi"/>
          <w:sz w:val="24"/>
          <w:szCs w:val="24"/>
        </w:rPr>
        <w:t xml:space="preserve">. Influence of weight distribution asymmetry on the biomechanics of a barbell squat.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26: 342-349, 2012. </w:t>
      </w:r>
    </w:p>
    <w:p w14:paraId="648E3FC0" w14:textId="77777777" w:rsidR="00B16423" w:rsidRPr="00F41C8B" w:rsidRDefault="00B16423" w:rsidP="00B1642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Ugrinowitsch C, Tricoli V, Rodacki A, Batista M, and Ricard M</w:t>
      </w:r>
      <w:r w:rsidRPr="00F41C8B">
        <w:rPr>
          <w:rFonts w:ascii="Times New Roman" w:hAnsi="Times New Roman" w:cs="Times New Roman"/>
          <w:sz w:val="24"/>
          <w:szCs w:val="24"/>
          <w:lang w:val="en-US"/>
        </w:rPr>
        <w:t xml:space="preserve">. Influence of training background on jumping height. </w:t>
      </w:r>
      <w:r w:rsidRPr="00F41C8B">
        <w:rPr>
          <w:rFonts w:ascii="Times New Roman" w:hAnsi="Times New Roman" w:cs="Times New Roman"/>
          <w:i/>
          <w:sz w:val="24"/>
          <w:szCs w:val="24"/>
          <w:lang w:val="en-US"/>
        </w:rPr>
        <w:t>J Strength Cond Res</w:t>
      </w:r>
      <w:r w:rsidRPr="00F41C8B">
        <w:rPr>
          <w:rFonts w:ascii="Times New Roman" w:hAnsi="Times New Roman" w:cs="Times New Roman"/>
          <w:sz w:val="24"/>
          <w:szCs w:val="24"/>
          <w:lang w:val="en-US"/>
        </w:rPr>
        <w:t xml:space="preserve"> 21: 848–852, 2007.</w:t>
      </w:r>
    </w:p>
    <w:p w14:paraId="403088CF" w14:textId="77777777" w:rsidR="00B16423" w:rsidRPr="003B3EAE" w:rsidRDefault="00B16423" w:rsidP="003B3EAE">
      <w:pPr>
        <w:pStyle w:val="ListParagraph"/>
        <w:numPr>
          <w:ilvl w:val="0"/>
          <w:numId w:val="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Viera A, and Garrett J. Understanding the interobserver agreement: The kappa statistic. </w:t>
      </w:r>
      <w:r>
        <w:rPr>
          <w:rFonts w:asciiTheme="majorBidi" w:hAnsiTheme="majorBidi" w:cstheme="majorBidi"/>
          <w:i/>
          <w:sz w:val="24"/>
          <w:szCs w:val="24"/>
        </w:rPr>
        <w:t xml:space="preserve">Family Med </w:t>
      </w:r>
      <w:r>
        <w:rPr>
          <w:rFonts w:asciiTheme="majorBidi" w:hAnsiTheme="majorBidi" w:cstheme="majorBidi"/>
          <w:sz w:val="24"/>
          <w:szCs w:val="24"/>
        </w:rPr>
        <w:t xml:space="preserve">37: 36-363, 2005. </w:t>
      </w:r>
    </w:p>
    <w:p w14:paraId="20FD41CC" w14:textId="77777777" w:rsidR="003B3EAE" w:rsidRDefault="003B3EAE" w:rsidP="00B16423">
      <w:pPr>
        <w:spacing w:line="480" w:lineRule="auto"/>
        <w:jc w:val="both"/>
        <w:rPr>
          <w:rFonts w:asciiTheme="majorBidi" w:hAnsiTheme="majorBidi" w:cstheme="majorBidi"/>
          <w:sz w:val="24"/>
          <w:szCs w:val="24"/>
        </w:rPr>
      </w:pPr>
    </w:p>
    <w:p w14:paraId="2ED1E55C" w14:textId="77777777" w:rsidR="003B3EAE" w:rsidRDefault="003B3EAE" w:rsidP="00B16423">
      <w:pPr>
        <w:spacing w:line="480" w:lineRule="auto"/>
        <w:jc w:val="both"/>
        <w:rPr>
          <w:rFonts w:asciiTheme="majorBidi" w:hAnsiTheme="majorBidi" w:cstheme="majorBidi"/>
          <w:sz w:val="24"/>
          <w:szCs w:val="24"/>
        </w:rPr>
      </w:pPr>
    </w:p>
    <w:p w14:paraId="4558C161"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1: Mean performance data ± </w:t>
      </w:r>
      <w:r w:rsidR="00A0281B" w:rsidRPr="002C5575">
        <w:rPr>
          <w:rFonts w:asciiTheme="majorBidi" w:hAnsiTheme="majorBidi" w:cstheme="majorBidi"/>
          <w:sz w:val="24"/>
          <w:szCs w:val="24"/>
        </w:rPr>
        <w:t>standard deviations (</w:t>
      </w:r>
      <w:r w:rsidRPr="002C5575">
        <w:rPr>
          <w:rFonts w:asciiTheme="majorBidi" w:hAnsiTheme="majorBidi" w:cstheme="majorBidi"/>
          <w:sz w:val="24"/>
          <w:szCs w:val="24"/>
        </w:rPr>
        <w:t>SD</w:t>
      </w:r>
      <w:r w:rsidR="00A0281B" w:rsidRPr="002C5575">
        <w:rPr>
          <w:rFonts w:asciiTheme="majorBidi" w:hAnsiTheme="majorBidi" w:cstheme="majorBidi"/>
          <w:sz w:val="24"/>
          <w:szCs w:val="24"/>
        </w:rPr>
        <w:t>)</w:t>
      </w:r>
      <w:r w:rsidRPr="002C5575">
        <w:rPr>
          <w:rFonts w:asciiTheme="majorBidi" w:hAnsiTheme="majorBidi" w:cstheme="majorBidi"/>
          <w:sz w:val="24"/>
          <w:szCs w:val="24"/>
        </w:rPr>
        <w:t>,</w:t>
      </w:r>
      <w:r>
        <w:rPr>
          <w:rFonts w:asciiTheme="majorBidi" w:hAnsiTheme="majorBidi" w:cstheme="majorBidi"/>
          <w:sz w:val="24"/>
          <w:szCs w:val="24"/>
        </w:rPr>
        <w:t xml:space="preserve"> asymmetry data, and reliability data for isometric squat, countermovement, and broad jump metrics. </w:t>
      </w:r>
    </w:p>
    <w:tbl>
      <w:tblPr>
        <w:tblStyle w:val="TableGrid"/>
        <w:tblW w:w="0" w:type="auto"/>
        <w:tblLook w:val="04A0" w:firstRow="1" w:lastRow="0" w:firstColumn="1" w:lastColumn="0" w:noHBand="0" w:noVBand="1"/>
      </w:tblPr>
      <w:tblGrid>
        <w:gridCol w:w="1803"/>
        <w:gridCol w:w="1594"/>
        <w:gridCol w:w="2012"/>
        <w:gridCol w:w="1532"/>
        <w:gridCol w:w="2075"/>
      </w:tblGrid>
      <w:tr w:rsidR="00B16423" w14:paraId="3D2CFFFD" w14:textId="77777777" w:rsidTr="00032EB7">
        <w:tc>
          <w:tcPr>
            <w:tcW w:w="1803" w:type="dxa"/>
          </w:tcPr>
          <w:p w14:paraId="78FF8099" w14:textId="77777777" w:rsidR="00B16423" w:rsidRPr="00866B5E"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Test/Metric</w:t>
            </w:r>
          </w:p>
        </w:tc>
        <w:tc>
          <w:tcPr>
            <w:tcW w:w="1594" w:type="dxa"/>
          </w:tcPr>
          <w:p w14:paraId="7CF57007" w14:textId="77777777" w:rsidR="00B16423" w:rsidRPr="00866B5E"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 xml:space="preserve">Mean ± SD </w:t>
            </w:r>
          </w:p>
        </w:tc>
        <w:tc>
          <w:tcPr>
            <w:tcW w:w="2012" w:type="dxa"/>
          </w:tcPr>
          <w:p w14:paraId="6ED7C5E2" w14:textId="77777777" w:rsidR="00B16423" w:rsidRPr="00866B5E"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Mean Asymmetry (%)</w:t>
            </w:r>
          </w:p>
        </w:tc>
        <w:tc>
          <w:tcPr>
            <w:tcW w:w="1532" w:type="dxa"/>
          </w:tcPr>
          <w:p w14:paraId="66CF6D5B" w14:textId="77777777" w:rsidR="00B16423"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CV</w:t>
            </w:r>
          </w:p>
          <w:p w14:paraId="3EA31872" w14:textId="77777777" w:rsidR="00B16423" w:rsidRPr="00866B5E"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w:t>
            </w:r>
          </w:p>
        </w:tc>
        <w:tc>
          <w:tcPr>
            <w:tcW w:w="2075" w:type="dxa"/>
          </w:tcPr>
          <w:p w14:paraId="11EDA5D5" w14:textId="77777777" w:rsidR="00B16423"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ICC</w:t>
            </w:r>
          </w:p>
          <w:p w14:paraId="64FF9CBE" w14:textId="77777777" w:rsidR="00B16423" w:rsidRPr="00866B5E" w:rsidRDefault="00A0281B"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w:t>
            </w:r>
            <w:r w:rsidRPr="002C5575">
              <w:rPr>
                <w:rFonts w:asciiTheme="majorBidi" w:hAnsiTheme="majorBidi" w:cstheme="majorBidi"/>
                <w:b/>
                <w:sz w:val="24"/>
                <w:szCs w:val="24"/>
              </w:rPr>
              <w:t>95% Confidence Intervals</w:t>
            </w:r>
            <w:r w:rsidR="00B16423">
              <w:rPr>
                <w:rFonts w:asciiTheme="majorBidi" w:hAnsiTheme="majorBidi" w:cstheme="majorBidi"/>
                <w:b/>
                <w:sz w:val="24"/>
                <w:szCs w:val="24"/>
              </w:rPr>
              <w:t>)</w:t>
            </w:r>
          </w:p>
        </w:tc>
      </w:tr>
      <w:tr w:rsidR="00B16423" w14:paraId="1D26CFAA" w14:textId="77777777" w:rsidTr="00032EB7">
        <w:tc>
          <w:tcPr>
            <w:tcW w:w="1803" w:type="dxa"/>
          </w:tcPr>
          <w:p w14:paraId="02655405"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Iso PF (L)</w:t>
            </w:r>
          </w:p>
          <w:p w14:paraId="045505C2"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Iso PF (R)</w:t>
            </w:r>
          </w:p>
        </w:tc>
        <w:tc>
          <w:tcPr>
            <w:tcW w:w="1594" w:type="dxa"/>
          </w:tcPr>
          <w:p w14:paraId="4CCA90F6"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1597 ± 438 N</w:t>
            </w:r>
          </w:p>
          <w:p w14:paraId="122801A8"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1595 ± 397 N</w:t>
            </w:r>
          </w:p>
        </w:tc>
        <w:tc>
          <w:tcPr>
            <w:tcW w:w="2012" w:type="dxa"/>
          </w:tcPr>
          <w:p w14:paraId="23D43B7C"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w:t>
            </w:r>
          </w:p>
          <w:p w14:paraId="1FFAD964" w14:textId="77777777" w:rsidR="00B16423" w:rsidRDefault="00B16423" w:rsidP="00032EB7">
            <w:pPr>
              <w:spacing w:line="360" w:lineRule="auto"/>
              <w:jc w:val="center"/>
              <w:rPr>
                <w:rFonts w:asciiTheme="majorBidi" w:hAnsiTheme="majorBidi" w:cstheme="majorBidi"/>
                <w:sz w:val="24"/>
                <w:szCs w:val="24"/>
              </w:rPr>
            </w:pPr>
          </w:p>
        </w:tc>
        <w:tc>
          <w:tcPr>
            <w:tcW w:w="1532" w:type="dxa"/>
          </w:tcPr>
          <w:p w14:paraId="7572A6E5"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5.4</w:t>
            </w:r>
          </w:p>
          <w:p w14:paraId="4A7989AA"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5.7</w:t>
            </w:r>
          </w:p>
        </w:tc>
        <w:tc>
          <w:tcPr>
            <w:tcW w:w="2075" w:type="dxa"/>
          </w:tcPr>
          <w:p w14:paraId="33A31CF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0.94 (0.88-0.97)</w:t>
            </w:r>
          </w:p>
          <w:p w14:paraId="139A2FC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0.93 (0.87-0.96)</w:t>
            </w:r>
          </w:p>
        </w:tc>
      </w:tr>
      <w:tr w:rsidR="00B16423" w14:paraId="1F600A58" w14:textId="77777777" w:rsidTr="00032EB7">
        <w:tc>
          <w:tcPr>
            <w:tcW w:w="1803" w:type="dxa"/>
          </w:tcPr>
          <w:p w14:paraId="74F96A59"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PF (L)</w:t>
            </w:r>
          </w:p>
          <w:p w14:paraId="1F71BE03"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PF (R)</w:t>
            </w:r>
          </w:p>
          <w:p w14:paraId="69933F4C"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EI (L)</w:t>
            </w:r>
          </w:p>
          <w:p w14:paraId="50F02804"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EI (R)</w:t>
            </w:r>
          </w:p>
          <w:p w14:paraId="283C0064"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CI (L)</w:t>
            </w:r>
          </w:p>
          <w:p w14:paraId="20E7B520"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CI (R)</w:t>
            </w:r>
          </w:p>
        </w:tc>
        <w:tc>
          <w:tcPr>
            <w:tcW w:w="1594" w:type="dxa"/>
          </w:tcPr>
          <w:p w14:paraId="741C5A53"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863 ± 204 N</w:t>
            </w:r>
          </w:p>
          <w:p w14:paraId="7EC209D9"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831 ± 182 N</w:t>
            </w:r>
          </w:p>
          <w:p w14:paraId="7500D904" w14:textId="13A90A02" w:rsidR="00B16423" w:rsidRPr="002C5575"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70 ± 17 N∙s</w:t>
            </w:r>
          </w:p>
          <w:p w14:paraId="3C927327" w14:textId="78D02666"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67 ± 17 N∙s</w:t>
            </w:r>
            <w:r>
              <w:rPr>
                <w:rFonts w:asciiTheme="majorBidi" w:hAnsiTheme="majorBidi" w:cstheme="majorBidi"/>
                <w:sz w:val="24"/>
                <w:szCs w:val="24"/>
                <w:vertAlign w:val="superscript"/>
              </w:rPr>
              <w:t xml:space="preserve"> </w:t>
            </w:r>
          </w:p>
          <w:p w14:paraId="59586D04" w14:textId="0C935A13" w:rsidR="00B16423" w:rsidRPr="002C5575"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152 ± 21 N∙s</w:t>
            </w:r>
          </w:p>
          <w:p w14:paraId="305B2818" w14:textId="2E3238F2"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150 ± 20 N∙s</w:t>
            </w:r>
            <w:r>
              <w:rPr>
                <w:rFonts w:asciiTheme="majorBidi" w:hAnsiTheme="majorBidi" w:cstheme="majorBidi"/>
                <w:sz w:val="24"/>
                <w:szCs w:val="24"/>
                <w:vertAlign w:val="superscript"/>
              </w:rPr>
              <w:t xml:space="preserve"> </w:t>
            </w:r>
          </w:p>
        </w:tc>
        <w:tc>
          <w:tcPr>
            <w:tcW w:w="2012" w:type="dxa"/>
          </w:tcPr>
          <w:p w14:paraId="341DDAF0"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-3.4</w:t>
            </w:r>
          </w:p>
          <w:p w14:paraId="78650832" w14:textId="77777777" w:rsidR="00B16423" w:rsidRDefault="00B16423" w:rsidP="00032EB7">
            <w:pPr>
              <w:spacing w:line="360" w:lineRule="auto"/>
              <w:jc w:val="center"/>
              <w:rPr>
                <w:rFonts w:asciiTheme="majorBidi" w:hAnsiTheme="majorBidi" w:cstheme="majorBidi"/>
                <w:sz w:val="24"/>
                <w:szCs w:val="24"/>
              </w:rPr>
            </w:pPr>
          </w:p>
          <w:p w14:paraId="56F84C4A"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-4.2</w:t>
            </w:r>
          </w:p>
          <w:p w14:paraId="0E93A2E7" w14:textId="77777777" w:rsidR="00B16423" w:rsidRDefault="00B16423" w:rsidP="00032EB7">
            <w:pPr>
              <w:spacing w:line="360" w:lineRule="auto"/>
              <w:jc w:val="center"/>
              <w:rPr>
                <w:rFonts w:asciiTheme="majorBidi" w:hAnsiTheme="majorBidi" w:cstheme="majorBidi"/>
                <w:sz w:val="24"/>
                <w:szCs w:val="24"/>
              </w:rPr>
            </w:pPr>
          </w:p>
          <w:p w14:paraId="50DD4099"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-1.6</w:t>
            </w:r>
          </w:p>
          <w:p w14:paraId="53040EC3" w14:textId="77777777" w:rsidR="00B16423" w:rsidRDefault="00B16423" w:rsidP="00032EB7">
            <w:pPr>
              <w:spacing w:line="360" w:lineRule="auto"/>
              <w:rPr>
                <w:rFonts w:asciiTheme="majorBidi" w:hAnsiTheme="majorBidi" w:cstheme="majorBidi"/>
                <w:sz w:val="24"/>
                <w:szCs w:val="24"/>
              </w:rPr>
            </w:pPr>
          </w:p>
        </w:tc>
        <w:tc>
          <w:tcPr>
            <w:tcW w:w="1532" w:type="dxa"/>
          </w:tcPr>
          <w:p w14:paraId="5DB73F3B"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5.8</w:t>
            </w:r>
          </w:p>
          <w:p w14:paraId="5A01A5F4"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5.3</w:t>
            </w:r>
          </w:p>
          <w:p w14:paraId="0C487496"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8.7</w:t>
            </w:r>
          </w:p>
          <w:p w14:paraId="52AD4408"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9.1</w:t>
            </w:r>
          </w:p>
          <w:p w14:paraId="5C17C0D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3.3</w:t>
            </w:r>
          </w:p>
          <w:p w14:paraId="164D10EF"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4.1</w:t>
            </w:r>
          </w:p>
        </w:tc>
        <w:tc>
          <w:tcPr>
            <w:tcW w:w="2075" w:type="dxa"/>
          </w:tcPr>
          <w:p w14:paraId="258F4FBB"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0.89 (0.80-0.94)</w:t>
            </w:r>
          </w:p>
          <w:p w14:paraId="05F2878A"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0.93 (0.87-0.96)</w:t>
            </w:r>
          </w:p>
          <w:p w14:paraId="44465B00"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0.89 (0.81-0.95)</w:t>
            </w:r>
          </w:p>
          <w:p w14:paraId="5A1DECBC"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0.83 (0.71-0.91)</w:t>
            </w:r>
          </w:p>
          <w:p w14:paraId="490FCB0D"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0.92 (0.86-0.96)</w:t>
            </w:r>
          </w:p>
          <w:p w14:paraId="7DED9AFE"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0.81 (0.69-0.90)</w:t>
            </w:r>
          </w:p>
        </w:tc>
      </w:tr>
      <w:tr w:rsidR="00B16423" w14:paraId="52578056" w14:textId="77777777" w:rsidTr="00032EB7">
        <w:tc>
          <w:tcPr>
            <w:tcW w:w="1803" w:type="dxa"/>
          </w:tcPr>
          <w:p w14:paraId="4279A66A"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PF (L)</w:t>
            </w:r>
          </w:p>
          <w:p w14:paraId="4FF1FF2F"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PF (R)</w:t>
            </w:r>
          </w:p>
          <w:p w14:paraId="11D77D47"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EI (L)</w:t>
            </w:r>
          </w:p>
          <w:p w14:paraId="12EDC00C"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EI (R)</w:t>
            </w:r>
          </w:p>
          <w:p w14:paraId="45ED4920"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CI (L)</w:t>
            </w:r>
          </w:p>
          <w:p w14:paraId="3B1B3661"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CI (R)</w:t>
            </w:r>
          </w:p>
        </w:tc>
        <w:tc>
          <w:tcPr>
            <w:tcW w:w="1594" w:type="dxa"/>
          </w:tcPr>
          <w:p w14:paraId="1E01F458"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732 ± 156 N</w:t>
            </w:r>
          </w:p>
          <w:p w14:paraId="4C0783EC"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722 ± 159 N</w:t>
            </w:r>
          </w:p>
          <w:p w14:paraId="575CD82A" w14:textId="1D6A01E6"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59 ± 19 N∙s</w:t>
            </w:r>
            <w:r>
              <w:rPr>
                <w:rFonts w:asciiTheme="majorBidi" w:hAnsiTheme="majorBidi" w:cstheme="majorBidi"/>
                <w:sz w:val="24"/>
                <w:szCs w:val="24"/>
                <w:vertAlign w:val="superscript"/>
              </w:rPr>
              <w:t xml:space="preserve"> </w:t>
            </w:r>
          </w:p>
          <w:p w14:paraId="1FDD9E86" w14:textId="3F73B787" w:rsidR="00B16423" w:rsidRPr="002C5575"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56 ± 17 N∙s</w:t>
            </w:r>
          </w:p>
          <w:p w14:paraId="1417374D" w14:textId="28405028"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104 ± 17 N∙s</w:t>
            </w:r>
            <w:r>
              <w:rPr>
                <w:rFonts w:asciiTheme="majorBidi" w:hAnsiTheme="majorBidi" w:cstheme="majorBidi"/>
                <w:sz w:val="24"/>
                <w:szCs w:val="24"/>
                <w:vertAlign w:val="superscript"/>
              </w:rPr>
              <w:t xml:space="preserve"> </w:t>
            </w:r>
          </w:p>
          <w:p w14:paraId="59B1366D" w14:textId="0AA2298C"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102 ± 14 N∙s</w:t>
            </w:r>
            <w:r>
              <w:rPr>
                <w:rFonts w:asciiTheme="majorBidi" w:hAnsiTheme="majorBidi" w:cstheme="majorBidi"/>
                <w:sz w:val="24"/>
                <w:szCs w:val="24"/>
                <w:vertAlign w:val="superscript"/>
              </w:rPr>
              <w:t xml:space="preserve"> </w:t>
            </w:r>
          </w:p>
        </w:tc>
        <w:tc>
          <w:tcPr>
            <w:tcW w:w="2012" w:type="dxa"/>
          </w:tcPr>
          <w:p w14:paraId="7E81C8F0"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-1.4</w:t>
            </w:r>
          </w:p>
          <w:p w14:paraId="54069B1E" w14:textId="77777777" w:rsidR="00B16423" w:rsidRDefault="00B16423" w:rsidP="00032EB7">
            <w:pPr>
              <w:spacing w:line="360" w:lineRule="auto"/>
              <w:jc w:val="center"/>
              <w:rPr>
                <w:rFonts w:asciiTheme="majorBidi" w:hAnsiTheme="majorBidi" w:cstheme="majorBidi"/>
                <w:sz w:val="24"/>
                <w:szCs w:val="24"/>
              </w:rPr>
            </w:pPr>
          </w:p>
          <w:p w14:paraId="1C79B886"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-5.3</w:t>
            </w:r>
          </w:p>
          <w:p w14:paraId="04A8B25E" w14:textId="77777777" w:rsidR="00B16423" w:rsidRDefault="00B16423" w:rsidP="00032EB7">
            <w:pPr>
              <w:spacing w:line="360" w:lineRule="auto"/>
              <w:jc w:val="center"/>
              <w:rPr>
                <w:rFonts w:asciiTheme="majorBidi" w:hAnsiTheme="majorBidi" w:cstheme="majorBidi"/>
                <w:sz w:val="24"/>
                <w:szCs w:val="24"/>
              </w:rPr>
            </w:pPr>
          </w:p>
          <w:p w14:paraId="56CF70C7"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32" w:type="dxa"/>
          </w:tcPr>
          <w:p w14:paraId="6F2657B5"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8.7</w:t>
            </w:r>
          </w:p>
          <w:p w14:paraId="2CFFBDA8"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9.3</w:t>
            </w:r>
          </w:p>
          <w:p w14:paraId="6A1B9618"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11.9</w:t>
            </w:r>
          </w:p>
          <w:p w14:paraId="3F59FC2C"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11.1</w:t>
            </w:r>
          </w:p>
          <w:p w14:paraId="7A2BFB93"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7.3</w:t>
            </w:r>
          </w:p>
          <w:p w14:paraId="045F1D35"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8.8</w:t>
            </w:r>
          </w:p>
        </w:tc>
        <w:tc>
          <w:tcPr>
            <w:tcW w:w="2075" w:type="dxa"/>
          </w:tcPr>
          <w:p w14:paraId="4FF035D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0.75 (0.59-0.86)</w:t>
            </w:r>
          </w:p>
          <w:p w14:paraId="4D4DA2A3"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0.80 (0.66-0.89)</w:t>
            </w:r>
          </w:p>
          <w:p w14:paraId="36652FE4"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0.85 (0.74-0.92)</w:t>
            </w:r>
          </w:p>
          <w:p w14:paraId="62EB0E26"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0.87 (0.77-0.93)</w:t>
            </w:r>
          </w:p>
          <w:p w14:paraId="6E8ABD37"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0.69 (0.51-0.83)</w:t>
            </w:r>
          </w:p>
          <w:p w14:paraId="5B89D905"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0.66 (0.47-0.81) </w:t>
            </w:r>
          </w:p>
        </w:tc>
      </w:tr>
      <w:tr w:rsidR="00B16423" w14:paraId="096E14FB" w14:textId="77777777" w:rsidTr="00032EB7">
        <w:tc>
          <w:tcPr>
            <w:tcW w:w="9016" w:type="dxa"/>
            <w:gridSpan w:val="5"/>
          </w:tcPr>
          <w:p w14:paraId="01E35630" w14:textId="59CF646E" w:rsidR="00B16423" w:rsidRPr="008538C1" w:rsidRDefault="00B16423" w:rsidP="00032EB7">
            <w:pPr>
              <w:spacing w:line="360" w:lineRule="auto"/>
              <w:rPr>
                <w:rFonts w:asciiTheme="majorBidi" w:hAnsiTheme="majorBidi" w:cstheme="majorBidi"/>
                <w:sz w:val="24"/>
                <w:szCs w:val="24"/>
              </w:rPr>
            </w:pPr>
            <w:r>
              <w:rPr>
                <w:rFonts w:asciiTheme="majorBidi" w:hAnsiTheme="majorBidi" w:cstheme="majorBidi"/>
                <w:sz w:val="24"/>
                <w:szCs w:val="24"/>
              </w:rPr>
              <w:t>CV = coefficient of variation, ICC = intraclass correlation coeffici</w:t>
            </w:r>
            <w:r w:rsidR="00A0281B">
              <w:rPr>
                <w:rFonts w:asciiTheme="majorBidi" w:hAnsiTheme="majorBidi" w:cstheme="majorBidi"/>
                <w:sz w:val="24"/>
                <w:szCs w:val="24"/>
              </w:rPr>
              <w:t xml:space="preserve">ent, </w:t>
            </w:r>
            <w:r w:rsidR="006C5F59">
              <w:rPr>
                <w:rFonts w:asciiTheme="majorBidi" w:hAnsiTheme="majorBidi" w:cstheme="majorBidi"/>
                <w:sz w:val="24"/>
                <w:szCs w:val="24"/>
              </w:rPr>
              <w:t xml:space="preserve">Iso = isometric, </w:t>
            </w:r>
            <w:r w:rsidR="006C5F59" w:rsidRPr="002C5575">
              <w:rPr>
                <w:rFonts w:asciiTheme="majorBidi" w:hAnsiTheme="majorBidi" w:cstheme="majorBidi"/>
                <w:sz w:val="24"/>
                <w:szCs w:val="24"/>
              </w:rPr>
              <w:t>SL</w:t>
            </w:r>
            <w:r w:rsidRPr="002C5575">
              <w:rPr>
                <w:rFonts w:asciiTheme="majorBidi" w:hAnsiTheme="majorBidi" w:cstheme="majorBidi"/>
                <w:sz w:val="24"/>
                <w:szCs w:val="24"/>
              </w:rPr>
              <w:t xml:space="preserve">CMJ = </w:t>
            </w:r>
            <w:r w:rsidR="006C5F59" w:rsidRPr="002C5575">
              <w:rPr>
                <w:rFonts w:asciiTheme="majorBidi" w:hAnsiTheme="majorBidi" w:cstheme="majorBidi"/>
                <w:sz w:val="24"/>
                <w:szCs w:val="24"/>
              </w:rPr>
              <w:t xml:space="preserve">single leg </w:t>
            </w:r>
            <w:r w:rsidRPr="002C5575">
              <w:rPr>
                <w:rFonts w:asciiTheme="majorBidi" w:hAnsiTheme="majorBidi" w:cstheme="majorBidi"/>
                <w:sz w:val="24"/>
                <w:szCs w:val="24"/>
              </w:rPr>
              <w:t xml:space="preserve">countermovement jump, </w:t>
            </w:r>
            <w:r w:rsidR="006C5F59" w:rsidRPr="002C5575">
              <w:rPr>
                <w:rFonts w:asciiTheme="majorBidi" w:hAnsiTheme="majorBidi" w:cstheme="majorBidi"/>
                <w:sz w:val="24"/>
                <w:szCs w:val="24"/>
              </w:rPr>
              <w:t>SL</w:t>
            </w:r>
            <w:r w:rsidRPr="002C5575">
              <w:rPr>
                <w:rFonts w:asciiTheme="majorBidi" w:hAnsiTheme="majorBidi" w:cstheme="majorBidi"/>
                <w:sz w:val="24"/>
                <w:szCs w:val="24"/>
              </w:rPr>
              <w:t>BJ =</w:t>
            </w:r>
            <w:r w:rsidR="006C5F59" w:rsidRPr="002C5575">
              <w:rPr>
                <w:rFonts w:asciiTheme="majorBidi" w:hAnsiTheme="majorBidi" w:cstheme="majorBidi"/>
                <w:sz w:val="24"/>
                <w:szCs w:val="24"/>
              </w:rPr>
              <w:t xml:space="preserve"> single leg</w:t>
            </w:r>
            <w:r w:rsidRPr="002C5575">
              <w:rPr>
                <w:rFonts w:asciiTheme="majorBidi" w:hAnsiTheme="majorBidi" w:cstheme="majorBidi"/>
                <w:sz w:val="24"/>
                <w:szCs w:val="24"/>
              </w:rPr>
              <w:t xml:space="preserve"> broad jump</w:t>
            </w:r>
            <w:r>
              <w:rPr>
                <w:rFonts w:asciiTheme="majorBidi" w:hAnsiTheme="majorBidi" w:cstheme="majorBidi"/>
                <w:sz w:val="24"/>
                <w:szCs w:val="24"/>
              </w:rPr>
              <w:t>, PF = peak force, EI = eccentric impulse, CI = concentric impulse, L = left, R = right, N = newtons, N∙s</w:t>
            </w:r>
            <w:bookmarkStart w:id="0" w:name="_GoBack"/>
            <w:bookmarkEnd w:id="0"/>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newton seconds. </w:t>
            </w:r>
          </w:p>
        </w:tc>
      </w:tr>
    </w:tbl>
    <w:p w14:paraId="5F2794BC" w14:textId="77777777" w:rsidR="00B16423" w:rsidRDefault="00B16423" w:rsidP="00B16423">
      <w:pPr>
        <w:spacing w:line="480" w:lineRule="auto"/>
        <w:jc w:val="both"/>
        <w:rPr>
          <w:rFonts w:asciiTheme="majorBidi" w:hAnsiTheme="majorBidi" w:cstheme="majorBidi"/>
          <w:sz w:val="24"/>
          <w:szCs w:val="24"/>
        </w:rPr>
      </w:pPr>
    </w:p>
    <w:p w14:paraId="0C81DFEF" w14:textId="77777777" w:rsidR="00B16423" w:rsidRDefault="00B16423" w:rsidP="00B16423">
      <w:pPr>
        <w:spacing w:line="480" w:lineRule="auto"/>
        <w:jc w:val="both"/>
        <w:rPr>
          <w:rFonts w:asciiTheme="majorBidi" w:hAnsiTheme="majorBidi" w:cstheme="majorBidi"/>
          <w:sz w:val="24"/>
          <w:szCs w:val="24"/>
        </w:rPr>
      </w:pPr>
    </w:p>
    <w:p w14:paraId="6D7890BD" w14:textId="77777777" w:rsidR="00B16423" w:rsidRDefault="00B16423" w:rsidP="00B16423">
      <w:pPr>
        <w:spacing w:line="480" w:lineRule="auto"/>
        <w:jc w:val="both"/>
        <w:rPr>
          <w:rFonts w:asciiTheme="majorBidi" w:hAnsiTheme="majorBidi" w:cstheme="majorBidi"/>
          <w:sz w:val="24"/>
          <w:szCs w:val="24"/>
        </w:rPr>
      </w:pPr>
    </w:p>
    <w:p w14:paraId="45559659" w14:textId="77777777" w:rsidR="00B16423" w:rsidRDefault="00B16423" w:rsidP="00B16423">
      <w:pPr>
        <w:spacing w:line="480" w:lineRule="auto"/>
        <w:jc w:val="both"/>
        <w:rPr>
          <w:rFonts w:asciiTheme="majorBidi" w:hAnsiTheme="majorBidi" w:cstheme="majorBidi"/>
          <w:sz w:val="24"/>
          <w:szCs w:val="24"/>
        </w:rPr>
      </w:pPr>
    </w:p>
    <w:p w14:paraId="7F75BF8D" w14:textId="77777777" w:rsidR="00B16423" w:rsidRDefault="00B16423" w:rsidP="00B16423">
      <w:pPr>
        <w:spacing w:line="480" w:lineRule="auto"/>
        <w:jc w:val="both"/>
        <w:rPr>
          <w:rFonts w:asciiTheme="majorBidi" w:hAnsiTheme="majorBidi" w:cstheme="majorBidi"/>
          <w:sz w:val="24"/>
          <w:szCs w:val="24"/>
        </w:rPr>
      </w:pPr>
    </w:p>
    <w:p w14:paraId="634281A7" w14:textId="77777777" w:rsidR="00B16423" w:rsidRDefault="00B16423" w:rsidP="00B16423">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2: Kappa values and descriptive levels of agreement between the favored and non-favored sides for peak force, and eccentric and concentric impulse metrics across common tests. </w:t>
      </w:r>
    </w:p>
    <w:tbl>
      <w:tblPr>
        <w:tblStyle w:val="TableGrid"/>
        <w:tblW w:w="0" w:type="auto"/>
        <w:tblLook w:val="04A0" w:firstRow="1" w:lastRow="0" w:firstColumn="1" w:lastColumn="0" w:noHBand="0" w:noVBand="1"/>
      </w:tblPr>
      <w:tblGrid>
        <w:gridCol w:w="3005"/>
        <w:gridCol w:w="3005"/>
        <w:gridCol w:w="3006"/>
      </w:tblGrid>
      <w:tr w:rsidR="00B16423" w14:paraId="7A63C670" w14:textId="77777777" w:rsidTr="00032EB7">
        <w:tc>
          <w:tcPr>
            <w:tcW w:w="3005" w:type="dxa"/>
          </w:tcPr>
          <w:p w14:paraId="0974C035" w14:textId="77777777" w:rsidR="00B16423" w:rsidRPr="00141C14"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Test Methods</w:t>
            </w:r>
          </w:p>
        </w:tc>
        <w:tc>
          <w:tcPr>
            <w:tcW w:w="3005" w:type="dxa"/>
          </w:tcPr>
          <w:p w14:paraId="5EFE713E" w14:textId="77777777" w:rsidR="00B16423" w:rsidRPr="00141C14"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Kappa Coefficient</w:t>
            </w:r>
          </w:p>
        </w:tc>
        <w:tc>
          <w:tcPr>
            <w:tcW w:w="3006" w:type="dxa"/>
          </w:tcPr>
          <w:p w14:paraId="624B3602" w14:textId="77777777" w:rsidR="00B16423" w:rsidRPr="00141C14" w:rsidRDefault="00B16423" w:rsidP="00032EB7">
            <w:pPr>
              <w:spacing w:line="360" w:lineRule="auto"/>
              <w:jc w:val="center"/>
              <w:rPr>
                <w:rFonts w:asciiTheme="majorBidi" w:hAnsiTheme="majorBidi" w:cstheme="majorBidi"/>
                <w:b/>
                <w:sz w:val="24"/>
                <w:szCs w:val="24"/>
              </w:rPr>
            </w:pPr>
            <w:r>
              <w:rPr>
                <w:rFonts w:asciiTheme="majorBidi" w:hAnsiTheme="majorBidi" w:cstheme="majorBidi"/>
                <w:b/>
                <w:sz w:val="24"/>
                <w:szCs w:val="24"/>
              </w:rPr>
              <w:t>Level of Agreement</w:t>
            </w:r>
          </w:p>
        </w:tc>
      </w:tr>
      <w:tr w:rsidR="00B16423" w14:paraId="67C6D5DF" w14:textId="77777777" w:rsidTr="00032EB7">
        <w:tc>
          <w:tcPr>
            <w:tcW w:w="3005" w:type="dxa"/>
          </w:tcPr>
          <w:p w14:paraId="60C09D1D" w14:textId="77777777" w:rsidR="00B16423" w:rsidRPr="00634F96" w:rsidRDefault="00B16423" w:rsidP="00032EB7">
            <w:pPr>
              <w:spacing w:line="360" w:lineRule="auto"/>
              <w:jc w:val="both"/>
              <w:rPr>
                <w:rFonts w:asciiTheme="majorBidi" w:hAnsiTheme="majorBidi" w:cstheme="majorBidi"/>
                <w:i/>
                <w:sz w:val="24"/>
                <w:szCs w:val="24"/>
              </w:rPr>
            </w:pPr>
            <w:r w:rsidRPr="00634F96">
              <w:rPr>
                <w:rFonts w:asciiTheme="majorBidi" w:hAnsiTheme="majorBidi" w:cstheme="majorBidi"/>
                <w:i/>
                <w:sz w:val="24"/>
                <w:szCs w:val="24"/>
              </w:rPr>
              <w:t>Peak Force</w:t>
            </w:r>
            <w:r>
              <w:rPr>
                <w:rFonts w:asciiTheme="majorBidi" w:hAnsiTheme="majorBidi" w:cstheme="majorBidi"/>
                <w:i/>
                <w:sz w:val="24"/>
                <w:szCs w:val="24"/>
              </w:rPr>
              <w:t xml:space="preserve">: </w:t>
            </w:r>
          </w:p>
          <w:p w14:paraId="58584710"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Iso Squat – SLCMJ</w:t>
            </w:r>
          </w:p>
          <w:p w14:paraId="4DAB0F5F"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Iso Squat – SLBJ</w:t>
            </w:r>
          </w:p>
          <w:p w14:paraId="36799231"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SLCMJ – SLBJ </w:t>
            </w:r>
          </w:p>
        </w:tc>
        <w:tc>
          <w:tcPr>
            <w:tcW w:w="3005" w:type="dxa"/>
          </w:tcPr>
          <w:p w14:paraId="70EA441B" w14:textId="77777777" w:rsidR="00B16423" w:rsidRDefault="00B16423" w:rsidP="00032EB7">
            <w:pPr>
              <w:spacing w:line="360" w:lineRule="auto"/>
              <w:jc w:val="center"/>
              <w:rPr>
                <w:rFonts w:asciiTheme="majorBidi" w:hAnsiTheme="majorBidi" w:cstheme="majorBidi"/>
                <w:sz w:val="24"/>
                <w:szCs w:val="24"/>
              </w:rPr>
            </w:pPr>
          </w:p>
          <w:p w14:paraId="6643A5A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0.04</w:t>
            </w:r>
          </w:p>
          <w:p w14:paraId="4C36325C"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-0.34</w:t>
            </w:r>
          </w:p>
          <w:p w14:paraId="5636CC96"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0.05</w:t>
            </w:r>
          </w:p>
        </w:tc>
        <w:tc>
          <w:tcPr>
            <w:tcW w:w="3006" w:type="dxa"/>
          </w:tcPr>
          <w:p w14:paraId="0F53762E" w14:textId="77777777" w:rsidR="00B16423" w:rsidRDefault="00B16423" w:rsidP="00032EB7">
            <w:pPr>
              <w:spacing w:line="360" w:lineRule="auto"/>
              <w:jc w:val="center"/>
              <w:rPr>
                <w:rFonts w:asciiTheme="majorBidi" w:hAnsiTheme="majorBidi" w:cstheme="majorBidi"/>
                <w:sz w:val="24"/>
                <w:szCs w:val="24"/>
              </w:rPr>
            </w:pPr>
          </w:p>
          <w:p w14:paraId="0FE97477"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Slight</w:t>
            </w:r>
          </w:p>
          <w:p w14:paraId="0A25C416"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Fair</w:t>
            </w:r>
          </w:p>
          <w:p w14:paraId="65E04513"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Slight</w:t>
            </w:r>
          </w:p>
        </w:tc>
      </w:tr>
      <w:tr w:rsidR="00B16423" w14:paraId="32A4C4C3" w14:textId="77777777" w:rsidTr="00032EB7">
        <w:tc>
          <w:tcPr>
            <w:tcW w:w="3005" w:type="dxa"/>
          </w:tcPr>
          <w:p w14:paraId="5207C266" w14:textId="77777777" w:rsidR="00B16423" w:rsidRDefault="00B16423" w:rsidP="00032EB7">
            <w:pPr>
              <w:spacing w:line="360" w:lineRule="auto"/>
              <w:jc w:val="both"/>
              <w:rPr>
                <w:rFonts w:asciiTheme="majorBidi" w:hAnsiTheme="majorBidi" w:cstheme="majorBidi"/>
                <w:i/>
                <w:sz w:val="24"/>
                <w:szCs w:val="24"/>
              </w:rPr>
            </w:pPr>
            <w:r>
              <w:rPr>
                <w:rFonts w:asciiTheme="majorBidi" w:hAnsiTheme="majorBidi" w:cstheme="majorBidi"/>
                <w:i/>
                <w:sz w:val="24"/>
                <w:szCs w:val="24"/>
              </w:rPr>
              <w:t xml:space="preserve">Impulse: </w:t>
            </w:r>
          </w:p>
          <w:p w14:paraId="0EB99C99"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SLCMJ Ecc – SLBJ Ecc </w:t>
            </w:r>
          </w:p>
          <w:p w14:paraId="01B94F62"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Con – SLBJ Con</w:t>
            </w:r>
          </w:p>
          <w:p w14:paraId="3D27261D"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Ecc – SLCMJ Con</w:t>
            </w:r>
          </w:p>
          <w:p w14:paraId="21EDF344"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Ecc – SLBJ Con</w:t>
            </w:r>
          </w:p>
          <w:p w14:paraId="409A422F"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SLCMJ Ecc – SLBJ Con</w:t>
            </w:r>
          </w:p>
          <w:p w14:paraId="78E9CDAD" w14:textId="77777777" w:rsidR="00B16423" w:rsidRPr="00634F96"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SLBJ Ecc – SLCMJ Con</w:t>
            </w:r>
          </w:p>
        </w:tc>
        <w:tc>
          <w:tcPr>
            <w:tcW w:w="3005" w:type="dxa"/>
          </w:tcPr>
          <w:p w14:paraId="3C84666D" w14:textId="77777777" w:rsidR="00B16423" w:rsidRDefault="00B16423" w:rsidP="00032EB7">
            <w:pPr>
              <w:spacing w:line="360" w:lineRule="auto"/>
              <w:jc w:val="center"/>
              <w:rPr>
                <w:rFonts w:asciiTheme="majorBidi" w:hAnsiTheme="majorBidi" w:cstheme="majorBidi"/>
                <w:sz w:val="24"/>
                <w:szCs w:val="24"/>
              </w:rPr>
            </w:pPr>
          </w:p>
          <w:p w14:paraId="3E5A31C0"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0.32</w:t>
            </w:r>
          </w:p>
          <w:p w14:paraId="25335789"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0.79</w:t>
            </w:r>
          </w:p>
          <w:p w14:paraId="3DB1F2DE"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0.07</w:t>
            </w:r>
          </w:p>
          <w:p w14:paraId="6EBF0F27"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&lt; 0.01</w:t>
            </w:r>
          </w:p>
          <w:p w14:paraId="32B54993"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0.21</w:t>
            </w:r>
          </w:p>
          <w:p w14:paraId="6FD4505C"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-0.25</w:t>
            </w:r>
          </w:p>
        </w:tc>
        <w:tc>
          <w:tcPr>
            <w:tcW w:w="3006" w:type="dxa"/>
          </w:tcPr>
          <w:p w14:paraId="3F1BCFF5" w14:textId="77777777" w:rsidR="00B16423" w:rsidRDefault="00B16423" w:rsidP="00032EB7">
            <w:pPr>
              <w:spacing w:line="360" w:lineRule="auto"/>
              <w:jc w:val="center"/>
              <w:rPr>
                <w:rFonts w:asciiTheme="majorBidi" w:hAnsiTheme="majorBidi" w:cstheme="majorBidi"/>
                <w:sz w:val="24"/>
                <w:szCs w:val="24"/>
              </w:rPr>
            </w:pPr>
          </w:p>
          <w:p w14:paraId="2905D1A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Fair</w:t>
            </w:r>
          </w:p>
          <w:p w14:paraId="5F47EF58"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Substantial</w:t>
            </w:r>
          </w:p>
          <w:p w14:paraId="65B5E559"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Slight</w:t>
            </w:r>
          </w:p>
          <w:p w14:paraId="0E2C7422"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Slight</w:t>
            </w:r>
          </w:p>
          <w:p w14:paraId="5A6FE5EF"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Fair</w:t>
            </w:r>
          </w:p>
          <w:p w14:paraId="11D4FAC3" w14:textId="77777777" w:rsidR="00B16423" w:rsidRDefault="00B16423" w:rsidP="00032EB7">
            <w:pPr>
              <w:spacing w:line="360" w:lineRule="auto"/>
              <w:jc w:val="center"/>
              <w:rPr>
                <w:rFonts w:asciiTheme="majorBidi" w:hAnsiTheme="majorBidi" w:cstheme="majorBidi"/>
                <w:sz w:val="24"/>
                <w:szCs w:val="24"/>
              </w:rPr>
            </w:pPr>
            <w:r>
              <w:rPr>
                <w:rFonts w:asciiTheme="majorBidi" w:hAnsiTheme="majorBidi" w:cstheme="majorBidi"/>
                <w:sz w:val="24"/>
                <w:szCs w:val="24"/>
              </w:rPr>
              <w:t>Fair</w:t>
            </w:r>
          </w:p>
        </w:tc>
      </w:tr>
      <w:tr w:rsidR="00B16423" w14:paraId="58C65A11" w14:textId="77777777" w:rsidTr="00032EB7">
        <w:tc>
          <w:tcPr>
            <w:tcW w:w="9016" w:type="dxa"/>
            <w:gridSpan w:val="3"/>
          </w:tcPr>
          <w:p w14:paraId="761D2FF9" w14:textId="77777777" w:rsidR="00B16423" w:rsidRDefault="00B16423" w:rsidP="00032EB7">
            <w:pPr>
              <w:spacing w:line="360" w:lineRule="auto"/>
              <w:jc w:val="both"/>
              <w:rPr>
                <w:rFonts w:asciiTheme="majorBidi" w:hAnsiTheme="majorBidi" w:cstheme="majorBidi"/>
                <w:sz w:val="24"/>
                <w:szCs w:val="24"/>
              </w:rPr>
            </w:pPr>
            <w:r>
              <w:rPr>
                <w:rFonts w:asciiTheme="majorBidi" w:hAnsiTheme="majorBidi" w:cstheme="majorBidi"/>
                <w:sz w:val="24"/>
                <w:szCs w:val="24"/>
              </w:rPr>
              <w:t>Iso = isometric, SLCMJ = single leg countermovement jump, SLBJ = single leg broad jump, Ecc = eccentric, Con = concentric</w:t>
            </w:r>
          </w:p>
        </w:tc>
      </w:tr>
    </w:tbl>
    <w:p w14:paraId="4C7A2CB2" w14:textId="77777777" w:rsidR="00B16423" w:rsidRDefault="00B16423"/>
    <w:p w14:paraId="06117F6F" w14:textId="77777777" w:rsidR="00B16423" w:rsidRDefault="00B16423"/>
    <w:p w14:paraId="685285D6" w14:textId="77777777" w:rsidR="00B16423" w:rsidRDefault="00B16423"/>
    <w:p w14:paraId="40E54BA4" w14:textId="77777777" w:rsidR="00B16423" w:rsidRDefault="00B16423"/>
    <w:p w14:paraId="3793B7CF" w14:textId="77777777" w:rsidR="00B16423" w:rsidRDefault="00B16423"/>
    <w:p w14:paraId="38FF42E3" w14:textId="77777777" w:rsidR="00B16423" w:rsidRDefault="00B16423"/>
    <w:p w14:paraId="33B5CB44" w14:textId="77777777" w:rsidR="00B16423" w:rsidRDefault="00B16423"/>
    <w:p w14:paraId="6043D082" w14:textId="77777777" w:rsidR="00B16423" w:rsidRDefault="00B16423"/>
    <w:p w14:paraId="24A2FF25" w14:textId="77777777" w:rsidR="00B16423" w:rsidRDefault="00B16423"/>
    <w:p w14:paraId="1C22E1D8" w14:textId="77777777" w:rsidR="00B16423" w:rsidRDefault="00B16423"/>
    <w:p w14:paraId="013EE62D" w14:textId="77777777" w:rsidR="00B16423" w:rsidRDefault="00B16423"/>
    <w:p w14:paraId="6511037E" w14:textId="77777777" w:rsidR="00B16423" w:rsidRDefault="00B16423"/>
    <w:p w14:paraId="58BFECFD" w14:textId="77777777" w:rsidR="00B16423" w:rsidRDefault="00B16423"/>
    <w:p w14:paraId="55F380A6" w14:textId="77777777" w:rsidR="00B16423" w:rsidRDefault="00B16423">
      <w:pPr>
        <w:sectPr w:rsidR="00B16423" w:rsidSect="005D7838">
          <w:pgSz w:w="11906" w:h="16838"/>
          <w:pgMar w:top="1440" w:right="1440" w:bottom="1440" w:left="1440" w:header="708" w:footer="708" w:gutter="0"/>
          <w:lnNumType w:countBy="1" w:restart="continuous"/>
          <w:cols w:space="708"/>
          <w:docGrid w:linePitch="360"/>
        </w:sectPr>
      </w:pPr>
    </w:p>
    <w:p w14:paraId="799B38DE" w14:textId="29D6D247" w:rsidR="00B16423" w:rsidRDefault="002C5575" w:rsidP="00B16423">
      <w:r>
        <w:rPr>
          <w:noProof/>
          <w:lang w:eastAsia="en-GB"/>
        </w:rPr>
        <w:lastRenderedPageBreak/>
        <mc:AlternateContent>
          <mc:Choice Requires="wps">
            <w:drawing>
              <wp:anchor distT="0" distB="0" distL="114300" distR="114300" simplePos="0" relativeHeight="251660288" behindDoc="0" locked="0" layoutInCell="1" allowOverlap="1" wp14:anchorId="68A9E9C8" wp14:editId="3446BE69">
                <wp:simplePos x="0" y="0"/>
                <wp:positionH relativeFrom="column">
                  <wp:posOffset>989330</wp:posOffset>
                </wp:positionH>
                <wp:positionV relativeFrom="paragraph">
                  <wp:posOffset>2490943</wp:posOffset>
                </wp:positionV>
                <wp:extent cx="7719060" cy="0"/>
                <wp:effectExtent l="0" t="0" r="0" b="19050"/>
                <wp:wrapNone/>
                <wp:docPr id="5" name="Straight Connector 5"/>
                <wp:cNvGraphicFramePr/>
                <a:graphic xmlns:a="http://schemas.openxmlformats.org/drawingml/2006/main">
                  <a:graphicData uri="http://schemas.microsoft.com/office/word/2010/wordprocessingShape">
                    <wps:wsp>
                      <wps:cNvCnPr/>
                      <wps:spPr>
                        <a:xfrm flipV="1">
                          <a:off x="0" y="0"/>
                          <a:ext cx="771906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8D3D3"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pt,196.15pt" to="685.7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" strokecolor="black [3213]" strokeweight=".25pt">
                <v:stroke dashstyle="dash"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5EFEADEF" wp14:editId="314DC90F">
                <wp:simplePos x="0" y="0"/>
                <wp:positionH relativeFrom="column">
                  <wp:posOffset>988695</wp:posOffset>
                </wp:positionH>
                <wp:positionV relativeFrom="paragraph">
                  <wp:posOffset>1450813</wp:posOffset>
                </wp:positionV>
                <wp:extent cx="7719060" cy="0"/>
                <wp:effectExtent l="0" t="0" r="0" b="19050"/>
                <wp:wrapNone/>
                <wp:docPr id="3" name="Straight Connector 3"/>
                <wp:cNvGraphicFramePr/>
                <a:graphic xmlns:a="http://schemas.openxmlformats.org/drawingml/2006/main">
                  <a:graphicData uri="http://schemas.microsoft.com/office/word/2010/wordprocessingShape">
                    <wps:wsp>
                      <wps:cNvCnPr/>
                      <wps:spPr>
                        <a:xfrm flipV="1">
                          <a:off x="0" y="0"/>
                          <a:ext cx="771906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CFFE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14.25pt" to="685.6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" strokecolor="black [3213]" strokeweight=".25pt">
                <v:stroke dashstyle="dash" joinstyle="miter"/>
              </v:line>
            </w:pict>
          </mc:Fallback>
        </mc:AlternateContent>
      </w:r>
      <w:r w:rsidR="00B16423">
        <w:rPr>
          <w:noProof/>
          <w:lang w:eastAsia="en-GB"/>
        </w:rPr>
        <w:drawing>
          <wp:inline distT="0" distB="0" distL="0" distR="0" wp14:anchorId="54D182B0" wp14:editId="048F6FD0">
            <wp:extent cx="8863330" cy="4146698"/>
            <wp:effectExtent l="0" t="0" r="1397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2E19150" w14:textId="77777777" w:rsidR="00B16423" w:rsidRDefault="00B16423" w:rsidP="00B16423"/>
    <w:p w14:paraId="32907CDC" w14:textId="60D5D35F" w:rsidR="00B16423" w:rsidRPr="009470B7" w:rsidRDefault="002C5575" w:rsidP="009470B7">
      <w:pPr>
        <w:spacing w:line="480" w:lineRule="auto"/>
        <w:rPr>
          <w:rFonts w:ascii="Times New Roman" w:hAnsi="Times New Roman" w:cs="Times New Roman"/>
          <w:sz w:val="24"/>
          <w:szCs w:val="24"/>
        </w:rPr>
      </w:pPr>
      <w:r w:rsidRPr="002C5575">
        <w:rPr>
          <w:rFonts w:ascii="Times New Roman" w:hAnsi="Times New Roman" w:cs="Times New Roman"/>
          <w:sz w:val="24"/>
          <w:szCs w:val="24"/>
        </w:rPr>
        <w:t>Figure 1: Individual a</w:t>
      </w:r>
      <w:r w:rsidR="00B16423" w:rsidRPr="002C5575">
        <w:rPr>
          <w:rFonts w:ascii="Times New Roman" w:hAnsi="Times New Roman" w:cs="Times New Roman"/>
          <w:sz w:val="24"/>
          <w:szCs w:val="24"/>
        </w:rPr>
        <w:t xml:space="preserve">symmetry </w:t>
      </w:r>
      <w:r w:rsidR="009470B7" w:rsidRPr="002C5575">
        <w:rPr>
          <w:rFonts w:ascii="Times New Roman" w:hAnsi="Times New Roman" w:cs="Times New Roman"/>
          <w:sz w:val="24"/>
          <w:szCs w:val="24"/>
        </w:rPr>
        <w:t xml:space="preserve">data </w:t>
      </w:r>
      <w:r w:rsidR="00B16423" w:rsidRPr="002C5575">
        <w:rPr>
          <w:rFonts w:ascii="Times New Roman" w:hAnsi="Times New Roman" w:cs="Times New Roman"/>
          <w:sz w:val="24"/>
          <w:szCs w:val="24"/>
        </w:rPr>
        <w:t>for</w:t>
      </w:r>
      <w:r w:rsidR="009470B7" w:rsidRPr="002C5575">
        <w:rPr>
          <w:rFonts w:ascii="Times New Roman" w:hAnsi="Times New Roman" w:cs="Times New Roman"/>
          <w:sz w:val="24"/>
          <w:szCs w:val="24"/>
        </w:rPr>
        <w:t xml:space="preserve"> peak force (PF)</w:t>
      </w:r>
      <w:r w:rsidR="00B16423" w:rsidRPr="002C5575">
        <w:rPr>
          <w:rFonts w:ascii="Times New Roman" w:hAnsi="Times New Roman" w:cs="Times New Roman"/>
          <w:sz w:val="24"/>
          <w:szCs w:val="24"/>
        </w:rPr>
        <w:t xml:space="preserve"> during the isometric squat</w:t>
      </w:r>
      <w:r w:rsidR="009470B7" w:rsidRPr="002C5575">
        <w:rPr>
          <w:rFonts w:ascii="Times New Roman" w:hAnsi="Times New Roman" w:cs="Times New Roman"/>
          <w:sz w:val="24"/>
          <w:szCs w:val="24"/>
        </w:rPr>
        <w:t xml:space="preserve"> (ISO Squat)</w:t>
      </w:r>
      <w:r w:rsidR="00B16423" w:rsidRPr="002C5575">
        <w:rPr>
          <w:rFonts w:ascii="Times New Roman" w:hAnsi="Times New Roman" w:cs="Times New Roman"/>
          <w:sz w:val="24"/>
          <w:szCs w:val="24"/>
        </w:rPr>
        <w:t xml:space="preserve">, </w:t>
      </w:r>
      <w:r w:rsidR="009470B7" w:rsidRPr="002C5575">
        <w:rPr>
          <w:rFonts w:ascii="Times New Roman" w:hAnsi="Times New Roman" w:cs="Times New Roman"/>
          <w:sz w:val="24"/>
          <w:szCs w:val="24"/>
        </w:rPr>
        <w:t>single leg countermovement jump (</w:t>
      </w:r>
      <w:r w:rsidR="00B16423" w:rsidRPr="002C5575">
        <w:rPr>
          <w:rFonts w:ascii="Times New Roman" w:hAnsi="Times New Roman" w:cs="Times New Roman"/>
          <w:sz w:val="24"/>
          <w:szCs w:val="24"/>
        </w:rPr>
        <w:t>SLCMJ</w:t>
      </w:r>
      <w:r w:rsidR="009470B7" w:rsidRPr="002C5575">
        <w:rPr>
          <w:rFonts w:ascii="Times New Roman" w:hAnsi="Times New Roman" w:cs="Times New Roman"/>
          <w:sz w:val="24"/>
          <w:szCs w:val="24"/>
        </w:rPr>
        <w:t>)</w:t>
      </w:r>
      <w:r w:rsidR="00B16423" w:rsidRPr="002C5575">
        <w:rPr>
          <w:rFonts w:ascii="Times New Roman" w:hAnsi="Times New Roman" w:cs="Times New Roman"/>
          <w:sz w:val="24"/>
          <w:szCs w:val="24"/>
        </w:rPr>
        <w:t>, and</w:t>
      </w:r>
      <w:r w:rsidR="009470B7" w:rsidRPr="002C5575">
        <w:rPr>
          <w:rFonts w:ascii="Times New Roman" w:hAnsi="Times New Roman" w:cs="Times New Roman"/>
          <w:sz w:val="24"/>
          <w:szCs w:val="24"/>
        </w:rPr>
        <w:t xml:space="preserve"> single leg broad jump</w:t>
      </w:r>
      <w:r w:rsidR="00B16423" w:rsidRPr="002C5575">
        <w:rPr>
          <w:rFonts w:ascii="Times New Roman" w:hAnsi="Times New Roman" w:cs="Times New Roman"/>
          <w:sz w:val="24"/>
          <w:szCs w:val="24"/>
        </w:rPr>
        <w:t xml:space="preserve"> </w:t>
      </w:r>
      <w:r w:rsidR="009470B7" w:rsidRPr="002C5575">
        <w:rPr>
          <w:rFonts w:ascii="Times New Roman" w:hAnsi="Times New Roman" w:cs="Times New Roman"/>
          <w:sz w:val="24"/>
          <w:szCs w:val="24"/>
        </w:rPr>
        <w:t>(</w:t>
      </w:r>
      <w:r w:rsidR="00B16423" w:rsidRPr="002C5575">
        <w:rPr>
          <w:rFonts w:ascii="Times New Roman" w:hAnsi="Times New Roman" w:cs="Times New Roman"/>
          <w:sz w:val="24"/>
          <w:szCs w:val="24"/>
        </w:rPr>
        <w:t>SLBJ</w:t>
      </w:r>
      <w:r w:rsidR="009470B7" w:rsidRPr="002C5575">
        <w:rPr>
          <w:rFonts w:ascii="Times New Roman" w:hAnsi="Times New Roman" w:cs="Times New Roman"/>
          <w:sz w:val="24"/>
          <w:szCs w:val="24"/>
        </w:rPr>
        <w:t>). Note</w:t>
      </w:r>
      <w:r w:rsidR="00B16423" w:rsidRPr="002C5575">
        <w:rPr>
          <w:rFonts w:ascii="Times New Roman" w:hAnsi="Times New Roman" w:cs="Times New Roman"/>
          <w:sz w:val="24"/>
          <w:szCs w:val="24"/>
        </w:rPr>
        <w:t xml:space="preserve">: above the line indicates raw score is greater on the right limb and below the line indicates raw score is greater on the left limb. Dashed </w:t>
      </w:r>
      <w:r w:rsidR="009470B7" w:rsidRPr="002C5575">
        <w:rPr>
          <w:rFonts w:ascii="Times New Roman" w:hAnsi="Times New Roman" w:cs="Times New Roman"/>
          <w:sz w:val="24"/>
          <w:szCs w:val="24"/>
        </w:rPr>
        <w:t>lines indicate largest coefficient of variation</w:t>
      </w:r>
      <w:r w:rsidR="00B16423" w:rsidRPr="002C5575">
        <w:rPr>
          <w:rFonts w:ascii="Times New Roman" w:hAnsi="Times New Roman" w:cs="Times New Roman"/>
          <w:sz w:val="24"/>
          <w:szCs w:val="24"/>
        </w:rPr>
        <w:t xml:space="preserve"> value for all PF measures.</w:t>
      </w:r>
    </w:p>
    <w:p w14:paraId="6C12D2BE" w14:textId="60B37679" w:rsidR="00B16423" w:rsidRDefault="00CF03B6" w:rsidP="00B16423">
      <w:r>
        <w:rPr>
          <w:noProof/>
          <w:lang w:eastAsia="en-GB"/>
        </w:rPr>
        <w:lastRenderedPageBreak/>
        <mc:AlternateContent>
          <mc:Choice Requires="wps">
            <w:drawing>
              <wp:anchor distT="0" distB="0" distL="114300" distR="114300" simplePos="0" relativeHeight="251663360" behindDoc="0" locked="0" layoutInCell="1" allowOverlap="1" wp14:anchorId="62BF1D3B" wp14:editId="3618951D">
                <wp:simplePos x="0" y="0"/>
                <wp:positionH relativeFrom="margin">
                  <wp:posOffset>1000125</wp:posOffset>
                </wp:positionH>
                <wp:positionV relativeFrom="paragraph">
                  <wp:posOffset>1323178</wp:posOffset>
                </wp:positionV>
                <wp:extent cx="7719060" cy="0"/>
                <wp:effectExtent l="0" t="0" r="0" b="19050"/>
                <wp:wrapNone/>
                <wp:docPr id="7" name="Straight Connector 1"/>
                <wp:cNvGraphicFramePr/>
                <a:graphic xmlns:a="http://schemas.openxmlformats.org/drawingml/2006/main">
                  <a:graphicData uri="http://schemas.microsoft.com/office/word/2010/wordprocessingShape">
                    <wps:wsp>
                      <wps:cNvCnPr/>
                      <wps:spPr>
                        <a:xfrm>
                          <a:off x="0" y="0"/>
                          <a:ext cx="771906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A94798" id="Straight Connector 1" o:spid="_x0000_s1026" style="position:absolute;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8.75pt,104.2pt" to="686.5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" strokecolor="black [3213]" strokeweight=".25pt">
                <v:stroke dashstyle="dash" joinstyle="miter"/>
                <w10:wrap anchorx="margin"/>
              </v:line>
            </w:pict>
          </mc:Fallback>
        </mc:AlternateContent>
      </w:r>
      <w:r>
        <w:rPr>
          <w:noProof/>
          <w:lang w:eastAsia="en-GB"/>
        </w:rPr>
        <mc:AlternateContent>
          <mc:Choice Requires="wps">
            <w:drawing>
              <wp:anchor distT="0" distB="0" distL="114300" distR="114300" simplePos="0" relativeHeight="251661312" behindDoc="0" locked="0" layoutInCell="1" allowOverlap="1" wp14:anchorId="72F6A493" wp14:editId="5FD4EFD3">
                <wp:simplePos x="0" y="0"/>
                <wp:positionH relativeFrom="margin">
                  <wp:posOffset>997585</wp:posOffset>
                </wp:positionH>
                <wp:positionV relativeFrom="paragraph">
                  <wp:posOffset>2383317</wp:posOffset>
                </wp:positionV>
                <wp:extent cx="7719060" cy="0"/>
                <wp:effectExtent l="0" t="0" r="0" b="19050"/>
                <wp:wrapNone/>
                <wp:docPr id="2" name="Straight Connector 1"/>
                <wp:cNvGraphicFramePr/>
                <a:graphic xmlns:a="http://schemas.openxmlformats.org/drawingml/2006/main">
                  <a:graphicData uri="http://schemas.microsoft.com/office/word/2010/wordprocessingShape">
                    <wps:wsp>
                      <wps:cNvCnPr/>
                      <wps:spPr>
                        <a:xfrm>
                          <a:off x="0" y="0"/>
                          <a:ext cx="771906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B9E90F" id="Straight Connector 1"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8.55pt,187.65pt" to="686.3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" strokecolor="black [3213]" strokeweight=".25pt">
                <v:stroke dashstyle="dash" joinstyle="miter"/>
                <w10:wrap anchorx="margin"/>
              </v:line>
            </w:pict>
          </mc:Fallback>
        </mc:AlternateContent>
      </w:r>
      <w:r w:rsidR="00B432A0" w:rsidRPr="00B432A0">
        <w:rPr>
          <w:noProof/>
          <w:lang w:eastAsia="en-GB"/>
        </w:rPr>
        <w:t xml:space="preserve"> </w:t>
      </w:r>
      <w:r w:rsidR="00B432A0">
        <w:rPr>
          <w:noProof/>
          <w:lang w:eastAsia="en-GB"/>
        </w:rPr>
        <w:drawing>
          <wp:inline distT="0" distB="0" distL="0" distR="0" wp14:anchorId="1D28B47A" wp14:editId="3DA07AC5">
            <wp:extent cx="8877300" cy="40005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2BC686" w14:textId="77777777" w:rsidR="00B16423" w:rsidRDefault="00B16423" w:rsidP="00B16423"/>
    <w:p w14:paraId="0F6BD421" w14:textId="4B9C9C6F" w:rsidR="00B16423" w:rsidRDefault="002C5575" w:rsidP="00B16423">
      <w:pPr>
        <w:spacing w:line="480" w:lineRule="auto"/>
        <w:jc w:val="both"/>
      </w:pPr>
      <w:r w:rsidRPr="002C5575">
        <w:rPr>
          <w:rFonts w:ascii="Times New Roman" w:hAnsi="Times New Roman" w:cs="Times New Roman"/>
          <w:sz w:val="24"/>
          <w:szCs w:val="24"/>
        </w:rPr>
        <w:t>Figure 2: Individual a</w:t>
      </w:r>
      <w:r w:rsidR="00B16423" w:rsidRPr="002C5575">
        <w:rPr>
          <w:rFonts w:ascii="Times New Roman" w:hAnsi="Times New Roman" w:cs="Times New Roman"/>
          <w:sz w:val="24"/>
          <w:szCs w:val="24"/>
        </w:rPr>
        <w:t xml:space="preserve">symmetry </w:t>
      </w:r>
      <w:r w:rsidR="009470B7" w:rsidRPr="002C5575">
        <w:rPr>
          <w:rFonts w:ascii="Times New Roman" w:hAnsi="Times New Roman" w:cs="Times New Roman"/>
          <w:sz w:val="24"/>
          <w:szCs w:val="24"/>
        </w:rPr>
        <w:t xml:space="preserve">data </w:t>
      </w:r>
      <w:r w:rsidR="00B16423" w:rsidRPr="002C5575">
        <w:rPr>
          <w:rFonts w:ascii="Times New Roman" w:hAnsi="Times New Roman" w:cs="Times New Roman"/>
          <w:sz w:val="24"/>
          <w:szCs w:val="24"/>
        </w:rPr>
        <w:t>for eccentric</w:t>
      </w:r>
      <w:r w:rsidR="009470B7" w:rsidRPr="002C5575">
        <w:rPr>
          <w:rFonts w:ascii="Times New Roman" w:hAnsi="Times New Roman" w:cs="Times New Roman"/>
          <w:sz w:val="24"/>
          <w:szCs w:val="24"/>
        </w:rPr>
        <w:t xml:space="preserve"> (ECC)</w:t>
      </w:r>
      <w:r w:rsidR="00B16423" w:rsidRPr="002C5575">
        <w:rPr>
          <w:rFonts w:ascii="Times New Roman" w:hAnsi="Times New Roman" w:cs="Times New Roman"/>
          <w:sz w:val="24"/>
          <w:szCs w:val="24"/>
        </w:rPr>
        <w:t xml:space="preserve"> and concentric</w:t>
      </w:r>
      <w:r w:rsidR="009470B7" w:rsidRPr="002C5575">
        <w:rPr>
          <w:rFonts w:ascii="Times New Roman" w:hAnsi="Times New Roman" w:cs="Times New Roman"/>
          <w:sz w:val="24"/>
          <w:szCs w:val="24"/>
        </w:rPr>
        <w:t xml:space="preserve"> (CON)</w:t>
      </w:r>
      <w:r w:rsidR="00B16423" w:rsidRPr="002C5575">
        <w:rPr>
          <w:rFonts w:ascii="Times New Roman" w:hAnsi="Times New Roman" w:cs="Times New Roman"/>
          <w:sz w:val="24"/>
          <w:szCs w:val="24"/>
        </w:rPr>
        <w:t xml:space="preserve"> impulse</w:t>
      </w:r>
      <w:r w:rsidR="009470B7" w:rsidRPr="002C5575">
        <w:rPr>
          <w:rFonts w:ascii="Times New Roman" w:hAnsi="Times New Roman" w:cs="Times New Roman"/>
          <w:sz w:val="24"/>
          <w:szCs w:val="24"/>
        </w:rPr>
        <w:t xml:space="preserve"> (Imp)</w:t>
      </w:r>
      <w:r w:rsidR="00B16423" w:rsidRPr="002C5575">
        <w:rPr>
          <w:rFonts w:ascii="Times New Roman" w:hAnsi="Times New Roman" w:cs="Times New Roman"/>
          <w:sz w:val="24"/>
          <w:szCs w:val="24"/>
        </w:rPr>
        <w:t xml:space="preserve"> during the</w:t>
      </w:r>
      <w:r w:rsidR="009470B7" w:rsidRPr="002C5575">
        <w:rPr>
          <w:rFonts w:ascii="Times New Roman" w:hAnsi="Times New Roman" w:cs="Times New Roman"/>
          <w:sz w:val="24"/>
          <w:szCs w:val="24"/>
        </w:rPr>
        <w:t xml:space="preserve"> single leg countermovement jump</w:t>
      </w:r>
      <w:r w:rsidR="00B16423" w:rsidRPr="002C5575">
        <w:rPr>
          <w:rFonts w:ascii="Times New Roman" w:hAnsi="Times New Roman" w:cs="Times New Roman"/>
          <w:sz w:val="24"/>
          <w:szCs w:val="24"/>
        </w:rPr>
        <w:t xml:space="preserve"> </w:t>
      </w:r>
      <w:r w:rsidR="009470B7" w:rsidRPr="002C5575">
        <w:rPr>
          <w:rFonts w:ascii="Times New Roman" w:hAnsi="Times New Roman" w:cs="Times New Roman"/>
          <w:sz w:val="24"/>
          <w:szCs w:val="24"/>
        </w:rPr>
        <w:t>(</w:t>
      </w:r>
      <w:r w:rsidR="00B432A0" w:rsidRPr="002C5575">
        <w:rPr>
          <w:rFonts w:ascii="Times New Roman" w:hAnsi="Times New Roman" w:cs="Times New Roman"/>
          <w:sz w:val="24"/>
          <w:szCs w:val="24"/>
        </w:rPr>
        <w:t>SL</w:t>
      </w:r>
      <w:r w:rsidR="00B16423" w:rsidRPr="002C5575">
        <w:rPr>
          <w:rFonts w:ascii="Times New Roman" w:hAnsi="Times New Roman" w:cs="Times New Roman"/>
          <w:sz w:val="24"/>
          <w:szCs w:val="24"/>
        </w:rPr>
        <w:t>CMJ</w:t>
      </w:r>
      <w:r w:rsidR="009470B7" w:rsidRPr="002C5575">
        <w:rPr>
          <w:rFonts w:ascii="Times New Roman" w:hAnsi="Times New Roman" w:cs="Times New Roman"/>
          <w:sz w:val="24"/>
          <w:szCs w:val="24"/>
        </w:rPr>
        <w:t>)</w:t>
      </w:r>
      <w:r w:rsidR="00B16423" w:rsidRPr="002C5575">
        <w:rPr>
          <w:rFonts w:ascii="Times New Roman" w:hAnsi="Times New Roman" w:cs="Times New Roman"/>
          <w:sz w:val="24"/>
          <w:szCs w:val="24"/>
        </w:rPr>
        <w:t xml:space="preserve"> and</w:t>
      </w:r>
      <w:r w:rsidR="009470B7" w:rsidRPr="002C5575">
        <w:rPr>
          <w:rFonts w:ascii="Times New Roman" w:hAnsi="Times New Roman" w:cs="Times New Roman"/>
          <w:sz w:val="24"/>
          <w:szCs w:val="24"/>
        </w:rPr>
        <w:t xml:space="preserve"> single leg broad jump</w:t>
      </w:r>
      <w:r w:rsidR="00B16423" w:rsidRPr="002C5575">
        <w:rPr>
          <w:rFonts w:ascii="Times New Roman" w:hAnsi="Times New Roman" w:cs="Times New Roman"/>
          <w:sz w:val="24"/>
          <w:szCs w:val="24"/>
        </w:rPr>
        <w:t xml:space="preserve"> </w:t>
      </w:r>
      <w:r w:rsidR="009470B7" w:rsidRPr="002C5575">
        <w:rPr>
          <w:rFonts w:ascii="Times New Roman" w:hAnsi="Times New Roman" w:cs="Times New Roman"/>
          <w:sz w:val="24"/>
          <w:szCs w:val="24"/>
        </w:rPr>
        <w:t>(</w:t>
      </w:r>
      <w:r w:rsidR="00B16423" w:rsidRPr="002C5575">
        <w:rPr>
          <w:rFonts w:ascii="Times New Roman" w:hAnsi="Times New Roman" w:cs="Times New Roman"/>
          <w:sz w:val="24"/>
          <w:szCs w:val="24"/>
        </w:rPr>
        <w:t>SLBJ</w:t>
      </w:r>
      <w:r w:rsidR="009470B7" w:rsidRPr="002C5575">
        <w:rPr>
          <w:rFonts w:ascii="Times New Roman" w:hAnsi="Times New Roman" w:cs="Times New Roman"/>
          <w:sz w:val="24"/>
          <w:szCs w:val="24"/>
        </w:rPr>
        <w:t>)</w:t>
      </w:r>
      <w:r w:rsidR="00B16423" w:rsidRPr="002C5575">
        <w:rPr>
          <w:rFonts w:ascii="Times New Roman" w:hAnsi="Times New Roman" w:cs="Times New Roman"/>
          <w:sz w:val="24"/>
          <w:szCs w:val="24"/>
        </w:rPr>
        <w:t xml:space="preserve"> test</w:t>
      </w:r>
      <w:r w:rsidR="009470B7" w:rsidRPr="002C5575">
        <w:rPr>
          <w:rFonts w:ascii="Times New Roman" w:hAnsi="Times New Roman" w:cs="Times New Roman"/>
          <w:sz w:val="24"/>
          <w:szCs w:val="24"/>
        </w:rPr>
        <w:t>s. Note</w:t>
      </w:r>
      <w:r w:rsidR="00B16423" w:rsidRPr="002C5575">
        <w:rPr>
          <w:rFonts w:ascii="Times New Roman" w:hAnsi="Times New Roman" w:cs="Times New Roman"/>
          <w:sz w:val="24"/>
          <w:szCs w:val="24"/>
        </w:rPr>
        <w:t>: above the line indicates raw score is greater on right limb and below the line indicates raw score is greater on left limb. D</w:t>
      </w:r>
      <w:r w:rsidR="009470B7" w:rsidRPr="002C5575">
        <w:rPr>
          <w:rFonts w:ascii="Times New Roman" w:hAnsi="Times New Roman" w:cs="Times New Roman"/>
          <w:sz w:val="24"/>
          <w:szCs w:val="24"/>
        </w:rPr>
        <w:t>ashed lines indicate greatest coefficient of variation</w:t>
      </w:r>
      <w:r w:rsidR="00B16423" w:rsidRPr="002C5575">
        <w:rPr>
          <w:rFonts w:ascii="Times New Roman" w:hAnsi="Times New Roman" w:cs="Times New Roman"/>
          <w:sz w:val="24"/>
          <w:szCs w:val="24"/>
        </w:rPr>
        <w:t xml:space="preserve"> value for either eccentric or concentric impulse measures.</w:t>
      </w:r>
      <w:r w:rsidR="00B16423">
        <w:rPr>
          <w:rFonts w:ascii="Times New Roman" w:hAnsi="Times New Roman" w:cs="Times New Roman"/>
          <w:sz w:val="24"/>
          <w:szCs w:val="24"/>
        </w:rPr>
        <w:t xml:space="preserve"> </w:t>
      </w:r>
    </w:p>
    <w:sectPr w:rsidR="00B16423" w:rsidSect="005D7838">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35D"/>
    <w:multiLevelType w:val="hybridMultilevel"/>
    <w:tmpl w:val="760E7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23"/>
    <w:rsid w:val="00064D85"/>
    <w:rsid w:val="000D205F"/>
    <w:rsid w:val="001A60D7"/>
    <w:rsid w:val="002010EB"/>
    <w:rsid w:val="002608F4"/>
    <w:rsid w:val="002C5575"/>
    <w:rsid w:val="00303B7B"/>
    <w:rsid w:val="003119B5"/>
    <w:rsid w:val="00320B7D"/>
    <w:rsid w:val="003249ED"/>
    <w:rsid w:val="003B3EAE"/>
    <w:rsid w:val="004456BA"/>
    <w:rsid w:val="004939A0"/>
    <w:rsid w:val="005C2791"/>
    <w:rsid w:val="005D7838"/>
    <w:rsid w:val="006C5F59"/>
    <w:rsid w:val="007D5D70"/>
    <w:rsid w:val="007F026C"/>
    <w:rsid w:val="008056A5"/>
    <w:rsid w:val="00825CEC"/>
    <w:rsid w:val="009470B7"/>
    <w:rsid w:val="00964B1D"/>
    <w:rsid w:val="00A011B4"/>
    <w:rsid w:val="00A0281B"/>
    <w:rsid w:val="00A32F71"/>
    <w:rsid w:val="00B072A4"/>
    <w:rsid w:val="00B16423"/>
    <w:rsid w:val="00B432A0"/>
    <w:rsid w:val="00BF3BA1"/>
    <w:rsid w:val="00CF03B6"/>
    <w:rsid w:val="00D172D9"/>
    <w:rsid w:val="00D24915"/>
    <w:rsid w:val="00DA656F"/>
    <w:rsid w:val="00E02311"/>
    <w:rsid w:val="00EE69D1"/>
    <w:rsid w:val="00FB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C62E"/>
  <w15:chartTrackingRefBased/>
  <w15:docId w15:val="{F90C4FD0-FCEB-42E6-A128-4D0A623C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16423"/>
    <w:rPr>
      <w:b/>
      <w:bCs/>
      <w:i/>
      <w:iCs/>
      <w:spacing w:val="5"/>
    </w:rPr>
  </w:style>
  <w:style w:type="paragraph" w:styleId="Title">
    <w:name w:val="Title"/>
    <w:basedOn w:val="Normal"/>
    <w:next w:val="Normal"/>
    <w:link w:val="TitleChar"/>
    <w:uiPriority w:val="10"/>
    <w:qFormat/>
    <w:rsid w:val="00B16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42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16423"/>
    <w:pPr>
      <w:ind w:left="720"/>
      <w:contextualSpacing/>
    </w:pPr>
  </w:style>
  <w:style w:type="character" w:customStyle="1" w:styleId="apple-converted-space">
    <w:name w:val="apple-converted-space"/>
    <w:basedOn w:val="DefaultParagraphFont"/>
    <w:rsid w:val="00B16423"/>
  </w:style>
  <w:style w:type="table" w:styleId="TableGrid">
    <w:name w:val="Table Grid"/>
    <w:basedOn w:val="TableNormal"/>
    <w:uiPriority w:val="39"/>
    <w:rsid w:val="00B1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D7838"/>
  </w:style>
  <w:style w:type="character" w:styleId="CommentReference">
    <w:name w:val="annotation reference"/>
    <w:basedOn w:val="DefaultParagraphFont"/>
    <w:uiPriority w:val="99"/>
    <w:semiHidden/>
    <w:unhideWhenUsed/>
    <w:rsid w:val="00BF3BA1"/>
    <w:rPr>
      <w:sz w:val="16"/>
      <w:szCs w:val="16"/>
    </w:rPr>
  </w:style>
  <w:style w:type="paragraph" w:styleId="CommentText">
    <w:name w:val="annotation text"/>
    <w:basedOn w:val="Normal"/>
    <w:link w:val="CommentTextChar"/>
    <w:uiPriority w:val="99"/>
    <w:semiHidden/>
    <w:unhideWhenUsed/>
    <w:rsid w:val="00BF3BA1"/>
    <w:pPr>
      <w:spacing w:line="240" w:lineRule="auto"/>
    </w:pPr>
    <w:rPr>
      <w:sz w:val="20"/>
      <w:szCs w:val="20"/>
    </w:rPr>
  </w:style>
  <w:style w:type="character" w:customStyle="1" w:styleId="CommentTextChar">
    <w:name w:val="Comment Text Char"/>
    <w:basedOn w:val="DefaultParagraphFont"/>
    <w:link w:val="CommentText"/>
    <w:uiPriority w:val="99"/>
    <w:semiHidden/>
    <w:rsid w:val="00BF3BA1"/>
    <w:rPr>
      <w:sz w:val="20"/>
      <w:szCs w:val="20"/>
    </w:rPr>
  </w:style>
  <w:style w:type="paragraph" w:styleId="CommentSubject">
    <w:name w:val="annotation subject"/>
    <w:basedOn w:val="CommentText"/>
    <w:next w:val="CommentText"/>
    <w:link w:val="CommentSubjectChar"/>
    <w:uiPriority w:val="99"/>
    <w:semiHidden/>
    <w:unhideWhenUsed/>
    <w:rsid w:val="00BF3BA1"/>
    <w:rPr>
      <w:b/>
      <w:bCs/>
    </w:rPr>
  </w:style>
  <w:style w:type="character" w:customStyle="1" w:styleId="CommentSubjectChar">
    <w:name w:val="Comment Subject Char"/>
    <w:basedOn w:val="CommentTextChar"/>
    <w:link w:val="CommentSubject"/>
    <w:uiPriority w:val="99"/>
    <w:semiHidden/>
    <w:rsid w:val="00BF3BA1"/>
    <w:rPr>
      <w:b/>
      <w:bCs/>
      <w:sz w:val="20"/>
      <w:szCs w:val="20"/>
    </w:rPr>
  </w:style>
  <w:style w:type="paragraph" w:styleId="BalloonText">
    <w:name w:val="Balloon Text"/>
    <w:basedOn w:val="Normal"/>
    <w:link w:val="BalloonTextChar"/>
    <w:uiPriority w:val="99"/>
    <w:semiHidden/>
    <w:unhideWhenUsed/>
    <w:rsid w:val="00BF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ris71\Desktop\Copy%20of%20PhD%20Data%20(Master%20Sheet)%20-%20Direc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ris71\Desktop\Direction%20of%20Asymmetry\Copy%20of%20PhD%20Data%20(Master%20Sheet)%20-%20Direc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'PF ASYM Graph'!$A$1</c:f>
              <c:strCache>
                <c:ptCount val="1"/>
                <c:pt idx="0">
                  <c:v>ISO Squat</c:v>
                </c:pt>
              </c:strCache>
            </c:strRef>
          </c:tx>
          <c:spPr>
            <a:solidFill>
              <a:schemeClr val="tx1"/>
            </a:solidFill>
            <a:ln>
              <a:noFill/>
            </a:ln>
            <a:effectLst/>
          </c:spPr>
          <c:invertIfNegative val="0"/>
          <c:val>
            <c:numRef>
              <c:f>'PF ASYM Graph'!$A$2:$A$29</c:f>
              <c:numCache>
                <c:formatCode>0.00</c:formatCode>
                <c:ptCount val="28"/>
                <c:pt idx="0">
                  <c:v>0.32774440316211439</c:v>
                </c:pt>
                <c:pt idx="1">
                  <c:v>4.6658243920222873</c:v>
                </c:pt>
                <c:pt idx="2">
                  <c:v>-4.9186634425148412</c:v>
                </c:pt>
                <c:pt idx="3">
                  <c:v>1.6561923590938648</c:v>
                </c:pt>
                <c:pt idx="4">
                  <c:v>-4.5534403852132499</c:v>
                </c:pt>
                <c:pt idx="5">
                  <c:v>11.12688504283318</c:v>
                </c:pt>
                <c:pt idx="6">
                  <c:v>-1.3702002908741093</c:v>
                </c:pt>
                <c:pt idx="7">
                  <c:v>4.6901164605822174</c:v>
                </c:pt>
                <c:pt idx="8">
                  <c:v>13.215675269812138</c:v>
                </c:pt>
                <c:pt idx="9">
                  <c:v>0.85494298693809867</c:v>
                </c:pt>
                <c:pt idx="10">
                  <c:v>-1.3858734756956039</c:v>
                </c:pt>
                <c:pt idx="11">
                  <c:v>17.701127705379378</c:v>
                </c:pt>
                <c:pt idx="12">
                  <c:v>-14.350092067149788</c:v>
                </c:pt>
                <c:pt idx="13">
                  <c:v>-18.699847638395127</c:v>
                </c:pt>
                <c:pt idx="14">
                  <c:v>14.086292501094135</c:v>
                </c:pt>
                <c:pt idx="15">
                  <c:v>5.832582831682231</c:v>
                </c:pt>
                <c:pt idx="16">
                  <c:v>-18.695294565364179</c:v>
                </c:pt>
                <c:pt idx="17">
                  <c:v>7.5119695376542808</c:v>
                </c:pt>
                <c:pt idx="18">
                  <c:v>2.4196497021878827</c:v>
                </c:pt>
                <c:pt idx="19">
                  <c:v>-10.215020125550069</c:v>
                </c:pt>
                <c:pt idx="20">
                  <c:v>3.6842885521985238</c:v>
                </c:pt>
                <c:pt idx="21">
                  <c:v>-10.127893205952162</c:v>
                </c:pt>
                <c:pt idx="22">
                  <c:v>13.247554468652737</c:v>
                </c:pt>
                <c:pt idx="23">
                  <c:v>-10.20521766400752</c:v>
                </c:pt>
                <c:pt idx="24">
                  <c:v>-11.589643985615865</c:v>
                </c:pt>
                <c:pt idx="25">
                  <c:v>-0.36182394141066254</c:v>
                </c:pt>
                <c:pt idx="26">
                  <c:v>25.936084080262418</c:v>
                </c:pt>
                <c:pt idx="27">
                  <c:v>0.67126841999294129</c:v>
                </c:pt>
              </c:numCache>
            </c:numRef>
          </c:val>
          <c:extLst>
            <c:ext xmlns:c16="http://schemas.microsoft.com/office/drawing/2014/chart" uri="{C3380CC4-5D6E-409C-BE32-E72D297353CC}">
              <c16:uniqueId val="{00000000-E835-49B8-87C0-A0DD5E12A5EF}"/>
            </c:ext>
          </c:extLst>
        </c:ser>
        <c:ser>
          <c:idx val="1"/>
          <c:order val="1"/>
          <c:tx>
            <c:strRef>
              <c:f>'PF ASYM Graph'!$B$1</c:f>
              <c:strCache>
                <c:ptCount val="1"/>
                <c:pt idx="0">
                  <c:v>SLCMJ</c:v>
                </c:pt>
              </c:strCache>
            </c:strRef>
          </c:tx>
          <c:spPr>
            <a:pattFill prst="pct25">
              <a:fgClr>
                <a:schemeClr val="tx1"/>
              </a:fgClr>
              <a:bgClr>
                <a:schemeClr val="bg1"/>
              </a:bgClr>
            </a:pattFill>
            <a:ln>
              <a:solidFill>
                <a:schemeClr val="tx1"/>
              </a:solidFill>
            </a:ln>
            <a:effectLst/>
          </c:spPr>
          <c:invertIfNegative val="0"/>
          <c:val>
            <c:numRef>
              <c:f>'PF ASYM Graph'!$B$2:$B$29</c:f>
              <c:numCache>
                <c:formatCode>0.00</c:formatCode>
                <c:ptCount val="28"/>
                <c:pt idx="0">
                  <c:v>-10.217113665389519</c:v>
                </c:pt>
                <c:pt idx="1">
                  <c:v>10.701107011070107</c:v>
                </c:pt>
                <c:pt idx="2">
                  <c:v>-11.312849162011176</c:v>
                </c:pt>
                <c:pt idx="3">
                  <c:v>0.97402597402597735</c:v>
                </c:pt>
                <c:pt idx="4">
                  <c:v>-14.692787177203925</c:v>
                </c:pt>
                <c:pt idx="5">
                  <c:v>-6.8157614483493063</c:v>
                </c:pt>
                <c:pt idx="6">
                  <c:v>4.4339622641509351</c:v>
                </c:pt>
                <c:pt idx="7">
                  <c:v>-1.8439716312056618</c:v>
                </c:pt>
                <c:pt idx="8">
                  <c:v>-4.501607717041793</c:v>
                </c:pt>
                <c:pt idx="9">
                  <c:v>-1.4360313315926732</c:v>
                </c:pt>
                <c:pt idx="10">
                  <c:v>9.9720410065237672</c:v>
                </c:pt>
                <c:pt idx="11">
                  <c:v>2.3450586264656579</c:v>
                </c:pt>
                <c:pt idx="12">
                  <c:v>4.9450549450549488</c:v>
                </c:pt>
                <c:pt idx="13">
                  <c:v>-2.0449897750511212</c:v>
                </c:pt>
                <c:pt idx="14">
                  <c:v>-0.50505050505050519</c:v>
                </c:pt>
                <c:pt idx="15">
                  <c:v>-19.960604070912666</c:v>
                </c:pt>
                <c:pt idx="16">
                  <c:v>-12.951167728237792</c:v>
                </c:pt>
                <c:pt idx="17">
                  <c:v>4.4852191641182486</c:v>
                </c:pt>
                <c:pt idx="18">
                  <c:v>0.92348284960422689</c:v>
                </c:pt>
                <c:pt idx="19">
                  <c:v>-14.903299203640501</c:v>
                </c:pt>
                <c:pt idx="20">
                  <c:v>-8.1730769230769198</c:v>
                </c:pt>
                <c:pt idx="21">
                  <c:v>11.267605633802816</c:v>
                </c:pt>
                <c:pt idx="22">
                  <c:v>-8.4994753410283295</c:v>
                </c:pt>
                <c:pt idx="23">
                  <c:v>-13.89496717724289</c:v>
                </c:pt>
                <c:pt idx="24">
                  <c:v>-5.3619302949061591</c:v>
                </c:pt>
                <c:pt idx="25">
                  <c:v>-6.063268892794369</c:v>
                </c:pt>
                <c:pt idx="26">
                  <c:v>-8.2698585418933561</c:v>
                </c:pt>
                <c:pt idx="27">
                  <c:v>7.6162215628090877</c:v>
                </c:pt>
              </c:numCache>
            </c:numRef>
          </c:val>
          <c:extLst>
            <c:ext xmlns:c16="http://schemas.microsoft.com/office/drawing/2014/chart" uri="{C3380CC4-5D6E-409C-BE32-E72D297353CC}">
              <c16:uniqueId val="{00000001-E835-49B8-87C0-A0DD5E12A5EF}"/>
            </c:ext>
          </c:extLst>
        </c:ser>
        <c:ser>
          <c:idx val="2"/>
          <c:order val="2"/>
          <c:tx>
            <c:strRef>
              <c:f>'PF ASYM Graph'!$C$1</c:f>
              <c:strCache>
                <c:ptCount val="1"/>
                <c:pt idx="0">
                  <c:v>SLBJ</c:v>
                </c:pt>
              </c:strCache>
            </c:strRef>
          </c:tx>
          <c:spPr>
            <a:solidFill>
              <a:schemeClr val="bg1"/>
            </a:solidFill>
            <a:ln>
              <a:solidFill>
                <a:schemeClr val="tx1"/>
              </a:solidFill>
            </a:ln>
            <a:effectLst/>
          </c:spPr>
          <c:invertIfNegative val="0"/>
          <c:val>
            <c:numRef>
              <c:f>'PF ASYM Graph'!$C$2:$C$29</c:f>
              <c:numCache>
                <c:formatCode>0.00</c:formatCode>
                <c:ptCount val="28"/>
                <c:pt idx="0">
                  <c:v>-14.16893732970027</c:v>
                </c:pt>
                <c:pt idx="1">
                  <c:v>-15.742397137745968</c:v>
                </c:pt>
                <c:pt idx="2">
                  <c:v>-24.549237170596399</c:v>
                </c:pt>
                <c:pt idx="3">
                  <c:v>8.7599544937428959</c:v>
                </c:pt>
                <c:pt idx="4">
                  <c:v>4.9562682215743337</c:v>
                </c:pt>
                <c:pt idx="5">
                  <c:v>-4.7999999999999972</c:v>
                </c:pt>
                <c:pt idx="6">
                  <c:v>8.7264150943396146</c:v>
                </c:pt>
                <c:pt idx="7">
                  <c:v>-9.2257001647446515</c:v>
                </c:pt>
                <c:pt idx="8">
                  <c:v>-11.822660098522178</c:v>
                </c:pt>
                <c:pt idx="9">
                  <c:v>-3.6666666666666714</c:v>
                </c:pt>
                <c:pt idx="10">
                  <c:v>23.560209424083766</c:v>
                </c:pt>
                <c:pt idx="11">
                  <c:v>-12.525667351129371</c:v>
                </c:pt>
                <c:pt idx="12">
                  <c:v>8.8737201365187701</c:v>
                </c:pt>
                <c:pt idx="13">
                  <c:v>27.560240963855421</c:v>
                </c:pt>
                <c:pt idx="14">
                  <c:v>7.8632478632478637</c:v>
                </c:pt>
                <c:pt idx="15">
                  <c:v>7.917888563049857</c:v>
                </c:pt>
                <c:pt idx="16">
                  <c:v>-6.4377682403433454</c:v>
                </c:pt>
                <c:pt idx="17">
                  <c:v>-16</c:v>
                </c:pt>
                <c:pt idx="18">
                  <c:v>2.6711185308848115</c:v>
                </c:pt>
                <c:pt idx="19">
                  <c:v>7.048984468339313</c:v>
                </c:pt>
                <c:pt idx="20">
                  <c:v>-23.767383059418464</c:v>
                </c:pt>
                <c:pt idx="21">
                  <c:v>-5.7909604519773978</c:v>
                </c:pt>
                <c:pt idx="22">
                  <c:v>-10.726256983240233</c:v>
                </c:pt>
                <c:pt idx="23">
                  <c:v>8.181818181818187</c:v>
                </c:pt>
                <c:pt idx="24">
                  <c:v>-17.773019271948613</c:v>
                </c:pt>
                <c:pt idx="25">
                  <c:v>20.045045045045043</c:v>
                </c:pt>
                <c:pt idx="26">
                  <c:v>5.918618988902594</c:v>
                </c:pt>
                <c:pt idx="27">
                  <c:v>-5.0188205771643624</c:v>
                </c:pt>
              </c:numCache>
            </c:numRef>
          </c:val>
          <c:extLst>
            <c:ext xmlns:c16="http://schemas.microsoft.com/office/drawing/2014/chart" uri="{C3380CC4-5D6E-409C-BE32-E72D297353CC}">
              <c16:uniqueId val="{00000002-E835-49B8-87C0-A0DD5E12A5EF}"/>
            </c:ext>
          </c:extLst>
        </c:ser>
        <c:dLbls>
          <c:showLegendKey val="0"/>
          <c:showVal val="0"/>
          <c:showCatName val="0"/>
          <c:showSerName val="0"/>
          <c:showPercent val="0"/>
          <c:showBubbleSize val="0"/>
        </c:dLbls>
        <c:gapWidth val="219"/>
        <c:overlap val="-27"/>
        <c:axId val="364348136"/>
        <c:axId val="364348528"/>
      </c:barChart>
      <c:catAx>
        <c:axId val="364348136"/>
        <c:scaling>
          <c:orientation val="minMax"/>
        </c:scaling>
        <c:delete val="0"/>
        <c:axPos val="b"/>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348528"/>
        <c:crosses val="autoZero"/>
        <c:auto val="1"/>
        <c:lblAlgn val="ctr"/>
        <c:lblOffset val="100"/>
        <c:noMultiLvlLbl val="0"/>
      </c:catAx>
      <c:valAx>
        <c:axId val="36434852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GB" sz="1600"/>
                  <a:t>Asymmetry</a:t>
                </a:r>
                <a:r>
                  <a:rPr lang="en-GB" sz="1600" baseline="0"/>
                  <a:t> %</a:t>
                </a:r>
                <a:endParaRPr lang="en-GB" sz="1600"/>
              </a:p>
            </c:rich>
          </c:tx>
          <c:layout>
            <c:manualLayout>
              <c:xMode val="edge"/>
              <c:yMode val="edge"/>
              <c:x val="8.7024083829546194E-3"/>
              <c:y val="0.37918114200121494"/>
            </c:manualLayout>
          </c:layout>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434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'PF, Ecc, Con Graph'!$A$1</c:f>
              <c:strCache>
                <c:ptCount val="1"/>
                <c:pt idx="0">
                  <c:v>SLCMJ ECC Imp</c:v>
                </c:pt>
              </c:strCache>
            </c:strRef>
          </c:tx>
          <c:spPr>
            <a:solidFill>
              <a:schemeClr val="tx1"/>
            </a:solidFill>
            <a:ln>
              <a:noFill/>
            </a:ln>
            <a:effectLst/>
          </c:spPr>
          <c:invertIfNegative val="0"/>
          <c:val>
            <c:numRef>
              <c:f>'PF, Ecc, Con Graph'!$A$2:$A$29</c:f>
              <c:numCache>
                <c:formatCode>0.00</c:formatCode>
                <c:ptCount val="28"/>
                <c:pt idx="0">
                  <c:v>-14.432989690721655</c:v>
                </c:pt>
                <c:pt idx="1">
                  <c:v>1.5873015873015959</c:v>
                </c:pt>
                <c:pt idx="2">
                  <c:v>2.4390243902439011</c:v>
                </c:pt>
                <c:pt idx="3">
                  <c:v>4.4117647058823479</c:v>
                </c:pt>
                <c:pt idx="4">
                  <c:v>-12.790697674418595</c:v>
                </c:pt>
                <c:pt idx="5">
                  <c:v>-11.594202898550719</c:v>
                </c:pt>
                <c:pt idx="6">
                  <c:v>-4.8387096774193594</c:v>
                </c:pt>
                <c:pt idx="7">
                  <c:v>-14.705882352941174</c:v>
                </c:pt>
                <c:pt idx="8">
                  <c:v>12</c:v>
                </c:pt>
                <c:pt idx="9">
                  <c:v>-9.8360655737704832</c:v>
                </c:pt>
                <c:pt idx="10">
                  <c:v>-6.25</c:v>
                </c:pt>
                <c:pt idx="11">
                  <c:v>0</c:v>
                </c:pt>
                <c:pt idx="12">
                  <c:v>-18.032786885245898</c:v>
                </c:pt>
                <c:pt idx="13">
                  <c:v>-1.3333333333333428</c:v>
                </c:pt>
                <c:pt idx="14">
                  <c:v>6.8965517241379359</c:v>
                </c:pt>
                <c:pt idx="15">
                  <c:v>-14</c:v>
                </c:pt>
                <c:pt idx="16">
                  <c:v>-20</c:v>
                </c:pt>
                <c:pt idx="17">
                  <c:v>-22.580645161290334</c:v>
                </c:pt>
                <c:pt idx="18">
                  <c:v>8.5365853658536537</c:v>
                </c:pt>
                <c:pt idx="19">
                  <c:v>-6.8965517241379359</c:v>
                </c:pt>
                <c:pt idx="20">
                  <c:v>-3.5714285714285694</c:v>
                </c:pt>
                <c:pt idx="21">
                  <c:v>-2.3809523809523796</c:v>
                </c:pt>
                <c:pt idx="22">
                  <c:v>-2.1739130434782652</c:v>
                </c:pt>
                <c:pt idx="23">
                  <c:v>-6.8627450980392126</c:v>
                </c:pt>
                <c:pt idx="24">
                  <c:v>-5.5555555555555571</c:v>
                </c:pt>
                <c:pt idx="25">
                  <c:v>13.793103448275872</c:v>
                </c:pt>
                <c:pt idx="26">
                  <c:v>13.725490196078439</c:v>
                </c:pt>
                <c:pt idx="27">
                  <c:v>-2.4691358024691397</c:v>
                </c:pt>
              </c:numCache>
            </c:numRef>
          </c:val>
          <c:extLst>
            <c:ext xmlns:c16="http://schemas.microsoft.com/office/drawing/2014/chart" uri="{C3380CC4-5D6E-409C-BE32-E72D297353CC}">
              <c16:uniqueId val="{00000000-07CE-47DB-9E10-1A4325250C27}"/>
            </c:ext>
          </c:extLst>
        </c:ser>
        <c:ser>
          <c:idx val="1"/>
          <c:order val="1"/>
          <c:tx>
            <c:strRef>
              <c:f>'PF, Ecc, Con Graph'!$B$1</c:f>
              <c:strCache>
                <c:ptCount val="1"/>
                <c:pt idx="0">
                  <c:v>SLBJ ECC Imp</c:v>
                </c:pt>
              </c:strCache>
            </c:strRef>
          </c:tx>
          <c:spPr>
            <a:pattFill prst="pct50">
              <a:fgClr>
                <a:schemeClr val="tx1"/>
              </a:fgClr>
              <a:bgClr>
                <a:schemeClr val="bg1"/>
              </a:bgClr>
            </a:pattFill>
            <a:ln>
              <a:solidFill>
                <a:schemeClr val="tx1"/>
              </a:solidFill>
            </a:ln>
            <a:effectLst/>
          </c:spPr>
          <c:invertIfNegative val="0"/>
          <c:val>
            <c:numRef>
              <c:f>'PF, Ecc, Con Graph'!$B$2:$B$29</c:f>
              <c:numCache>
                <c:formatCode>0.00</c:formatCode>
                <c:ptCount val="28"/>
                <c:pt idx="0">
                  <c:v>-12.658227848101262</c:v>
                </c:pt>
                <c:pt idx="1">
                  <c:v>1.7543859649122879</c:v>
                </c:pt>
                <c:pt idx="2">
                  <c:v>4.8387096774193594</c:v>
                </c:pt>
                <c:pt idx="3">
                  <c:v>5.1282051282051242</c:v>
                </c:pt>
                <c:pt idx="4">
                  <c:v>-4.5454545454545467</c:v>
                </c:pt>
                <c:pt idx="5">
                  <c:v>-19.607843137254903</c:v>
                </c:pt>
                <c:pt idx="6">
                  <c:v>-3.5714285714285694</c:v>
                </c:pt>
                <c:pt idx="7">
                  <c:v>0</c:v>
                </c:pt>
                <c:pt idx="8">
                  <c:v>-7.4626865671641696</c:v>
                </c:pt>
                <c:pt idx="9">
                  <c:v>9.6153846153846132</c:v>
                </c:pt>
                <c:pt idx="10">
                  <c:v>-2.4390243902439011</c:v>
                </c:pt>
                <c:pt idx="11">
                  <c:v>3.6363636363636402</c:v>
                </c:pt>
                <c:pt idx="12">
                  <c:v>-27.659574468085111</c:v>
                </c:pt>
                <c:pt idx="13">
                  <c:v>-9.5238095238095326</c:v>
                </c:pt>
                <c:pt idx="14">
                  <c:v>-6.3829787234042499</c:v>
                </c:pt>
                <c:pt idx="15">
                  <c:v>-34.146341463414629</c:v>
                </c:pt>
                <c:pt idx="16">
                  <c:v>-14.81481481481481</c:v>
                </c:pt>
                <c:pt idx="17">
                  <c:v>11.764705882352928</c:v>
                </c:pt>
                <c:pt idx="18">
                  <c:v>-3.4883720930232442</c:v>
                </c:pt>
                <c:pt idx="19">
                  <c:v>-10.14492753623189</c:v>
                </c:pt>
                <c:pt idx="20">
                  <c:v>4.7619047619047592</c:v>
                </c:pt>
                <c:pt idx="21">
                  <c:v>-18.987341772151893</c:v>
                </c:pt>
                <c:pt idx="22">
                  <c:v>-23.275862068965523</c:v>
                </c:pt>
                <c:pt idx="23">
                  <c:v>2.4096385542168548</c:v>
                </c:pt>
                <c:pt idx="24">
                  <c:v>9.5238095238095326</c:v>
                </c:pt>
                <c:pt idx="25">
                  <c:v>1.6129032258064626</c:v>
                </c:pt>
                <c:pt idx="26">
                  <c:v>17.460317460317469</c:v>
                </c:pt>
                <c:pt idx="27">
                  <c:v>-22.666666666666671</c:v>
                </c:pt>
              </c:numCache>
            </c:numRef>
          </c:val>
          <c:extLst>
            <c:ext xmlns:c16="http://schemas.microsoft.com/office/drawing/2014/chart" uri="{C3380CC4-5D6E-409C-BE32-E72D297353CC}">
              <c16:uniqueId val="{00000001-07CE-47DB-9E10-1A4325250C27}"/>
            </c:ext>
          </c:extLst>
        </c:ser>
        <c:ser>
          <c:idx val="2"/>
          <c:order val="2"/>
          <c:tx>
            <c:strRef>
              <c:f>'PF, Ecc, Con Graph'!$C$1</c:f>
              <c:strCache>
                <c:ptCount val="1"/>
                <c:pt idx="0">
                  <c:v>SLCMJ CON Imp</c:v>
                </c:pt>
              </c:strCache>
            </c:strRef>
          </c:tx>
          <c:spPr>
            <a:pattFill prst="pct20">
              <a:fgClr>
                <a:schemeClr val="tx1"/>
              </a:fgClr>
              <a:bgClr>
                <a:schemeClr val="bg1"/>
              </a:bgClr>
            </a:pattFill>
            <a:ln>
              <a:solidFill>
                <a:schemeClr val="tx1"/>
              </a:solidFill>
            </a:ln>
            <a:effectLst/>
          </c:spPr>
          <c:invertIfNegative val="0"/>
          <c:val>
            <c:numRef>
              <c:f>'PF, Ecc, Con Graph'!$C$2:$C$29</c:f>
              <c:numCache>
                <c:formatCode>0.00</c:formatCode>
                <c:ptCount val="28"/>
                <c:pt idx="0">
                  <c:v>-20</c:v>
                </c:pt>
                <c:pt idx="1">
                  <c:v>-4.7999999999999972</c:v>
                </c:pt>
                <c:pt idx="2">
                  <c:v>0</c:v>
                </c:pt>
                <c:pt idx="3">
                  <c:v>-5.0724637681159379</c:v>
                </c:pt>
                <c:pt idx="4">
                  <c:v>-5.3892215568862412</c:v>
                </c:pt>
                <c:pt idx="5">
                  <c:v>-11.111111111111114</c:v>
                </c:pt>
                <c:pt idx="6">
                  <c:v>2.1739130434782652</c:v>
                </c:pt>
                <c:pt idx="7">
                  <c:v>-6.849315068493155</c:v>
                </c:pt>
                <c:pt idx="8">
                  <c:v>0</c:v>
                </c:pt>
                <c:pt idx="9">
                  <c:v>-5.0724637681159379</c:v>
                </c:pt>
                <c:pt idx="10">
                  <c:v>6.3999999999999915</c:v>
                </c:pt>
                <c:pt idx="11">
                  <c:v>-0.7142857142857082</c:v>
                </c:pt>
                <c:pt idx="12">
                  <c:v>-3.0674846625766889</c:v>
                </c:pt>
                <c:pt idx="13">
                  <c:v>16.770186335403736</c:v>
                </c:pt>
                <c:pt idx="14">
                  <c:v>0</c:v>
                </c:pt>
                <c:pt idx="15">
                  <c:v>-10.614525139664806</c:v>
                </c:pt>
                <c:pt idx="16">
                  <c:v>-14.925373134328353</c:v>
                </c:pt>
                <c:pt idx="17">
                  <c:v>10.759493670886073</c:v>
                </c:pt>
                <c:pt idx="18">
                  <c:v>8.724832214765101</c:v>
                </c:pt>
                <c:pt idx="19">
                  <c:v>-4.7904191616766525</c:v>
                </c:pt>
                <c:pt idx="20">
                  <c:v>-3.1446540880503164</c:v>
                </c:pt>
                <c:pt idx="21">
                  <c:v>1.5706806282722567</c:v>
                </c:pt>
                <c:pt idx="22">
                  <c:v>0.61349693251533211</c:v>
                </c:pt>
                <c:pt idx="23">
                  <c:v>-10.326086956521749</c:v>
                </c:pt>
                <c:pt idx="24">
                  <c:v>20.418848167539267</c:v>
                </c:pt>
                <c:pt idx="25">
                  <c:v>-1.2422360248447291</c:v>
                </c:pt>
                <c:pt idx="26">
                  <c:v>-1.4925373134328339</c:v>
                </c:pt>
                <c:pt idx="27">
                  <c:v>-2.1276595744680833</c:v>
                </c:pt>
              </c:numCache>
            </c:numRef>
          </c:val>
          <c:extLst>
            <c:ext xmlns:c16="http://schemas.microsoft.com/office/drawing/2014/chart" uri="{C3380CC4-5D6E-409C-BE32-E72D297353CC}">
              <c16:uniqueId val="{00000002-07CE-47DB-9E10-1A4325250C27}"/>
            </c:ext>
          </c:extLst>
        </c:ser>
        <c:ser>
          <c:idx val="3"/>
          <c:order val="3"/>
          <c:tx>
            <c:strRef>
              <c:f>'PF, Ecc, Con Graph'!$D$1</c:f>
              <c:strCache>
                <c:ptCount val="1"/>
                <c:pt idx="0">
                  <c:v>SLBJ CON Imp</c:v>
                </c:pt>
              </c:strCache>
            </c:strRef>
          </c:tx>
          <c:spPr>
            <a:solidFill>
              <a:schemeClr val="bg1"/>
            </a:solidFill>
            <a:ln>
              <a:solidFill>
                <a:schemeClr val="tx1"/>
              </a:solidFill>
            </a:ln>
            <a:effectLst/>
          </c:spPr>
          <c:invertIfNegative val="0"/>
          <c:val>
            <c:numRef>
              <c:f>'PF, Ecc, Con Graph'!$D$2:$D$29</c:f>
              <c:numCache>
                <c:formatCode>0.00</c:formatCode>
                <c:ptCount val="28"/>
                <c:pt idx="0">
                  <c:v>-21.98581560283688</c:v>
                </c:pt>
                <c:pt idx="1">
                  <c:v>5.0632911392405049</c:v>
                </c:pt>
                <c:pt idx="2">
                  <c:v>2.3529411764705799</c:v>
                </c:pt>
                <c:pt idx="3">
                  <c:v>-11.214953271028037</c:v>
                </c:pt>
                <c:pt idx="4">
                  <c:v>-5.0505050505050377</c:v>
                </c:pt>
                <c:pt idx="5">
                  <c:v>-1.7857142857142776</c:v>
                </c:pt>
                <c:pt idx="6">
                  <c:v>2.7272727272727337</c:v>
                </c:pt>
                <c:pt idx="7">
                  <c:v>-8.6538461538461462</c:v>
                </c:pt>
                <c:pt idx="8">
                  <c:v>5.6818181818181728</c:v>
                </c:pt>
                <c:pt idx="9">
                  <c:v>-15.306122448979593</c:v>
                </c:pt>
                <c:pt idx="10">
                  <c:v>11.666666666666657</c:v>
                </c:pt>
                <c:pt idx="11">
                  <c:v>3.0927835051546424</c:v>
                </c:pt>
                <c:pt idx="12">
                  <c:v>-10.15625</c:v>
                </c:pt>
                <c:pt idx="13">
                  <c:v>14.953271028037378</c:v>
                </c:pt>
                <c:pt idx="14">
                  <c:v>0</c:v>
                </c:pt>
                <c:pt idx="15">
                  <c:v>-0.97087378640776478</c:v>
                </c:pt>
                <c:pt idx="16">
                  <c:v>-16.34615384615384</c:v>
                </c:pt>
                <c:pt idx="17">
                  <c:v>4.50450450450451</c:v>
                </c:pt>
                <c:pt idx="18">
                  <c:v>17.204301075268816</c:v>
                </c:pt>
                <c:pt idx="19">
                  <c:v>-9.4202898550724683</c:v>
                </c:pt>
                <c:pt idx="20">
                  <c:v>-14.42307692307692</c:v>
                </c:pt>
                <c:pt idx="21">
                  <c:v>1.7699115044247691</c:v>
                </c:pt>
                <c:pt idx="22">
                  <c:v>16.326530612244895</c:v>
                </c:pt>
                <c:pt idx="23">
                  <c:v>0</c:v>
                </c:pt>
                <c:pt idx="24">
                  <c:v>19.298245614035096</c:v>
                </c:pt>
                <c:pt idx="25">
                  <c:v>-6.0869565217391397</c:v>
                </c:pt>
                <c:pt idx="26">
                  <c:v>-15.555555555555557</c:v>
                </c:pt>
                <c:pt idx="27">
                  <c:v>-7.9365079365079367</c:v>
                </c:pt>
              </c:numCache>
            </c:numRef>
          </c:val>
          <c:extLst>
            <c:ext xmlns:c16="http://schemas.microsoft.com/office/drawing/2014/chart" uri="{C3380CC4-5D6E-409C-BE32-E72D297353CC}">
              <c16:uniqueId val="{00000003-07CE-47DB-9E10-1A4325250C27}"/>
            </c:ext>
          </c:extLst>
        </c:ser>
        <c:dLbls>
          <c:showLegendKey val="0"/>
          <c:showVal val="0"/>
          <c:showCatName val="0"/>
          <c:showSerName val="0"/>
          <c:showPercent val="0"/>
          <c:showBubbleSize val="0"/>
        </c:dLbls>
        <c:gapWidth val="219"/>
        <c:overlap val="-27"/>
        <c:axId val="362872696"/>
        <c:axId val="364286160"/>
      </c:barChart>
      <c:catAx>
        <c:axId val="362872696"/>
        <c:scaling>
          <c:orientation val="minMax"/>
        </c:scaling>
        <c:delete val="0"/>
        <c:axPos val="b"/>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86160"/>
        <c:crosses val="autoZero"/>
        <c:auto val="1"/>
        <c:lblAlgn val="ctr"/>
        <c:lblOffset val="100"/>
        <c:noMultiLvlLbl val="0"/>
      </c:catAx>
      <c:valAx>
        <c:axId val="36428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GB" sz="1600"/>
                  <a:t>Asymmetry</a:t>
                </a:r>
                <a:r>
                  <a:rPr lang="en-GB" sz="1600" baseline="0"/>
                  <a:t> %</a:t>
                </a:r>
                <a:endParaRPr lang="en-GB" sz="1600"/>
              </a:p>
            </c:rich>
          </c:tx>
          <c:layout>
            <c:manualLayout>
              <c:xMode val="edge"/>
              <c:yMode val="edge"/>
              <c:x val="7.6234924307895793E-3"/>
              <c:y val="0.37890271683896687"/>
            </c:manualLayout>
          </c:layout>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62872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20</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Chris Bishop</cp:lastModifiedBy>
  <cp:revision>22</cp:revision>
  <dcterms:created xsi:type="dcterms:W3CDTF">2018-03-25T17:41:00Z</dcterms:created>
  <dcterms:modified xsi:type="dcterms:W3CDTF">2018-05-15T05:56:00Z</dcterms:modified>
</cp:coreProperties>
</file>