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682F3" w14:textId="77777777" w:rsidR="005C6726" w:rsidRPr="0016463C" w:rsidRDefault="005C6726" w:rsidP="005C6726"/>
    <w:p w14:paraId="39F8A728" w14:textId="6E61486A" w:rsidR="001B0963" w:rsidRPr="0016463C" w:rsidRDefault="001B0963" w:rsidP="001B0963">
      <w:pPr>
        <w:pStyle w:val="Heading1"/>
      </w:pPr>
      <w:bookmarkStart w:id="0" w:name="_Toc307223405"/>
      <w:r w:rsidRPr="0016463C">
        <w:t xml:space="preserve">Higher Education, Skills and Work-based Learning </w:t>
      </w:r>
    </w:p>
    <w:p w14:paraId="5CEAB3ED" w14:textId="595BC893" w:rsidR="001B0963" w:rsidRPr="0016463C" w:rsidRDefault="001B0963" w:rsidP="001B0963">
      <w:pPr>
        <w:pStyle w:val="Heading2"/>
      </w:pPr>
      <w:r w:rsidRPr="0016463C">
        <w:t xml:space="preserve">Work-based learning </w:t>
      </w:r>
      <w:r w:rsidR="008A58BB" w:rsidRPr="0016463C">
        <w:t xml:space="preserve">for the </w:t>
      </w:r>
      <w:r w:rsidRPr="0016463C">
        <w:t>creative industries</w:t>
      </w:r>
      <w:r w:rsidR="00980347" w:rsidRPr="0016463C">
        <w:t xml:space="preserve"> </w:t>
      </w:r>
      <w:r w:rsidRPr="0016463C">
        <w:t xml:space="preserve">– A case study </w:t>
      </w:r>
      <w:r w:rsidR="00980347" w:rsidRPr="0016463C">
        <w:t>of the development of BA (Hons) Web Design and Social Media</w:t>
      </w:r>
    </w:p>
    <w:p w14:paraId="19B09E70" w14:textId="77777777" w:rsidR="00A92FCA" w:rsidRDefault="00A92FCA" w:rsidP="001B0963">
      <w:pPr>
        <w:pStyle w:val="Heading1"/>
        <w:jc w:val="center"/>
      </w:pPr>
    </w:p>
    <w:p w14:paraId="28474878" w14:textId="3EADE4C7" w:rsidR="001B0963" w:rsidRPr="0016463C" w:rsidRDefault="001B0963" w:rsidP="001B0963">
      <w:pPr>
        <w:pStyle w:val="Heading1"/>
        <w:jc w:val="center"/>
      </w:pPr>
      <w:r w:rsidRPr="0016463C">
        <w:t>Abstract</w:t>
      </w:r>
    </w:p>
    <w:p w14:paraId="51B3F4E4" w14:textId="519D9210" w:rsidR="001B0963" w:rsidRPr="0016463C" w:rsidRDefault="001B0963" w:rsidP="001B0963">
      <w:r w:rsidRPr="0016463C">
        <w:t xml:space="preserve">In the summer of 2014 Ravensbourne, a UK </w:t>
      </w:r>
      <w:r w:rsidR="00686393" w:rsidRPr="0016463C">
        <w:t xml:space="preserve">university </w:t>
      </w:r>
      <w:r w:rsidRPr="0016463C">
        <w:t>sector institution specialising in the fields of design and digital media, was invited by Creative Skillset</w:t>
      </w:r>
      <w:r w:rsidR="006E2788" w:rsidRPr="0016463C">
        <w:t>, industry skills body for the Creative Industries,</w:t>
      </w:r>
      <w:r w:rsidRPr="0016463C">
        <w:t xml:space="preserve"> to explore the development of a work-based learning (WBL) degree through the </w:t>
      </w:r>
      <w:r w:rsidR="006E2788" w:rsidRPr="0016463C">
        <w:t>Higher Education Funding Council for England (</w:t>
      </w:r>
      <w:r w:rsidRPr="0016463C">
        <w:t>HEFCE</w:t>
      </w:r>
      <w:r w:rsidR="006E2788" w:rsidRPr="0016463C">
        <w:t>)</w:t>
      </w:r>
      <w:r w:rsidRPr="0016463C">
        <w:t xml:space="preserve"> Catalyst Fund. Requirements of the funding stipulated that, in addition to WBL provision, the course should be offered as a two-year fast-track</w:t>
      </w:r>
      <w:r w:rsidR="001F2A77">
        <w:t xml:space="preserve"> degree</w:t>
      </w:r>
      <w:r w:rsidRPr="0016463C">
        <w:t>. This was required to help reduce the increased financial burden placed on students, which arose from the substantial rise in HE tuition fees sanctioned by the UK coalition government in 2010. Subsequently, the newly elected Conservative government have pledged to substantially increase the number of apprenticeships in</w:t>
      </w:r>
      <w:r w:rsidR="00686393" w:rsidRPr="0016463C">
        <w:t xml:space="preserve"> the</w:t>
      </w:r>
      <w:r w:rsidRPr="0016463C">
        <w:t xml:space="preserve"> UK</w:t>
      </w:r>
      <w:r w:rsidR="007B1A8E" w:rsidRPr="0016463C">
        <w:t xml:space="preserve"> </w:t>
      </w:r>
      <w:r w:rsidR="00177F10" w:rsidRPr="0016463C">
        <w:t>through</w:t>
      </w:r>
      <w:r w:rsidR="007B1A8E" w:rsidRPr="0016463C">
        <w:t xml:space="preserve"> funding initiatives</w:t>
      </w:r>
      <w:r w:rsidRPr="0016463C">
        <w:t>. This has placed a greater emphasis on the Higher Apprenticeship programme and need to develop WBL programmes.</w:t>
      </w:r>
    </w:p>
    <w:p w14:paraId="7FC6ABBC" w14:textId="19B2D319" w:rsidR="001B0963" w:rsidRPr="0016463C" w:rsidRDefault="001B0963" w:rsidP="001B0963">
      <w:r w:rsidRPr="0016463C">
        <w:t xml:space="preserve">The development and composition of Ravensbourne’s WBL model was adapted from an existing and successful three-year, traditionally structured, BA (Hons.) Web Media Production course. </w:t>
      </w:r>
      <w:r w:rsidR="001F2A77">
        <w:t xml:space="preserve">The </w:t>
      </w:r>
      <w:r w:rsidR="00416639">
        <w:t xml:space="preserve">new </w:t>
      </w:r>
      <w:r w:rsidR="001F2A77">
        <w:t>course</w:t>
      </w:r>
      <w:r w:rsidR="001F2A77" w:rsidRPr="0016463C">
        <w:t xml:space="preserve"> </w:t>
      </w:r>
      <w:r w:rsidRPr="0016463C">
        <w:t>adopt</w:t>
      </w:r>
      <w:r w:rsidR="00D32879">
        <w:t>s</w:t>
      </w:r>
      <w:r w:rsidRPr="0016463C">
        <w:t xml:space="preserve"> a model whereby partnerships between external organisations and educational institutions are established through a contractual agreement </w:t>
      </w:r>
      <w:r w:rsidRPr="0016463C">
        <w:fldChar w:fldCharType="begin"/>
      </w:r>
      <w:r w:rsidRPr="0016463C">
        <w:instrText xml:space="preserve"> ADDIN EN.CITE &lt;EndNote&gt;&lt;Cite&gt;&lt;Author&gt;Boud&lt;/Author&gt;&lt;Year&gt;2001&lt;/Year&gt;&lt;RecNum&gt;689&lt;/RecNum&gt;&lt;DisplayText&gt;(Boud and Solomon, 2001)&lt;/DisplayText&gt;&lt;record&gt;&lt;rec-number&gt;689&lt;/rec-number&gt;&lt;foreign-keys&gt;&lt;key app="EN" db-id="z55xttzezxev91ewsev55ad4apzsf2pwza0p" timestamp="1438785567"&gt;689&lt;/key&gt;&lt;/foreign-keys&gt;&lt;ref-type name="Edited Book"&gt;28&lt;/ref-type&gt;&lt;contributors&gt;&lt;authors&gt;&lt;author&gt;Boud, D.&lt;/author&gt;&lt;author&gt;Solomon, N.&lt;/author&gt;&lt;/authors&gt;&lt;/contributors&gt;&lt;titles&gt;&lt;title&gt;Work-based Learning – A New Higher Education?&lt;/title&gt;&lt;/titles&gt;&lt;pages&gt;4–7&lt;/pages&gt;&lt;dates&gt;&lt;year&gt;2001&lt;/year&gt;&lt;/dates&gt;&lt;pub-location&gt;Buckingham, UK&lt;/pub-location&gt;&lt;publisher&gt;Open University Press&lt;/publisher&gt;&lt;urls&gt;&lt;/urls&gt;&lt;/record&gt;&lt;/Cite&gt;&lt;/EndNote&gt;</w:instrText>
      </w:r>
      <w:r w:rsidRPr="0016463C">
        <w:fldChar w:fldCharType="separate"/>
      </w:r>
      <w:r w:rsidRPr="0016463C">
        <w:rPr>
          <w:noProof/>
        </w:rPr>
        <w:t>(Boud and Solomon, 2001)</w:t>
      </w:r>
      <w:r w:rsidRPr="0016463C">
        <w:fldChar w:fldCharType="end"/>
      </w:r>
      <w:r w:rsidRPr="0016463C">
        <w:t xml:space="preserve">. Throughout the development process this WBL model of learning was revealed to be appealing to both employers and students within this sector. From the employers’ perspective, it provides them with an appropriately skilled workforce that addresses the technical and digital skills gap, one of the most challenging areas of recruitment, enabling them to use “work-based degrees to ‘upskill’ and meet shortages in [their] companies and/or sectors” </w:t>
      </w:r>
      <w:r w:rsidRPr="0016463C">
        <w:fldChar w:fldCharType="begin"/>
      </w:r>
      <w:r w:rsidRPr="0016463C">
        <w:instrText xml:space="preserve"> ADDIN EN.CITE &lt;EndNote&gt;&lt;Cite&gt;&lt;Author&gt;Guile&lt;/Author&gt;&lt;Year&gt;2010&lt;/Year&gt;&lt;RecNum&gt;688&lt;/RecNum&gt;&lt;Suffix&gt;:15&lt;/Suffix&gt;&lt;DisplayText&gt;(Guile and Evans, 2010:15)&lt;/DisplayText&gt;&lt;record&gt;&lt;rec-number&gt;688&lt;/rec-number&gt;&lt;foreign-keys&gt;&lt;key app="EN" db-id="z55xttzezxev91ewsev55ad4apzsf2pwza0p" timestamp="1438688000"&gt;688&lt;/key&gt;&lt;/foreign-keys&gt;&lt;ref-type name="Web Page"&gt;12&lt;/ref-type&gt;&lt;contributors&gt;&lt;authors&gt;&lt;author&gt;Guile, D.,&lt;/author&gt;&lt;author&gt;Evans, K.&lt;/author&gt;&lt;/authors&gt;&lt;/contributors&gt;&lt;titles&gt;&lt;title&gt;Putting Knowledge to Work: Re-Contextualising Knowledge through the Design and Implementation of Work-Based Learning at Higher Education Level&lt;/title&gt;&lt;/titles&gt;&lt;volume&gt;2015&lt;/volume&gt;&lt;number&gt;25th July&lt;/number&gt;&lt;dates&gt;&lt;year&gt;2010&lt;/year&gt;&lt;/dates&gt;&lt;publisher&gt;Foundation Degree Forward (FDF)&lt;/publisher&gt;&lt;urls&gt;&lt;related-urls&gt;&lt;url&gt;https://www.heacademy.ac.uk/sites/default/files/putting-knowledge-to-work.pdf&lt;/url&gt;&lt;/related-urls&gt;&lt;/urls&gt;&lt;/record&gt;&lt;/Cite&gt;&lt;/EndNote&gt;</w:instrText>
      </w:r>
      <w:r w:rsidRPr="0016463C">
        <w:fldChar w:fldCharType="separate"/>
      </w:r>
      <w:r w:rsidRPr="0016463C">
        <w:rPr>
          <w:noProof/>
        </w:rPr>
        <w:t>(Guile and Evans, 2010:15)</w:t>
      </w:r>
      <w:r w:rsidRPr="0016463C">
        <w:fldChar w:fldCharType="end"/>
      </w:r>
      <w:r w:rsidRPr="0016463C">
        <w:t xml:space="preserve">. From a students’ standpoint the advantages </w:t>
      </w:r>
      <w:r w:rsidR="001F2A77">
        <w:t>are</w:t>
      </w:r>
      <w:r w:rsidR="001F2A77" w:rsidRPr="0016463C">
        <w:t xml:space="preserve"> </w:t>
      </w:r>
      <w:r w:rsidR="006E2788" w:rsidRPr="0016463C">
        <w:t>clear</w:t>
      </w:r>
      <w:r w:rsidRPr="0016463C">
        <w:t>; they learn their chosen subject while gaining industry experience in the workplace and earn a salary. It also enable</w:t>
      </w:r>
      <w:r w:rsidR="007706F1" w:rsidRPr="0016463C">
        <w:t>s</w:t>
      </w:r>
      <w:r w:rsidRPr="0016463C">
        <w:t xml:space="preserve"> them to produce a graduation portfolio of work that </w:t>
      </w:r>
      <w:r w:rsidR="001F2A77" w:rsidRPr="0016463C">
        <w:t>include</w:t>
      </w:r>
      <w:r w:rsidR="001F2A77">
        <w:t>s</w:t>
      </w:r>
      <w:r w:rsidR="001F2A77" w:rsidRPr="0016463C">
        <w:t xml:space="preserve"> </w:t>
      </w:r>
      <w:r w:rsidRPr="0016463C">
        <w:t xml:space="preserve">‘real life’ projects. </w:t>
      </w:r>
    </w:p>
    <w:p w14:paraId="03B7547F" w14:textId="371DAC22" w:rsidR="001B0963" w:rsidRPr="0016463C" w:rsidRDefault="001B0963" w:rsidP="001B0963">
      <w:r w:rsidRPr="0016463C">
        <w:lastRenderedPageBreak/>
        <w:t xml:space="preserve">However, while these responses were encouraging, a number of practical issues and academic challenges occurred that need careful scrutiny. The growth of the web industry, while rapid, is still embryonic. Consequently many employers, particularly in social media, remain small </w:t>
      </w:r>
      <w:r w:rsidR="00B3621A" w:rsidRPr="0016463C">
        <w:t>or micro businesses</w:t>
      </w:r>
      <w:r w:rsidRPr="0016463C">
        <w:t>, capable of only employing one student. This caused several accumulative and administrative</w:t>
      </w:r>
      <w:r w:rsidR="00EA4B6F" w:rsidRPr="0016463C">
        <w:t xml:space="preserve"> </w:t>
      </w:r>
      <w:r w:rsidRPr="0016463C">
        <w:t>issues</w:t>
      </w:r>
      <w:r w:rsidR="00EA4B6F" w:rsidRPr="0016463C">
        <w:t xml:space="preserve"> along with funding implications</w:t>
      </w:r>
      <w:r w:rsidRPr="0016463C">
        <w:t xml:space="preserve">. </w:t>
      </w:r>
    </w:p>
    <w:p w14:paraId="6C75B199" w14:textId="532CACEB" w:rsidR="001B0963" w:rsidRPr="0016463C" w:rsidRDefault="001B0963" w:rsidP="00A2369E">
      <w:r w:rsidRPr="0016463C">
        <w:t xml:space="preserve">Therefore, this </w:t>
      </w:r>
      <w:r w:rsidR="00BD5B69" w:rsidRPr="0016463C">
        <w:t>article</w:t>
      </w:r>
      <w:r w:rsidRPr="0016463C">
        <w:t xml:space="preserve"> presents a case study detailing the insight and knowledge gained throughout this process of exploration. Alongside the advantages and pitfalls of integrating WBL into</w:t>
      </w:r>
      <w:r w:rsidR="00EC3C43" w:rsidRPr="0016463C">
        <w:t xml:space="preserve"> sometimes </w:t>
      </w:r>
      <w:r w:rsidRPr="0016463C">
        <w:t>fledgling b</w:t>
      </w:r>
      <w:r w:rsidR="00451FBD" w:rsidRPr="0016463C">
        <w:t>ut rapidly expanding creative industries</w:t>
      </w:r>
      <w:r w:rsidRPr="0016463C">
        <w:t xml:space="preserve">, such as web media production and social media, it provides </w:t>
      </w:r>
      <w:r w:rsidR="004803D9" w:rsidRPr="0016463C">
        <w:t>insight</w:t>
      </w:r>
      <w:r w:rsidRPr="0016463C">
        <w:t xml:space="preserve"> </w:t>
      </w:r>
      <w:r w:rsidR="004803D9" w:rsidRPr="0016463C">
        <w:t>into the</w:t>
      </w:r>
      <w:r w:rsidRPr="0016463C">
        <w:t xml:space="preserve"> development of WBL in creative and vocationally orientated subjects relating to content creation and digital media practices. These are crucial areas for expansion as higher-level degree apprenticeships are rolled out in the UK.</w:t>
      </w:r>
    </w:p>
    <w:p w14:paraId="7A2B1FF5" w14:textId="77777777" w:rsidR="001B0963" w:rsidRPr="0016463C" w:rsidRDefault="001B0963" w:rsidP="00DF4B73">
      <w:pPr>
        <w:pStyle w:val="Heading1"/>
      </w:pPr>
    </w:p>
    <w:p w14:paraId="03B85B58" w14:textId="1B8B0D54" w:rsidR="00402766" w:rsidRPr="0016463C" w:rsidRDefault="00DF4B73" w:rsidP="00DF4B73">
      <w:pPr>
        <w:pStyle w:val="Heading1"/>
      </w:pPr>
      <w:r w:rsidRPr="0016463C">
        <w:t>1.</w:t>
      </w:r>
      <w:r w:rsidR="00DD414B" w:rsidRPr="0016463C">
        <w:t>0</w:t>
      </w:r>
      <w:r w:rsidRPr="0016463C">
        <w:t xml:space="preserve"> </w:t>
      </w:r>
      <w:r w:rsidR="00402766" w:rsidRPr="0016463C">
        <w:t xml:space="preserve">Current </w:t>
      </w:r>
      <w:r w:rsidR="00AD2630" w:rsidRPr="0016463C">
        <w:t>landscape</w:t>
      </w:r>
      <w:r w:rsidR="00402766" w:rsidRPr="0016463C">
        <w:t xml:space="preserve"> of higher education in</w:t>
      </w:r>
      <w:r w:rsidR="00D83447" w:rsidRPr="0016463C">
        <w:t xml:space="preserve"> the </w:t>
      </w:r>
      <w:r w:rsidR="00402766" w:rsidRPr="0016463C">
        <w:t>UK</w:t>
      </w:r>
      <w:bookmarkEnd w:id="0"/>
    </w:p>
    <w:p w14:paraId="1909868F" w14:textId="3BD43F0F" w:rsidR="00321D5A" w:rsidRPr="0016463C" w:rsidRDefault="00347528" w:rsidP="00D552DF">
      <w:r>
        <w:t>S</w:t>
      </w:r>
      <w:r w:rsidRPr="0016463C">
        <w:t>ince the turn of the millennium</w:t>
      </w:r>
      <w:r w:rsidR="007B484C">
        <w:t xml:space="preserve"> there has been a</w:t>
      </w:r>
      <w:r w:rsidR="00E94EA5" w:rsidRPr="0016463C">
        <w:t xml:space="preserve"> proliferation </w:t>
      </w:r>
      <w:r w:rsidR="007B484C">
        <w:t>in the</w:t>
      </w:r>
      <w:r w:rsidR="007B484C" w:rsidRPr="0016463C">
        <w:t xml:space="preserve"> </w:t>
      </w:r>
      <w:r w:rsidR="00996CE2" w:rsidRPr="0016463C">
        <w:t xml:space="preserve">use </w:t>
      </w:r>
      <w:r w:rsidR="00E94EA5" w:rsidRPr="0016463C">
        <w:t xml:space="preserve">of digital technologies </w:t>
      </w:r>
      <w:r w:rsidR="007B484C">
        <w:t>in the workplace along with an</w:t>
      </w:r>
      <w:r w:rsidR="007B484C" w:rsidRPr="0016463C">
        <w:t xml:space="preserve"> </w:t>
      </w:r>
      <w:r w:rsidR="00996CE2" w:rsidRPr="0016463C">
        <w:t xml:space="preserve">exponential </w:t>
      </w:r>
      <w:r w:rsidR="00E94EA5" w:rsidRPr="0016463C">
        <w:t>growth of hi-tech industries</w:t>
      </w:r>
      <w:r w:rsidR="007B484C">
        <w:t>. This</w:t>
      </w:r>
      <w:r w:rsidR="00996CE2" w:rsidRPr="0016463C">
        <w:t xml:space="preserve"> </w:t>
      </w:r>
      <w:r w:rsidR="00E94EA5" w:rsidRPr="0016463C">
        <w:t xml:space="preserve">has </w:t>
      </w:r>
      <w:r w:rsidR="00B53E5B" w:rsidRPr="0016463C">
        <w:t>necessitated an urgent requirement</w:t>
      </w:r>
      <w:r w:rsidR="00E94EA5" w:rsidRPr="0016463C">
        <w:t xml:space="preserve"> for a </w:t>
      </w:r>
      <w:r w:rsidR="00996CE2" w:rsidRPr="0016463C">
        <w:t>digitally</w:t>
      </w:r>
      <w:r w:rsidR="00A07429" w:rsidRPr="0016463C">
        <w:t xml:space="preserve"> </w:t>
      </w:r>
      <w:r w:rsidR="00996CE2" w:rsidRPr="0016463C">
        <w:t xml:space="preserve">literate and </w:t>
      </w:r>
      <w:r w:rsidR="00E94EA5" w:rsidRPr="0016463C">
        <w:t>skilled workforce</w:t>
      </w:r>
      <w:r w:rsidR="00EB71E4" w:rsidRPr="0016463C">
        <w:t xml:space="preserve"> in the UK</w:t>
      </w:r>
      <w:r w:rsidR="00F7665E">
        <w:t>, which</w:t>
      </w:r>
      <w:r w:rsidR="00E94EA5" w:rsidRPr="0016463C">
        <w:t xml:space="preserve"> has </w:t>
      </w:r>
      <w:r w:rsidR="00996CE2" w:rsidRPr="0016463C">
        <w:t xml:space="preserve">guided </w:t>
      </w:r>
      <w:r w:rsidR="00E94EA5" w:rsidRPr="0016463C">
        <w:t xml:space="preserve">government, industry, education </w:t>
      </w:r>
      <w:r w:rsidR="00A87AE8" w:rsidRPr="0016463C">
        <w:t>institutions</w:t>
      </w:r>
      <w:r w:rsidR="00E94EA5" w:rsidRPr="0016463C">
        <w:t xml:space="preserve"> and individuals to </w:t>
      </w:r>
      <w:r w:rsidR="006E2788" w:rsidRPr="0016463C">
        <w:t>consider</w:t>
      </w:r>
      <w:r w:rsidR="00321D5A" w:rsidRPr="0016463C">
        <w:t xml:space="preserve"> different </w:t>
      </w:r>
      <w:r w:rsidR="00A87AE8" w:rsidRPr="0016463C">
        <w:t>forms of</w:t>
      </w:r>
      <w:r w:rsidR="00321D5A" w:rsidRPr="0016463C">
        <w:t xml:space="preserve"> learning </w:t>
      </w:r>
      <w:r w:rsidR="00A87AE8" w:rsidRPr="0016463C">
        <w:t>provision</w:t>
      </w:r>
      <w:r w:rsidR="00321D5A" w:rsidRPr="0016463C">
        <w:t xml:space="preserve"> </w:t>
      </w:r>
      <w:r w:rsidR="00A87AE8" w:rsidRPr="0016463C">
        <w:t xml:space="preserve">and </w:t>
      </w:r>
      <w:r w:rsidR="00321D5A" w:rsidRPr="0016463C">
        <w:t>funding models</w:t>
      </w:r>
      <w:r w:rsidR="00A87AE8" w:rsidRPr="0016463C">
        <w:t>.</w:t>
      </w:r>
      <w:r w:rsidR="00321D5A" w:rsidRPr="0016463C">
        <w:t xml:space="preserve"> </w:t>
      </w:r>
      <w:r w:rsidR="00EB71E4" w:rsidRPr="0016463C">
        <w:t>‘</w:t>
      </w:r>
      <w:r w:rsidR="00EB7ECB" w:rsidRPr="0016463C">
        <w:t xml:space="preserve">Higher and Degree Apprenticeships’ </w:t>
      </w:r>
      <w:r w:rsidR="00616762" w:rsidRPr="0016463C">
        <w:fldChar w:fldCharType="begin"/>
      </w:r>
      <w:r w:rsidR="00616762" w:rsidRPr="0016463C">
        <w:instrText xml:space="preserve"> ADDIN EN.CITE &lt;EndNote&gt;&lt;Cite&gt;&lt;Author&gt;Skills Funding Agency&lt;/Author&gt;&lt;Year&gt;2014&lt;/Year&gt;&lt;RecNum&gt;733&lt;/RecNum&gt;&lt;DisplayText&gt;(Skills Funding Agency, 2014)&lt;/DisplayText&gt;&lt;record&gt;&lt;rec-number&gt;733&lt;/rec-number&gt;&lt;foreign-keys&gt;&lt;key app="EN" db-id="z55xttzezxev91ewsev55ad4apzsf2pwza0p" timestamp="1448382950"&gt;733&lt;/key&gt;&lt;/foreign-keys&gt;&lt;ref-type name="Web Page"&gt;12&lt;/ref-type&gt;&lt;contributors&gt;&lt;authors&gt;&lt;author&gt;Skills Funding Agency,&lt;/author&gt;&lt;/authors&gt;&lt;/contributors&gt;&lt;titles&gt;&lt;title&gt;Professional development for work-based learning practitioners apprenticeships&lt;/title&gt;&lt;/titles&gt;&lt;volume&gt;2015&lt;/volume&gt;&lt;number&gt;24th October&lt;/number&gt;&lt;dates&gt;&lt;year&gt;2014&lt;/year&gt;&lt;/dates&gt;&lt;publisher&gt;HM Goverment&lt;/publisher&gt;&lt;urls&gt;&lt;related-urls&gt;&lt;url&gt;https://www.gov.uk/guidance/professional-development-for-work-based-learning-practitioners-apprenticeships&lt;/url&gt;&lt;/related-urls&gt;&lt;/urls&gt;&lt;/record&gt;&lt;/Cite&gt;&lt;/EndNote&gt;</w:instrText>
      </w:r>
      <w:r w:rsidR="00616762" w:rsidRPr="0016463C">
        <w:fldChar w:fldCharType="separate"/>
      </w:r>
      <w:r w:rsidR="00616762" w:rsidRPr="0016463C">
        <w:rPr>
          <w:noProof/>
        </w:rPr>
        <w:t>(Skills Funding Agency, 2014)</w:t>
      </w:r>
      <w:r w:rsidR="00616762" w:rsidRPr="0016463C">
        <w:fldChar w:fldCharType="end"/>
      </w:r>
      <w:r w:rsidR="00616762" w:rsidRPr="0016463C">
        <w:t xml:space="preserve"> </w:t>
      </w:r>
      <w:r w:rsidR="00321D5A" w:rsidRPr="0016463C">
        <w:t xml:space="preserve">have </w:t>
      </w:r>
      <w:r w:rsidR="00442CD2" w:rsidRPr="0016463C">
        <w:t xml:space="preserve">been presented as the way forward by the </w:t>
      </w:r>
      <w:r w:rsidR="006E2788" w:rsidRPr="0016463C">
        <w:t>Coalition and</w:t>
      </w:r>
      <w:r w:rsidR="00C87378" w:rsidRPr="0016463C">
        <w:t xml:space="preserve"> Conservative government</w:t>
      </w:r>
      <w:r w:rsidR="006E2788" w:rsidRPr="0016463C">
        <w:t>s</w:t>
      </w:r>
      <w:r w:rsidR="00953FFF" w:rsidRPr="0016463C">
        <w:t xml:space="preserve">. </w:t>
      </w:r>
      <w:r w:rsidR="00996CE2" w:rsidRPr="0016463C">
        <w:t>Before look</w:t>
      </w:r>
      <w:r w:rsidR="005D60BA" w:rsidRPr="0016463C">
        <w:t>ing</w:t>
      </w:r>
      <w:r w:rsidR="00996CE2" w:rsidRPr="0016463C">
        <w:t xml:space="preserve"> directly at these </w:t>
      </w:r>
      <w:r w:rsidR="00404323" w:rsidRPr="0016463C">
        <w:t>plans,</w:t>
      </w:r>
      <w:r w:rsidR="00996CE2" w:rsidRPr="0016463C">
        <w:t xml:space="preserve"> </w:t>
      </w:r>
      <w:r w:rsidR="00324C19" w:rsidRPr="0016463C">
        <w:t>some background exploration is need</w:t>
      </w:r>
      <w:r w:rsidR="002B589B" w:rsidRPr="0016463C">
        <w:t>ed</w:t>
      </w:r>
      <w:r w:rsidR="00324C19" w:rsidRPr="0016463C">
        <w:t xml:space="preserve"> to explain </w:t>
      </w:r>
      <w:r w:rsidR="00404323" w:rsidRPr="0016463C">
        <w:t>why these</w:t>
      </w:r>
      <w:r w:rsidR="00324C19" w:rsidRPr="0016463C">
        <w:t xml:space="preserve"> new models</w:t>
      </w:r>
      <w:r w:rsidR="00404323" w:rsidRPr="0016463C">
        <w:t xml:space="preserve"> of learning have been proposed</w:t>
      </w:r>
      <w:r w:rsidR="002523E3" w:rsidRPr="0016463C">
        <w:t xml:space="preserve"> and the Government’s educational shift towards a</w:t>
      </w:r>
      <w:r w:rsidR="00953FFF" w:rsidRPr="0016463C">
        <w:t xml:space="preserve"> greater</w:t>
      </w:r>
      <w:r w:rsidR="002523E3" w:rsidRPr="0016463C">
        <w:t xml:space="preserve"> emphasis on apprenticeships. </w:t>
      </w:r>
    </w:p>
    <w:p w14:paraId="3107B3C6" w14:textId="2E99EDB3" w:rsidR="00497E95" w:rsidRPr="0016463C" w:rsidRDefault="00DD414B" w:rsidP="007B0B19">
      <w:pPr>
        <w:pStyle w:val="Heading2"/>
      </w:pPr>
      <w:bookmarkStart w:id="1" w:name="_Toc307223406"/>
      <w:r w:rsidRPr="0016463C">
        <w:t xml:space="preserve">1.1 </w:t>
      </w:r>
      <w:r w:rsidR="00497E95" w:rsidRPr="0016463C">
        <w:t>Student funding and loan repayments</w:t>
      </w:r>
      <w:bookmarkEnd w:id="1"/>
    </w:p>
    <w:p w14:paraId="595B024E" w14:textId="298DA31C" w:rsidR="00E8026B" w:rsidRPr="0016463C" w:rsidRDefault="005022AA" w:rsidP="001A04BD">
      <w:r w:rsidRPr="0016463C">
        <w:t xml:space="preserve">The funding of higher education </w:t>
      </w:r>
      <w:r w:rsidR="003871D9" w:rsidRPr="0016463C">
        <w:t xml:space="preserve">in the UK </w:t>
      </w:r>
      <w:r w:rsidRPr="0016463C">
        <w:t xml:space="preserve">has </w:t>
      </w:r>
      <w:r w:rsidR="004958C5" w:rsidRPr="0016463C">
        <w:t xml:space="preserve">been a </w:t>
      </w:r>
      <w:r w:rsidR="00A622D7" w:rsidRPr="0016463C">
        <w:t>highly contested</w:t>
      </w:r>
      <w:r w:rsidR="004958C5" w:rsidRPr="0016463C">
        <w:t xml:space="preserve"> issue </w:t>
      </w:r>
      <w:r w:rsidR="00853C57" w:rsidRPr="0016463C">
        <w:t>that</w:t>
      </w:r>
      <w:r w:rsidR="004958C5" w:rsidRPr="0016463C">
        <w:t xml:space="preserve"> has </w:t>
      </w:r>
      <w:r w:rsidRPr="0016463C">
        <w:t xml:space="preserve">shifted significantly </w:t>
      </w:r>
      <w:r w:rsidR="00A74E30" w:rsidRPr="0016463C">
        <w:t xml:space="preserve">over the last 20 years. </w:t>
      </w:r>
      <w:r w:rsidR="004958C5" w:rsidRPr="0016463C">
        <w:t xml:space="preserve">Although one </w:t>
      </w:r>
      <w:r w:rsidR="00953FFF" w:rsidRPr="0016463C">
        <w:t xml:space="preserve">might </w:t>
      </w:r>
      <w:r w:rsidR="00715DA4" w:rsidRPr="0016463C">
        <w:t>consider</w:t>
      </w:r>
      <w:r w:rsidR="004958C5" w:rsidRPr="0016463C">
        <w:t xml:space="preserve"> student loans </w:t>
      </w:r>
      <w:r w:rsidR="00953FFF" w:rsidRPr="0016463C">
        <w:t xml:space="preserve">in the UK </w:t>
      </w:r>
      <w:r w:rsidR="004958C5" w:rsidRPr="0016463C">
        <w:t xml:space="preserve">to </w:t>
      </w:r>
      <w:r w:rsidR="00355525" w:rsidRPr="0016463C">
        <w:t xml:space="preserve">have </w:t>
      </w:r>
      <w:r w:rsidR="004958C5" w:rsidRPr="0016463C">
        <w:t>be</w:t>
      </w:r>
      <w:r w:rsidR="00355525" w:rsidRPr="0016463C">
        <w:t>en</w:t>
      </w:r>
      <w:r w:rsidR="004958C5" w:rsidRPr="0016463C">
        <w:t xml:space="preserve"> a fairly recent occurrence, they </w:t>
      </w:r>
      <w:r w:rsidRPr="0016463C">
        <w:t xml:space="preserve">were </w:t>
      </w:r>
      <w:r w:rsidR="00754FBF" w:rsidRPr="0016463C">
        <w:t xml:space="preserve">in fact </w:t>
      </w:r>
      <w:r w:rsidRPr="0016463C">
        <w:t xml:space="preserve">introduced into the </w:t>
      </w:r>
      <w:r w:rsidR="005D60BA" w:rsidRPr="0016463C">
        <w:t xml:space="preserve">Higher </w:t>
      </w:r>
      <w:r w:rsidRPr="0016463C">
        <w:t>Education system back in 1990</w:t>
      </w:r>
      <w:r w:rsidR="005D60BA" w:rsidRPr="0016463C">
        <w:t>,</w:t>
      </w:r>
      <w:r w:rsidRPr="0016463C">
        <w:t xml:space="preserve"> replacing maintenance grants. </w:t>
      </w:r>
      <w:r w:rsidR="00565DFB" w:rsidRPr="0016463C">
        <w:t>T</w:t>
      </w:r>
      <w:r w:rsidR="004958C5" w:rsidRPr="0016463C">
        <w:t xml:space="preserve">hese earlier loans </w:t>
      </w:r>
      <w:r w:rsidR="00715DA4" w:rsidRPr="0016463C">
        <w:t xml:space="preserve">agreements were </w:t>
      </w:r>
      <w:r w:rsidR="004958C5" w:rsidRPr="0016463C">
        <w:t>mortgage</w:t>
      </w:r>
      <w:r w:rsidR="00715DA4" w:rsidRPr="0016463C">
        <w:t>-like</w:t>
      </w:r>
      <w:r w:rsidR="004958C5" w:rsidRPr="0016463C">
        <w:t xml:space="preserve"> in their repayment methods</w:t>
      </w:r>
      <w:r w:rsidR="00715DA4" w:rsidRPr="0016463C">
        <w:t xml:space="preserve"> and </w:t>
      </w:r>
      <w:r w:rsidR="00A74E30" w:rsidRPr="0016463C">
        <w:t>used</w:t>
      </w:r>
      <w:r w:rsidR="00715DA4" w:rsidRPr="0016463C">
        <w:t xml:space="preserve"> for the purposes of maintenance while at university</w:t>
      </w:r>
      <w:r w:rsidR="00565DFB" w:rsidRPr="0016463C">
        <w:t>. I</w:t>
      </w:r>
      <w:r w:rsidR="004958C5" w:rsidRPr="0016463C">
        <w:t xml:space="preserve">n 1998 the </w:t>
      </w:r>
      <w:r w:rsidR="00715DA4" w:rsidRPr="0016463C">
        <w:t xml:space="preserve">Labour </w:t>
      </w:r>
      <w:r w:rsidR="00ED1BED" w:rsidRPr="0016463C">
        <w:t>g</w:t>
      </w:r>
      <w:r w:rsidR="0046739A" w:rsidRPr="0016463C">
        <w:t xml:space="preserve">overnment </w:t>
      </w:r>
      <w:r w:rsidR="005A7A82" w:rsidRPr="005A7A82">
        <w:t>initiated</w:t>
      </w:r>
      <w:r w:rsidR="004958C5" w:rsidRPr="0016463C">
        <w:t xml:space="preserve"> a different kind </w:t>
      </w:r>
      <w:r w:rsidR="000D4320" w:rsidRPr="0016463C">
        <w:t xml:space="preserve">of </w:t>
      </w:r>
      <w:r w:rsidR="00565DFB" w:rsidRPr="0016463C">
        <w:t>funding model</w:t>
      </w:r>
      <w:r w:rsidR="00A87AE8" w:rsidRPr="0016463C">
        <w:t xml:space="preserve"> to </w:t>
      </w:r>
      <w:r w:rsidR="000B102D" w:rsidRPr="0016463C">
        <w:t>assist</w:t>
      </w:r>
      <w:r w:rsidR="00A87AE8" w:rsidRPr="0016463C">
        <w:t xml:space="preserve"> </w:t>
      </w:r>
      <w:r w:rsidR="000B102D" w:rsidRPr="0016463C">
        <w:t xml:space="preserve">in </w:t>
      </w:r>
      <w:r w:rsidR="00A87AE8" w:rsidRPr="0016463C">
        <w:t xml:space="preserve">its ambition </w:t>
      </w:r>
      <w:r w:rsidR="000B102D" w:rsidRPr="0016463C">
        <w:t>to</w:t>
      </w:r>
      <w:r w:rsidR="00A87AE8" w:rsidRPr="0016463C">
        <w:t xml:space="preserve"> increas</w:t>
      </w:r>
      <w:r w:rsidR="000B102D" w:rsidRPr="0016463C">
        <w:t xml:space="preserve">e </w:t>
      </w:r>
      <w:r w:rsidR="00A87AE8" w:rsidRPr="0016463C">
        <w:t xml:space="preserve">university </w:t>
      </w:r>
      <w:r w:rsidR="00E922BB" w:rsidRPr="0016463C">
        <w:t>enrolment</w:t>
      </w:r>
      <w:r w:rsidR="00A87AE8" w:rsidRPr="0016463C">
        <w:t>. K</w:t>
      </w:r>
      <w:r w:rsidR="00565DFB" w:rsidRPr="0016463C">
        <w:t>nown</w:t>
      </w:r>
      <w:r w:rsidR="004958C5" w:rsidRPr="0016463C">
        <w:t xml:space="preserve"> as Income Contingent Repayment loans, </w:t>
      </w:r>
      <w:r w:rsidR="00A87AE8" w:rsidRPr="0016463C">
        <w:t>they</w:t>
      </w:r>
      <w:r w:rsidR="004958C5" w:rsidRPr="0016463C">
        <w:t xml:space="preserve"> were determined by income and not by </w:t>
      </w:r>
      <w:r w:rsidR="00565DFB" w:rsidRPr="0016463C">
        <w:t xml:space="preserve">amount owed. Along with this they controversially </w:t>
      </w:r>
      <w:r w:rsidR="005A7A82" w:rsidRPr="005A7A82">
        <w:t>instigated</w:t>
      </w:r>
      <w:r w:rsidR="005A7A82">
        <w:t xml:space="preserve"> </w:t>
      </w:r>
      <w:r w:rsidR="00565DFB" w:rsidRPr="0016463C">
        <w:t>t</w:t>
      </w:r>
      <w:r w:rsidR="00AD2630" w:rsidRPr="0016463C">
        <w:t xml:space="preserve">uition fees </w:t>
      </w:r>
      <w:r w:rsidR="00565DFB" w:rsidRPr="0016463C">
        <w:t>for under</w:t>
      </w:r>
      <w:r w:rsidR="005D60BA" w:rsidRPr="0016463C">
        <w:t>-</w:t>
      </w:r>
      <w:r w:rsidR="00565DFB" w:rsidRPr="0016463C">
        <w:t xml:space="preserve"> and post-graduate students across the UK. Ori</w:t>
      </w:r>
      <w:r w:rsidR="00BE0CBD" w:rsidRPr="0016463C">
        <w:t xml:space="preserve">ginally set at a limit of £1000, </w:t>
      </w:r>
      <w:r w:rsidR="00565DFB" w:rsidRPr="0016463C">
        <w:t>the limi</w:t>
      </w:r>
      <w:r w:rsidR="00E245DB" w:rsidRPr="0016463C">
        <w:t>t was tripled to £3,000 in 2004</w:t>
      </w:r>
      <w:r w:rsidR="00D701D5" w:rsidRPr="0016463C">
        <w:rPr>
          <w:rStyle w:val="FootnoteReference"/>
        </w:rPr>
        <w:footnoteReference w:id="1"/>
      </w:r>
      <w:r w:rsidR="00D701D5" w:rsidRPr="0016463C">
        <w:t>.</w:t>
      </w:r>
      <w:r w:rsidR="00E245DB" w:rsidRPr="0016463C">
        <w:t xml:space="preserve"> </w:t>
      </w:r>
    </w:p>
    <w:p w14:paraId="664F7F63" w14:textId="070D3595" w:rsidR="00323D7D" w:rsidRPr="0016463C" w:rsidRDefault="006062D3" w:rsidP="001A04BD">
      <w:r w:rsidRPr="0016463C">
        <w:t>Shortly</w:t>
      </w:r>
      <w:r w:rsidR="005A7CD3" w:rsidRPr="0016463C">
        <w:t xml:space="preserve"> </w:t>
      </w:r>
      <w:r w:rsidR="0089612F" w:rsidRPr="0016463C">
        <w:t xml:space="preserve">after the formation of the </w:t>
      </w:r>
      <w:r w:rsidR="0046739A" w:rsidRPr="0016463C">
        <w:t xml:space="preserve">Coalition </w:t>
      </w:r>
      <w:r w:rsidR="00A977BB" w:rsidRPr="0016463C">
        <w:t>g</w:t>
      </w:r>
      <w:r w:rsidR="0046739A" w:rsidRPr="0016463C">
        <w:t xml:space="preserve">overnment </w:t>
      </w:r>
      <w:r w:rsidR="0089612F" w:rsidRPr="0016463C">
        <w:t>in 2010</w:t>
      </w:r>
      <w:r w:rsidR="00A57472" w:rsidRPr="0016463C">
        <w:t xml:space="preserve"> </w:t>
      </w:r>
      <w:r w:rsidR="00CC135E" w:rsidRPr="0016463C">
        <w:t xml:space="preserve">reforms were introduced to English undergraduate finances, which </w:t>
      </w:r>
      <w:r w:rsidR="00B95B8B" w:rsidRPr="0016463C">
        <w:t xml:space="preserve">included </w:t>
      </w:r>
      <w:r w:rsidR="006E5BC2" w:rsidRPr="0016463C">
        <w:t>the tripling</w:t>
      </w:r>
      <w:r w:rsidR="00256F3A" w:rsidRPr="0016463C">
        <w:t xml:space="preserve"> of</w:t>
      </w:r>
      <w:r w:rsidR="006E5BC2" w:rsidRPr="0016463C">
        <w:t xml:space="preserve"> </w:t>
      </w:r>
      <w:r w:rsidR="00A57472" w:rsidRPr="0016463C">
        <w:t>the</w:t>
      </w:r>
      <w:r w:rsidR="00256F3A" w:rsidRPr="0016463C">
        <w:t xml:space="preserve"> cap on </w:t>
      </w:r>
      <w:r w:rsidR="00A57472" w:rsidRPr="0016463C">
        <w:t xml:space="preserve">university tuition fees </w:t>
      </w:r>
      <w:r w:rsidR="00B95B8B" w:rsidRPr="0016463C">
        <w:t>from £3</w:t>
      </w:r>
      <w:r w:rsidR="00414CBD" w:rsidRPr="0016463C">
        <w:t>,</w:t>
      </w:r>
      <w:r w:rsidR="00B95B8B" w:rsidRPr="0016463C">
        <w:t xml:space="preserve">000 </w:t>
      </w:r>
      <w:r w:rsidR="00A57472" w:rsidRPr="0016463C">
        <w:t>to a maximum</w:t>
      </w:r>
      <w:r w:rsidR="0089149E" w:rsidRPr="0016463C">
        <w:t xml:space="preserve"> of £9,000 per year. </w:t>
      </w:r>
      <w:r w:rsidR="00B403D2" w:rsidRPr="0016463C">
        <w:t xml:space="preserve">Consequently </w:t>
      </w:r>
      <w:r w:rsidR="00B64840" w:rsidRPr="0016463C">
        <w:t>76 per cent, 130 out of 172 universities and colleges, charged the upper limit of £9,000 for at least one course in 2015-16</w:t>
      </w:r>
      <w:r w:rsidR="006F7FD7" w:rsidRPr="0016463C">
        <w:t xml:space="preserve"> </w:t>
      </w:r>
      <w:r w:rsidR="006F7FD7" w:rsidRPr="0016463C">
        <w:fldChar w:fldCharType="begin"/>
      </w:r>
      <w:r w:rsidR="006F7FD7" w:rsidRPr="0016463C">
        <w:instrText xml:space="preserve"> ADDIN EN.CITE &lt;EndNote&gt;&lt;Cite&gt;&lt;Author&gt;Office for Fair Access&lt;/Author&gt;&lt;Year&gt;2014&lt;/Year&gt;&lt;RecNum&gt;739&lt;/RecNum&gt;&lt;DisplayText&gt;(Office for Fair Access, 2014)&lt;/DisplayText&gt;&lt;record&gt;&lt;rec-number&gt;739&lt;/rec-number&gt;&lt;foreign-keys&gt;&lt;key app="EN" db-id="z55xttzezxev91ewsev55ad4apzsf2pwza0p" timestamp="1468321836"&gt;739&lt;/key&gt;&lt;/foreign-keys&gt;&lt;ref-type name="Web Page"&gt;12&lt;/ref-type&gt;&lt;contributors&gt;&lt;authors&gt;&lt;author&gt;Office for Fair Access,&lt;/author&gt;&lt;/authors&gt;&lt;/contributors&gt;&lt;titles&gt;&lt;title&gt;Access agreements for 2015-16: key statistics and analysis&lt;/title&gt;&lt;/titles&gt;&lt;volume&gt;2016&lt;/volume&gt;&lt;number&gt;12th July&lt;/number&gt;&lt;dates&gt;&lt;year&gt;2014&lt;/year&gt;&lt;/dates&gt;&lt;publisher&gt;Office for Fair Access&lt;/publisher&gt;&lt;urls&gt;&lt;related-urls&gt;&lt;url&gt;https://www.offa.org.uk/wp-content/uploads/2014/07/Access-agreements-for-2015-16-key-statistics-and-analysis.pdf&lt;/url&gt;&lt;/related-urls&gt;&lt;/urls&gt;&lt;/record&gt;&lt;/Cite&gt;&lt;/EndNote&gt;</w:instrText>
      </w:r>
      <w:r w:rsidR="006F7FD7" w:rsidRPr="0016463C">
        <w:fldChar w:fldCharType="separate"/>
      </w:r>
      <w:r w:rsidR="006F7FD7" w:rsidRPr="0016463C">
        <w:rPr>
          <w:noProof/>
        </w:rPr>
        <w:t>(Office for Fair Access, 2014)</w:t>
      </w:r>
      <w:r w:rsidR="006F7FD7" w:rsidRPr="0016463C">
        <w:fldChar w:fldCharType="end"/>
      </w:r>
      <w:r w:rsidR="003D7ACF" w:rsidRPr="0016463C">
        <w:t xml:space="preserve">. </w:t>
      </w:r>
      <w:r w:rsidR="00E936F3" w:rsidRPr="0016463C">
        <w:t xml:space="preserve">This </w:t>
      </w:r>
      <w:r w:rsidR="00256F3A" w:rsidRPr="0016463C">
        <w:t xml:space="preserve">has </w:t>
      </w:r>
      <w:r w:rsidR="00A57472" w:rsidRPr="0016463C">
        <w:t xml:space="preserve">greatly </w:t>
      </w:r>
      <w:r w:rsidRPr="0016463C">
        <w:t>affected</w:t>
      </w:r>
      <w:r w:rsidR="00A57472" w:rsidRPr="0016463C">
        <w:t xml:space="preserve"> the cost of university education</w:t>
      </w:r>
      <w:r w:rsidR="00E936F3" w:rsidRPr="0016463C">
        <w:t xml:space="preserve"> </w:t>
      </w:r>
      <w:r w:rsidR="00722DFF" w:rsidRPr="0016463C">
        <w:t xml:space="preserve">in the UK </w:t>
      </w:r>
      <w:r w:rsidR="00E936F3" w:rsidRPr="0016463C">
        <w:t>and t</w:t>
      </w:r>
      <w:r w:rsidR="00A57472" w:rsidRPr="0016463C">
        <w:t>he amount of student debt incurred over the life of an average three-year degree course</w:t>
      </w:r>
      <w:r w:rsidR="00B403D2" w:rsidRPr="0016463C">
        <w:t xml:space="preserve">. </w:t>
      </w:r>
      <w:r w:rsidR="00A57472" w:rsidRPr="0016463C">
        <w:t>As a result</w:t>
      </w:r>
      <w:r w:rsidR="00334C88" w:rsidRPr="0016463C">
        <w:t>,</w:t>
      </w:r>
      <w:r w:rsidR="00A57472" w:rsidRPr="0016463C">
        <w:t xml:space="preserve"> there were protests against such a</w:t>
      </w:r>
      <w:r w:rsidR="006E5BC2" w:rsidRPr="0016463C">
        <w:t xml:space="preserve">n </w:t>
      </w:r>
      <w:r w:rsidR="008356B5" w:rsidRPr="0016463C">
        <w:t xml:space="preserve">exponential </w:t>
      </w:r>
      <w:r w:rsidR="006E5BC2" w:rsidRPr="0016463C">
        <w:t>increase</w:t>
      </w:r>
      <w:r w:rsidR="00A57472" w:rsidRPr="0016463C">
        <w:t xml:space="preserve"> </w:t>
      </w:r>
      <w:r w:rsidR="006E5BC2" w:rsidRPr="0016463C">
        <w:t>in</w:t>
      </w:r>
      <w:r w:rsidR="00A57472" w:rsidRPr="0016463C">
        <w:t xml:space="preserve"> fees</w:t>
      </w:r>
      <w:r w:rsidR="00B403D2" w:rsidRPr="0016463C">
        <w:t xml:space="preserve"> and burden of </w:t>
      </w:r>
      <w:r w:rsidR="005A799F">
        <w:t xml:space="preserve">incurred </w:t>
      </w:r>
      <w:r w:rsidR="00B403D2" w:rsidRPr="0016463C">
        <w:t>debt</w:t>
      </w:r>
      <w:r w:rsidR="003D7ACF" w:rsidRPr="0016463C">
        <w:t xml:space="preserve"> </w:t>
      </w:r>
      <w:r w:rsidR="00160A10" w:rsidRPr="0016463C">
        <w:fldChar w:fldCharType="begin"/>
      </w:r>
      <w:r w:rsidR="00160A10" w:rsidRPr="0016463C">
        <w:instrText xml:space="preserve"> ADDIN EN.CITE &lt;EndNote&gt;&lt;Cite&gt;&lt;Author&gt;Coughlan&lt;/Author&gt;&lt;Year&gt;2010&lt;/Year&gt;&lt;RecNum&gt;732&lt;/RecNum&gt;&lt;DisplayText&gt;(Coughlan, 2010)&lt;/DisplayText&gt;&lt;record&gt;&lt;rec-number&gt;732&lt;/rec-number&gt;&lt;foreign-keys&gt;&lt;key app="EN" db-id="z55xttzezxev91ewsev55ad4apzsf2pwza0p" timestamp="1445434392"&gt;732&lt;/key&gt;&lt;/foreign-keys&gt;&lt;ref-type name="Web Page"&gt;12&lt;/ref-type&gt;&lt;contributors&gt;&lt;authors&gt;&lt;author&gt;Sean Coughlan&lt;/author&gt;&lt;/authors&gt;&lt;/contributors&gt;&lt;titles&gt;&lt;title&gt;Students stage day of protests over tuition fee rises&lt;/title&gt;&lt;/titles&gt;&lt;volume&gt;2015&lt;/volume&gt;&lt;number&gt;21st October&lt;/number&gt;&lt;dates&gt;&lt;year&gt;2010&lt;/year&gt;&lt;/dates&gt;&lt;publisher&gt;BBC News&lt;/publisher&gt;&lt;urls&gt;&lt;related-urls&gt;&lt;url&gt;http://www.bbc.co.uk/news/education-11829102&lt;/url&gt;&lt;/related-urls&gt;&lt;/urls&gt;&lt;/record&gt;&lt;/Cite&gt;&lt;/EndNote&gt;</w:instrText>
      </w:r>
      <w:r w:rsidR="00160A10" w:rsidRPr="0016463C">
        <w:fldChar w:fldCharType="separate"/>
      </w:r>
      <w:r w:rsidR="00160A10" w:rsidRPr="0016463C">
        <w:rPr>
          <w:noProof/>
        </w:rPr>
        <w:t>(Coughlan, 2010)</w:t>
      </w:r>
      <w:r w:rsidR="00160A10" w:rsidRPr="0016463C">
        <w:fldChar w:fldCharType="end"/>
      </w:r>
      <w:r w:rsidR="003D7ACF" w:rsidRPr="0016463C">
        <w:t>.</w:t>
      </w:r>
      <w:r w:rsidR="003A1D22" w:rsidRPr="0016463C">
        <w:t xml:space="preserve"> </w:t>
      </w:r>
      <w:r w:rsidR="00323D7D" w:rsidRPr="0016463C">
        <w:t xml:space="preserve">The </w:t>
      </w:r>
      <w:r w:rsidR="00334C88" w:rsidRPr="0016463C">
        <w:t xml:space="preserve">individual’s student </w:t>
      </w:r>
      <w:r w:rsidR="00323D7D" w:rsidRPr="0016463C">
        <w:t xml:space="preserve">debt </w:t>
      </w:r>
      <w:r w:rsidR="00C62609">
        <w:t>is</w:t>
      </w:r>
      <w:r w:rsidR="00B403D2" w:rsidRPr="0016463C">
        <w:t xml:space="preserve"> </w:t>
      </w:r>
      <w:r w:rsidR="00323D7D" w:rsidRPr="0016463C">
        <w:t xml:space="preserve">repaid </w:t>
      </w:r>
      <w:r w:rsidR="00B403D2" w:rsidRPr="0016463C">
        <w:t>over the course of the following 30 years</w:t>
      </w:r>
      <w:r w:rsidR="00B91C36" w:rsidRPr="0016463C">
        <w:t>, as with the previous loan scheme,</w:t>
      </w:r>
      <w:r w:rsidR="00B403D2" w:rsidRPr="0016463C">
        <w:t xml:space="preserve"> </w:t>
      </w:r>
      <w:r w:rsidR="00323D7D" w:rsidRPr="0016463C">
        <w:t>after finishing university</w:t>
      </w:r>
      <w:r w:rsidR="00855580" w:rsidRPr="0016463C">
        <w:t>. T</w:t>
      </w:r>
      <w:r w:rsidR="00B91C36" w:rsidRPr="0016463C">
        <w:t xml:space="preserve">he threshold where loan repayments began was raised </w:t>
      </w:r>
      <w:r w:rsidR="00855580" w:rsidRPr="0016463C">
        <w:t>on</w:t>
      </w:r>
      <w:r w:rsidR="00323D7D" w:rsidRPr="0016463C">
        <w:t xml:space="preserve"> income over £21,000 per year</w:t>
      </w:r>
      <w:r w:rsidR="00855580" w:rsidRPr="0016463C">
        <w:t xml:space="preserve"> (previously set at £15,000 in 2005/06)</w:t>
      </w:r>
      <w:r w:rsidR="00A57472" w:rsidRPr="0016463C">
        <w:t xml:space="preserve">. </w:t>
      </w:r>
      <w:r w:rsidR="00323D7D" w:rsidRPr="0016463C">
        <w:t>A</w:t>
      </w:r>
      <w:r w:rsidR="00A87E65" w:rsidRPr="0016463C">
        <w:t xml:space="preserve">fter </w:t>
      </w:r>
      <w:r w:rsidR="00DE6376" w:rsidRPr="0016463C">
        <w:t xml:space="preserve">this </w:t>
      </w:r>
      <w:r w:rsidR="00414CBD" w:rsidRPr="0016463C">
        <w:t>30</w:t>
      </w:r>
      <w:r w:rsidR="00DE6376" w:rsidRPr="0016463C">
        <w:t>-</w:t>
      </w:r>
      <w:r w:rsidR="00414CBD" w:rsidRPr="0016463C">
        <w:t xml:space="preserve">year </w:t>
      </w:r>
      <w:r w:rsidR="00A87E65" w:rsidRPr="0016463C">
        <w:t>period any u</w:t>
      </w:r>
      <w:r w:rsidR="00323D7D" w:rsidRPr="0016463C">
        <w:t>npaid debt would be written off.</w:t>
      </w:r>
      <w:r w:rsidR="00414CBD" w:rsidRPr="0016463C">
        <w:t xml:space="preserve"> </w:t>
      </w:r>
    </w:p>
    <w:p w14:paraId="62839EE3" w14:textId="1EAC0016" w:rsidR="00475016" w:rsidRPr="0016463C" w:rsidRDefault="00791232" w:rsidP="00946FA4">
      <w:r w:rsidRPr="0016463C">
        <w:t>In the 2015 s</w:t>
      </w:r>
      <w:r w:rsidR="00475016" w:rsidRPr="0016463C">
        <w:t>pending review</w:t>
      </w:r>
      <w:r w:rsidRPr="0016463C">
        <w:t xml:space="preserve"> </w:t>
      </w:r>
      <w:r w:rsidR="00E6659F" w:rsidRPr="0016463C">
        <w:t xml:space="preserve">and autumn statement </w:t>
      </w:r>
      <w:r w:rsidR="00475016" w:rsidRPr="0016463C">
        <w:t xml:space="preserve">Osborne announced the introduction of an employer levy to raise £3 billion </w:t>
      </w:r>
      <w:r w:rsidR="00F127F3" w:rsidRPr="0016463C">
        <w:t xml:space="preserve">by 2019-20 </w:t>
      </w:r>
      <w:r w:rsidR="00160A10" w:rsidRPr="0016463C">
        <w:fldChar w:fldCharType="begin"/>
      </w:r>
      <w:r w:rsidR="00160A10" w:rsidRPr="0016463C">
        <w:instrText xml:space="preserve"> ADDIN EN.CITE &lt;EndNote&gt;&lt;Cite&gt;&lt;Author&gt;Treasury&lt;/Author&gt;&lt;Year&gt;2015&lt;/Year&gt;&lt;RecNum&gt;736&lt;/RecNum&gt;&lt;Suffix&gt;:15&lt;/Suffix&gt;&lt;DisplayText&gt;(HM Treasury, 2015:15)&lt;/DisplayText&gt;&lt;record&gt;&lt;rec-number&gt;736&lt;/rec-number&gt;&lt;foreign-keys&gt;&lt;key app="EN" db-id="z55xttzezxev91ewsev55ad4apzsf2pwza0p" timestamp="1448625979"&gt;736&lt;/key&gt;&lt;/foreign-keys&gt;&lt;ref-type name="Web Page"&gt;12&lt;/ref-type&gt;&lt;contributors&gt;&lt;authors&gt;&lt;author&gt;HM Treasury,&lt;/author&gt;&lt;/authors&gt;&lt;/contributors&gt;&lt;titles&gt;&lt;title&gt;Spending review and autumn statement 2015&lt;/title&gt;&lt;/titles&gt;&lt;volume&gt;2015&lt;/volume&gt;&lt;number&gt;27th November&lt;/number&gt;&lt;dates&gt;&lt;year&gt;2015&lt;/year&gt;&lt;/dates&gt;&lt;urls&gt;&lt;related-urls&gt;&lt;url&gt;https://www.gov.uk/government/uploads/system/uploads/attachment_data/file/479749/52229_Blue_Book_PU1865_Web_Accessible.pdf&lt;/url&gt;&lt;/related-urls&gt;&lt;/urls&gt;&lt;/record&gt;&lt;/Cite&gt;&lt;/EndNote&gt;</w:instrText>
      </w:r>
      <w:r w:rsidR="00160A10" w:rsidRPr="0016463C">
        <w:fldChar w:fldCharType="separate"/>
      </w:r>
      <w:r w:rsidR="00160A10" w:rsidRPr="0016463C">
        <w:rPr>
          <w:noProof/>
        </w:rPr>
        <w:t>(HM Treasury, 2015:15)</w:t>
      </w:r>
      <w:r w:rsidR="00160A10" w:rsidRPr="0016463C">
        <w:fldChar w:fldCharType="end"/>
      </w:r>
      <w:r w:rsidR="00F127F3" w:rsidRPr="0016463C">
        <w:t xml:space="preserve"> </w:t>
      </w:r>
      <w:r w:rsidR="00475016" w:rsidRPr="0016463C">
        <w:t>to help fund apprenticeships</w:t>
      </w:r>
      <w:r w:rsidR="00CD14A3" w:rsidRPr="0016463C">
        <w:t xml:space="preserve">. </w:t>
      </w:r>
      <w:r w:rsidR="009724CD" w:rsidRPr="0016463C">
        <w:t>This, and the cuts to the Further Education budget, is</w:t>
      </w:r>
      <w:r w:rsidR="00CD14A3" w:rsidRPr="0016463C">
        <w:t xml:space="preserve"> </w:t>
      </w:r>
      <w:r w:rsidR="00475016" w:rsidRPr="0016463C">
        <w:t xml:space="preserve">the clearest </w:t>
      </w:r>
      <w:r w:rsidR="00CD14A3" w:rsidRPr="0016463C">
        <w:t>indication the government has</w:t>
      </w:r>
      <w:r w:rsidR="00475016" w:rsidRPr="0016463C">
        <w:t xml:space="preserve"> shifted emphasis </w:t>
      </w:r>
      <w:r w:rsidR="00CD14A3" w:rsidRPr="0016463C">
        <w:t xml:space="preserve">and focus towards </w:t>
      </w:r>
      <w:r w:rsidR="00475016" w:rsidRPr="0016463C">
        <w:t>apprenticeships</w:t>
      </w:r>
      <w:r w:rsidR="00CD14A3" w:rsidRPr="0016463C">
        <w:t>.</w:t>
      </w:r>
    </w:p>
    <w:p w14:paraId="3CBC3D74" w14:textId="7DBEA6A6" w:rsidR="00C1374B" w:rsidRPr="0016463C" w:rsidRDefault="00DD414B" w:rsidP="007B0B19">
      <w:pPr>
        <w:pStyle w:val="Heading2"/>
      </w:pPr>
      <w:bookmarkStart w:id="2" w:name="_Toc307223407"/>
      <w:r w:rsidRPr="0016463C">
        <w:t xml:space="preserve">1.2 </w:t>
      </w:r>
      <w:r w:rsidR="003C0C49" w:rsidRPr="0016463C">
        <w:t xml:space="preserve">UK </w:t>
      </w:r>
      <w:r w:rsidR="00C1374B" w:rsidRPr="0016463C">
        <w:t xml:space="preserve">Skills </w:t>
      </w:r>
      <w:r w:rsidR="00425CA1" w:rsidRPr="0016463C">
        <w:t>gap</w:t>
      </w:r>
      <w:bookmarkEnd w:id="2"/>
    </w:p>
    <w:p w14:paraId="2BF8D3FA" w14:textId="7BFD2FC8" w:rsidR="00F32BB2" w:rsidRPr="0016463C" w:rsidRDefault="00F32BB2" w:rsidP="00F32BB2">
      <w:r w:rsidRPr="0016463C">
        <w:t>There are other areas for consideration with</w:t>
      </w:r>
      <w:r w:rsidR="008538D9" w:rsidRPr="0016463C">
        <w:t>in</w:t>
      </w:r>
      <w:r w:rsidRPr="0016463C">
        <w:t xml:space="preserve"> the current </w:t>
      </w:r>
      <w:r w:rsidR="009724D5" w:rsidRPr="0016463C">
        <w:t xml:space="preserve">economic </w:t>
      </w:r>
      <w:r w:rsidRPr="0016463C">
        <w:t xml:space="preserve">climate, such as the increasing skills gap between what students learn </w:t>
      </w:r>
      <w:r w:rsidR="00DC3FCE" w:rsidRPr="0016463C">
        <w:t xml:space="preserve">at university </w:t>
      </w:r>
      <w:r w:rsidRPr="0016463C">
        <w:t xml:space="preserve">and what employers need, particularly in high tech and digital areas. </w:t>
      </w:r>
      <w:r w:rsidR="00CB16E7" w:rsidRPr="0016463C">
        <w:t>Fro</w:t>
      </w:r>
      <w:r w:rsidR="00E44B1A" w:rsidRPr="0016463C">
        <w:t>m a</w:t>
      </w:r>
      <w:r w:rsidR="0064715C" w:rsidRPr="0016463C">
        <w:t>n</w:t>
      </w:r>
      <w:r w:rsidR="00E44B1A" w:rsidRPr="0016463C">
        <w:t xml:space="preserve"> international perspective, </w:t>
      </w:r>
      <w:r w:rsidR="00CB16E7" w:rsidRPr="0016463C">
        <w:t>figures released</w:t>
      </w:r>
      <w:r w:rsidR="00C92DDC" w:rsidRPr="0016463C">
        <w:t xml:space="preserve"> by the Organisation for Economic Co-operation and Development </w:t>
      </w:r>
      <w:r w:rsidR="00160A10" w:rsidRPr="0016463C">
        <w:fldChar w:fldCharType="begin"/>
      </w:r>
      <w:r w:rsidR="00160A10" w:rsidRPr="0016463C">
        <w:instrText xml:space="preserve"> ADDIN EN.CITE &lt;EndNote&gt;&lt;Cite&gt;&lt;Author&gt;OECD&lt;/Author&gt;&lt;Year&gt;2015&lt;/Year&gt;&lt;RecNum&gt;707&lt;/RecNum&gt;&lt;DisplayText&gt;(OECD, 2015)&lt;/DisplayText&gt;&lt;record&gt;&lt;rec-number&gt;707&lt;/rec-number&gt;&lt;foreign-keys&gt;&lt;key app="EN" db-id="z55xttzezxev91ewsev55ad4apzsf2pwza0p" timestamp="1439824472"&gt;707&lt;/key&gt;&lt;/foreign-keys&gt;&lt;ref-type name="Web Page"&gt;12&lt;/ref-type&gt;&lt;contributors&gt;&lt;authors&gt;&lt;author&gt;OECD&lt;/author&gt;&lt;/authors&gt;&lt;/contributors&gt;&lt;titles&gt;&lt;title&gt;OECD Skills Outlook 2015: Youth, Skills and Employability&lt;/title&gt;&lt;/titles&gt;&lt;volume&gt;2015&lt;/volume&gt;&lt;number&gt;17th August&lt;/number&gt;&lt;dates&gt;&lt;year&gt;2015&lt;/year&gt;&lt;/dates&gt;&lt;publisher&gt;Organisation for Economic Co-operation and Development.&lt;/publisher&gt;&lt;urls&gt;&lt;related-urls&gt;&lt;url&gt;http://www.oecd.org/edu/oecd-skills-outlook-2015-9789264234178-en.htm&lt;/url&gt;&lt;/related-urls&gt;&lt;/urls&gt;&lt;/record&gt;&lt;/Cite&gt;&lt;/EndNote&gt;</w:instrText>
      </w:r>
      <w:r w:rsidR="00160A10" w:rsidRPr="0016463C">
        <w:fldChar w:fldCharType="separate"/>
      </w:r>
      <w:r w:rsidR="00160A10" w:rsidRPr="0016463C">
        <w:t>(OECD, 2015)</w:t>
      </w:r>
      <w:r w:rsidR="00160A10" w:rsidRPr="0016463C">
        <w:fldChar w:fldCharType="end"/>
      </w:r>
      <w:r w:rsidR="00946FA4" w:rsidRPr="0016463C">
        <w:t xml:space="preserve"> </w:t>
      </w:r>
      <w:r w:rsidR="00E44B1A" w:rsidRPr="0016463C">
        <w:t>indicate</w:t>
      </w:r>
      <w:r w:rsidR="00C92DDC" w:rsidRPr="0016463C">
        <w:t xml:space="preserve"> that </w:t>
      </w:r>
      <w:r w:rsidR="00CF7D10" w:rsidRPr="0016463C">
        <w:t>the s</w:t>
      </w:r>
      <w:r w:rsidR="00C92DDC" w:rsidRPr="0016463C">
        <w:t xml:space="preserve">kills gap in </w:t>
      </w:r>
      <w:r w:rsidR="0064715C" w:rsidRPr="0016463C">
        <w:t xml:space="preserve">the </w:t>
      </w:r>
      <w:r w:rsidR="00C92DDC" w:rsidRPr="0016463C">
        <w:t xml:space="preserve">UK </w:t>
      </w:r>
      <w:r w:rsidR="00403289" w:rsidRPr="0016463C">
        <w:t xml:space="preserve">is </w:t>
      </w:r>
      <w:r w:rsidR="00C92DDC" w:rsidRPr="0016463C">
        <w:t xml:space="preserve">wider than other developed countries. </w:t>
      </w:r>
      <w:r w:rsidR="006E2788" w:rsidRPr="0016463C">
        <w:t>A workforce survey of 3,000 companies by t</w:t>
      </w:r>
      <w:r w:rsidR="00CF7D10" w:rsidRPr="0016463C">
        <w:t>he British Chamber of Commerce</w:t>
      </w:r>
      <w:r w:rsidR="00F42093" w:rsidRPr="0016463C">
        <w:t xml:space="preserve"> </w:t>
      </w:r>
      <w:r w:rsidR="00160A10" w:rsidRPr="0016463C">
        <w:fldChar w:fldCharType="begin"/>
      </w:r>
      <w:r w:rsidR="00160A10" w:rsidRPr="0016463C">
        <w:instrText xml:space="preserve"> ADDIN EN.CITE &lt;EndNote&gt;&lt;Cite ExcludeAuth="1"&gt;&lt;Author&gt;BCC&lt;/Author&gt;&lt;Year&gt;2014&lt;/Year&gt;&lt;RecNum&gt;706&lt;/RecNum&gt;&lt;DisplayText&gt;(2014)&lt;/DisplayText&gt;&lt;record&gt;&lt;rec-number&gt;706&lt;/rec-number&gt;&lt;foreign-keys&gt;&lt;key app="EN" db-id="z55xttzezxev91ewsev55ad4apzsf2pwza0p" timestamp="1439823261"&gt;706&lt;/key&gt;&lt;/foreign-keys&gt;&lt;ref-type name="Web Page"&gt;12&lt;/ref-type&gt;&lt;contributors&gt;&lt;authors&gt;&lt;author&gt;BCC&lt;/author&gt;&lt;/authors&gt;&lt;/contributors&gt;&lt;titles&gt;&lt;title&gt;Young people need more support to make transition from education to work&lt;/title&gt;&lt;/titles&gt;&lt;volume&gt;2015&lt;/volume&gt;&lt;number&gt;17th August&lt;/number&gt;&lt;dates&gt;&lt;year&gt;2014&lt;/year&gt;&lt;/dates&gt;&lt;publisher&gt;British Chamber of Commerce&lt;/publisher&gt;&lt;urls&gt;&lt;related-urls&gt;&lt;url&gt;http://www.britishchambers.org.uk/press-office/press-releases/young-people-need-more-support-to-make-transition-from-education-to-work,-says-bcc.html&lt;/url&gt;&lt;/related-urls&gt;&lt;/urls&gt;&lt;/record&gt;&lt;/Cite&gt;&lt;/EndNote&gt;</w:instrText>
      </w:r>
      <w:r w:rsidR="00160A10" w:rsidRPr="0016463C">
        <w:fldChar w:fldCharType="separate"/>
      </w:r>
      <w:r w:rsidR="00160A10" w:rsidRPr="0016463C">
        <w:rPr>
          <w:noProof/>
        </w:rPr>
        <w:t>(2014)</w:t>
      </w:r>
      <w:r w:rsidR="00160A10" w:rsidRPr="0016463C">
        <w:fldChar w:fldCharType="end"/>
      </w:r>
      <w:r w:rsidR="00F42093" w:rsidRPr="0016463C">
        <w:t xml:space="preserve"> </w:t>
      </w:r>
      <w:r w:rsidR="000F2BE4" w:rsidRPr="0016463C">
        <w:t xml:space="preserve">found </w:t>
      </w:r>
      <w:r w:rsidR="00BD61FF" w:rsidRPr="0016463C">
        <w:t>that 88% of businesses believe school leavers are unprepared for the world of work</w:t>
      </w:r>
      <w:r w:rsidR="000F2BE4" w:rsidRPr="0016463C">
        <w:t xml:space="preserve"> and</w:t>
      </w:r>
      <w:r w:rsidR="00BD61FF" w:rsidRPr="0016463C">
        <w:t xml:space="preserve"> 54% </w:t>
      </w:r>
      <w:r w:rsidR="006F482B" w:rsidRPr="0016463C">
        <w:t>consider</w:t>
      </w:r>
      <w:r w:rsidR="00BD61FF" w:rsidRPr="0016463C">
        <w:t xml:space="preserve"> graduates unprepared for the workplace. </w:t>
      </w:r>
      <w:r w:rsidR="00686B10" w:rsidRPr="0016463C">
        <w:t xml:space="preserve">Crucially, with regards to work-based learning, more than three quarters of </w:t>
      </w:r>
      <w:r w:rsidR="006F482B" w:rsidRPr="0016463C">
        <w:t>companies</w:t>
      </w:r>
      <w:r w:rsidR="00686B10" w:rsidRPr="0016463C">
        <w:t xml:space="preserve"> (76%) </w:t>
      </w:r>
      <w:r w:rsidR="006E2788" w:rsidRPr="0016463C">
        <w:t xml:space="preserve">consider </w:t>
      </w:r>
      <w:r w:rsidR="00686B10" w:rsidRPr="0016463C">
        <w:t xml:space="preserve">a lack of work experience is the reason young people are </w:t>
      </w:r>
      <w:r w:rsidR="006E2788" w:rsidRPr="0016463C">
        <w:t>ill-equipped</w:t>
      </w:r>
      <w:r w:rsidR="00686B10" w:rsidRPr="0016463C">
        <w:t xml:space="preserve"> for work</w:t>
      </w:r>
      <w:r w:rsidRPr="0016463C">
        <w:t>.</w:t>
      </w:r>
      <w:r w:rsidR="008538D9" w:rsidRPr="0016463C">
        <w:t xml:space="preserve"> </w:t>
      </w:r>
      <w:r w:rsidR="00C82381">
        <w:t>The report</w:t>
      </w:r>
      <w:r w:rsidR="00C82381" w:rsidRPr="0016463C">
        <w:t xml:space="preserve"> </w:t>
      </w:r>
      <w:r w:rsidR="00686B10" w:rsidRPr="0016463C">
        <w:t>state</w:t>
      </w:r>
      <w:r w:rsidR="00C82381">
        <w:t>s</w:t>
      </w:r>
      <w:r w:rsidR="00686B10" w:rsidRPr="0016463C">
        <w:t xml:space="preserve"> that, “stronger links must be formed between educators (schools, colleges and universities) and business to better prepare young people for work” </w:t>
      </w:r>
      <w:r w:rsidR="001053E5" w:rsidRPr="0016463C">
        <w:t>(ibid.)</w:t>
      </w:r>
      <w:r w:rsidRPr="0016463C">
        <w:t>.</w:t>
      </w:r>
    </w:p>
    <w:p w14:paraId="17AE1F89" w14:textId="57F3D1A6" w:rsidR="00424053" w:rsidRPr="0016463C" w:rsidRDefault="00175705" w:rsidP="00424053">
      <w:r w:rsidRPr="0016463C">
        <w:t xml:space="preserve">Digital skills </w:t>
      </w:r>
      <w:r w:rsidR="006203FA" w:rsidRPr="0016463C">
        <w:t xml:space="preserve">and proficiency </w:t>
      </w:r>
      <w:r w:rsidRPr="0016463C">
        <w:t>are</w:t>
      </w:r>
      <w:r w:rsidR="006203FA" w:rsidRPr="0016463C">
        <w:t xml:space="preserve"> an </w:t>
      </w:r>
      <w:r w:rsidRPr="0016463C">
        <w:t>essential part of modern businesses and this is set to continue as a surge in digital technologies proliferates throughout all industries and workplaces. A House of Lords Select Committee on Digital Skills</w:t>
      </w:r>
      <w:r w:rsidR="006203FA" w:rsidRPr="0016463C">
        <w:t xml:space="preserve"> state</w:t>
      </w:r>
      <w:r w:rsidR="001A3887" w:rsidRPr="0016463C">
        <w:t>s</w:t>
      </w:r>
      <w:r w:rsidR="006203FA" w:rsidRPr="0016463C">
        <w:t xml:space="preserve"> that there is </w:t>
      </w:r>
      <w:r w:rsidR="001F5E3D">
        <w:t>‘</w:t>
      </w:r>
      <w:r w:rsidR="006203FA" w:rsidRPr="0016463C">
        <w:t>a shortage of medium- and high-level digital skills in the UK. This needs immediate attention if the UK is to remain competitive globally</w:t>
      </w:r>
      <w:r w:rsidR="001F5E3D">
        <w:t>’</w:t>
      </w:r>
      <w:r w:rsidR="006203FA" w:rsidRPr="0016463C">
        <w:t xml:space="preserve"> </w:t>
      </w:r>
      <w:r w:rsidR="0007656D" w:rsidRPr="0016463C">
        <w:fldChar w:fldCharType="begin"/>
      </w:r>
      <w:r w:rsidR="0007656D" w:rsidRPr="0016463C">
        <w:instrText xml:space="preserve"> ADDIN EN.CITE &lt;EndNote&gt;&lt;Cite ExcludeAuth="1"&gt;&lt;Author&gt;House of Lords Select Committee on Digital Skills&lt;/Author&gt;&lt;Year&gt;2015&lt;/Year&gt;&lt;RecNum&gt;708&lt;/RecNum&gt;&lt;Suffix&gt;:44&lt;/Suffix&gt;&lt;DisplayText&gt;(2015:44)&lt;/DisplayText&gt;&lt;record&gt;&lt;rec-number&gt;708&lt;/rec-number&gt;&lt;foreign-keys&gt;&lt;key app="EN" db-id="z55xttzezxev91ewsev55ad4apzsf2pwza0p" timestamp="1439897594"&gt;708&lt;/key&gt;&lt;/foreign-keys&gt;&lt;ref-type name="Government Document"&gt;46&lt;/ref-type&gt;&lt;contributors&gt;&lt;authors&gt;&lt;author&gt;House of Lords Select Committee on Digital Skills,&lt;/author&gt;&lt;/authors&gt;&lt;/contributors&gt;&lt;titles&gt;&lt;title&gt;Make or Break: The UK’s Digital Future – Report of Session 2014–15&lt;/title&gt;&lt;/titles&gt;&lt;dates&gt;&lt;year&gt;2015&lt;/year&gt;&lt;/dates&gt;&lt;publisher&gt;Authority of the House of Lords&lt;/publisher&gt;&lt;urls&gt;&lt;related-urls&gt;&lt;url&gt;http://www.publications.parliament.uk/pa/ld201415/ldselect/lddigital/111/111.pdf&lt;/url&gt;&lt;/related-urls&gt;&lt;/urls&gt;&lt;/record&gt;&lt;/Cite&gt;&lt;/EndNote&gt;</w:instrText>
      </w:r>
      <w:r w:rsidR="0007656D" w:rsidRPr="0016463C">
        <w:fldChar w:fldCharType="separate"/>
      </w:r>
      <w:r w:rsidR="0007656D" w:rsidRPr="0016463C">
        <w:t>(2015:44)</w:t>
      </w:r>
      <w:r w:rsidR="0007656D" w:rsidRPr="0016463C">
        <w:fldChar w:fldCharType="end"/>
      </w:r>
      <w:r w:rsidR="0007656D" w:rsidRPr="0016463C">
        <w:t>.</w:t>
      </w:r>
      <w:r w:rsidR="006203FA" w:rsidRPr="0016463C">
        <w:t xml:space="preserve"> To </w:t>
      </w:r>
      <w:r w:rsidR="0005617C" w:rsidRPr="0016463C">
        <w:t>remain</w:t>
      </w:r>
      <w:r w:rsidR="006203FA" w:rsidRPr="0016463C">
        <w:t xml:space="preserve"> internationally competitive</w:t>
      </w:r>
      <w:r w:rsidR="00170EE8" w:rsidRPr="0016463C">
        <w:t xml:space="preserve">, the Committee </w:t>
      </w:r>
      <w:r w:rsidR="00C82381">
        <w:t>argues</w:t>
      </w:r>
      <w:r w:rsidR="00170EE8" w:rsidRPr="0016463C">
        <w:t>,</w:t>
      </w:r>
      <w:r w:rsidR="006203FA" w:rsidRPr="0016463C">
        <w:t xml:space="preserve"> </w:t>
      </w:r>
      <w:r w:rsidR="0064715C" w:rsidRPr="0016463C">
        <w:t xml:space="preserve">that </w:t>
      </w:r>
      <w:r w:rsidR="006203FA" w:rsidRPr="0016463C">
        <w:t xml:space="preserve">the UK must ensure it has the necessary pool of digitally-skilled graduates </w:t>
      </w:r>
      <w:r w:rsidR="00424053" w:rsidRPr="0016463C">
        <w:t>(the ‘digital makers’) at the higher level.</w:t>
      </w:r>
      <w:r w:rsidR="00446CAD" w:rsidRPr="0016463C">
        <w:t xml:space="preserve"> </w:t>
      </w:r>
      <w:r w:rsidR="00B96FB3" w:rsidRPr="0016463C">
        <w:t>Amongst the recommendations, the committee proposes</w:t>
      </w:r>
      <w:r w:rsidR="00424053" w:rsidRPr="0016463C">
        <w:t xml:space="preserve"> that </w:t>
      </w:r>
      <w:r w:rsidR="00343EB4" w:rsidRPr="0016463C">
        <w:t>u</w:t>
      </w:r>
      <w:r w:rsidR="006203FA" w:rsidRPr="0016463C">
        <w:t>niversities need to be</w:t>
      </w:r>
      <w:r w:rsidR="00424053" w:rsidRPr="0016463C">
        <w:t>:</w:t>
      </w:r>
      <w:r w:rsidR="006203FA" w:rsidRPr="0016463C">
        <w:t xml:space="preserve"> </w:t>
      </w:r>
    </w:p>
    <w:p w14:paraId="58BDF9AB" w14:textId="76AFA1B8" w:rsidR="00760C58" w:rsidRPr="0016463C" w:rsidRDefault="006203FA" w:rsidP="00424053">
      <w:pPr>
        <w:ind w:left="720"/>
      </w:pPr>
      <w:r w:rsidRPr="0016463C">
        <w:t>encouraged to work in partnership with industry, to make sure relevant courses are aligned with employer needs</w:t>
      </w:r>
      <w:r w:rsidR="00424053" w:rsidRPr="0016463C">
        <w:t xml:space="preserve"> (ibid.:59)</w:t>
      </w:r>
      <w:r w:rsidRPr="0016463C">
        <w:t>.</w:t>
      </w:r>
      <w:r w:rsidR="006D77A9" w:rsidRPr="0016463C">
        <w:t xml:space="preserve"> […] I</w:t>
      </w:r>
      <w:r w:rsidR="00424053" w:rsidRPr="0016463C">
        <w:t xml:space="preserve">mmediate industry involvement to enhance the education and training agenda is vital to make sure the UK’s workforce can adapt to the requirements of the new world </w:t>
      </w:r>
      <w:r w:rsidR="00823E9F" w:rsidRPr="0016463C">
        <w:t>(ibid.</w:t>
      </w:r>
      <w:r w:rsidR="00424053" w:rsidRPr="0016463C">
        <w:t>:68).</w:t>
      </w:r>
    </w:p>
    <w:p w14:paraId="0E503362" w14:textId="3FBEA366" w:rsidR="00C1374B" w:rsidRPr="0016463C" w:rsidRDefault="00446CAD" w:rsidP="001A04BD">
      <w:r w:rsidRPr="0016463C">
        <w:t>In addition</w:t>
      </w:r>
      <w:r w:rsidR="00416A6D" w:rsidRPr="0016463C">
        <w:t>,</w:t>
      </w:r>
      <w:r w:rsidRPr="0016463C">
        <w:t xml:space="preserve"> </w:t>
      </w:r>
      <w:r w:rsidR="00C82381">
        <w:t>the committee</w:t>
      </w:r>
      <w:r w:rsidR="00C82381" w:rsidRPr="0016463C">
        <w:t xml:space="preserve"> </w:t>
      </w:r>
      <w:r w:rsidR="00464C86" w:rsidRPr="0016463C">
        <w:t>state</w:t>
      </w:r>
      <w:r w:rsidR="00C82381">
        <w:t>s</w:t>
      </w:r>
      <w:r w:rsidR="00464C86" w:rsidRPr="0016463C">
        <w:t xml:space="preserve"> </w:t>
      </w:r>
      <w:r w:rsidRPr="0016463C">
        <w:t>that u</w:t>
      </w:r>
      <w:r w:rsidR="0003560C" w:rsidRPr="0016463C">
        <w:t>niversities could better serve prospective students by adding the option of shorter, more flexible provision to its existing course (ibid.:59).</w:t>
      </w:r>
    </w:p>
    <w:p w14:paraId="60180E4B" w14:textId="0F8F4E95" w:rsidR="00AF44B0" w:rsidRPr="0016463C" w:rsidRDefault="00446CAD" w:rsidP="001A04BD">
      <w:r w:rsidRPr="0016463C">
        <w:t xml:space="preserve">From </w:t>
      </w:r>
      <w:r w:rsidR="00416A6D" w:rsidRPr="0016463C">
        <w:t xml:space="preserve">a </w:t>
      </w:r>
      <w:r w:rsidR="00B96FB3" w:rsidRPr="0016463C">
        <w:t>UK</w:t>
      </w:r>
      <w:r w:rsidR="008F6F47" w:rsidRPr="0016463C">
        <w:t>-</w:t>
      </w:r>
      <w:r w:rsidRPr="0016463C">
        <w:t>industry viewpoint</w:t>
      </w:r>
      <w:r w:rsidR="008F6F47" w:rsidRPr="0016463C">
        <w:t>,</w:t>
      </w:r>
      <w:r w:rsidRPr="0016463C">
        <w:t xml:space="preserve"> the </w:t>
      </w:r>
      <w:r w:rsidR="00733FDD" w:rsidRPr="0016463C">
        <w:t>lack</w:t>
      </w:r>
      <w:r w:rsidRPr="0016463C">
        <w:t xml:space="preserve"> of </w:t>
      </w:r>
      <w:r w:rsidR="00733FDD" w:rsidRPr="0016463C">
        <w:t>sufficiently skilled</w:t>
      </w:r>
      <w:r w:rsidR="00170EE8" w:rsidRPr="0016463C">
        <w:t>,</w:t>
      </w:r>
      <w:r w:rsidR="00733FDD" w:rsidRPr="0016463C">
        <w:t xml:space="preserve"> </w:t>
      </w:r>
      <w:r w:rsidR="00170EE8" w:rsidRPr="0016463C">
        <w:t xml:space="preserve">digitally proficient </w:t>
      </w:r>
      <w:r w:rsidR="00733FDD" w:rsidRPr="0016463C">
        <w:t>workforce is already a concern</w:t>
      </w:r>
      <w:r w:rsidR="004877AA" w:rsidRPr="0016463C">
        <w:t xml:space="preserve"> and there are fears over a looming digital skills gap</w:t>
      </w:r>
      <w:r w:rsidR="00536765" w:rsidRPr="0016463C">
        <w:t>. Southworth Industries</w:t>
      </w:r>
      <w:r w:rsidR="00F22EE7" w:rsidRPr="0016463C">
        <w:t xml:space="preserve"> founder Benjamin Southworth</w:t>
      </w:r>
      <w:r w:rsidR="00536765" w:rsidRPr="0016463C">
        <w:t xml:space="preserve"> argues that the UK is in danger of creating a lost generation </w:t>
      </w:r>
      <w:r w:rsidR="00B04E71" w:rsidRPr="0016463C">
        <w:t xml:space="preserve">of </w:t>
      </w:r>
      <w:r w:rsidR="00536765" w:rsidRPr="0016463C">
        <w:t xml:space="preserve">young </w:t>
      </w:r>
      <w:r w:rsidR="00B130D2" w:rsidRPr="0016463C">
        <w:t>people;</w:t>
      </w:r>
      <w:r w:rsidR="00536765" w:rsidRPr="0016463C">
        <w:t xml:space="preserve"> ill equipp</w:t>
      </w:r>
      <w:r w:rsidR="00FD3BB8" w:rsidRPr="00240464">
        <w:t>ed</w:t>
      </w:r>
      <w:r w:rsidR="00536765" w:rsidRPr="0016463C">
        <w:t xml:space="preserve"> with the skills they need to succeed in the modern workplace. </w:t>
      </w:r>
      <w:r w:rsidR="00B04E71" w:rsidRPr="0016463C">
        <w:t xml:space="preserve">If not addressed </w:t>
      </w:r>
      <w:r w:rsidR="00464C86" w:rsidRPr="0016463C">
        <w:t xml:space="preserve">Southworth </w:t>
      </w:r>
      <w:r w:rsidR="00536765" w:rsidRPr="0016463C">
        <w:t xml:space="preserve">considers these issues as posing a real threat to the future of the UK economy </w:t>
      </w:r>
      <w:r w:rsidR="0007656D" w:rsidRPr="0016463C">
        <w:fldChar w:fldCharType="begin"/>
      </w:r>
      <w:r w:rsidR="0007656D" w:rsidRPr="0016463C">
        <w:instrText xml:space="preserve"> ADDIN EN.CITE &lt;EndNote&gt;&lt;Cite&gt;&lt;Author&gt;Southworth&lt;/Author&gt;&lt;Year&gt;2015&lt;/Year&gt;&lt;RecNum&gt;725&lt;/RecNum&gt;&lt;DisplayText&gt;(Southworth, 2015)&lt;/DisplayText&gt;&lt;record&gt;&lt;rec-number&gt;725&lt;/rec-number&gt;&lt;foreign-keys&gt;&lt;key app="EN" db-id="z55xttzezxev91ewsev55ad4apzsf2pwza0p" timestamp="1443368711"&gt;725&lt;/key&gt;&lt;/foreign-keys&gt;&lt;ref-type name="Web Page"&gt;12&lt;/ref-type&gt;&lt;contributors&gt;&lt;authors&gt;&lt;author&gt;Benjamin Southworth&lt;/author&gt;&lt;/authors&gt;&lt;/contributors&gt;&lt;titles&gt;&lt;title&gt;A UK digital skills gap looms&lt;/title&gt;&lt;/titles&gt;&lt;volume&gt;2015&lt;/volume&gt;&lt;number&gt;27th September&lt;/number&gt;&lt;dates&gt;&lt;year&gt;2015&lt;/year&gt;&lt;/dates&gt;&lt;publisher&gt;Guardian News and Media Limited &lt;/publisher&gt;&lt;urls&gt;&lt;related-urls&gt;&lt;url&gt;http://www.theguardian.com/media-network/media-network-blog/2014/aug/18/uk-youth-shortage-digital-skills&lt;/url&gt;&lt;/related-urls&gt;&lt;/urls&gt;&lt;/record&gt;&lt;/Cite&gt;&lt;/EndNote&gt;</w:instrText>
      </w:r>
      <w:r w:rsidR="0007656D" w:rsidRPr="0016463C">
        <w:fldChar w:fldCharType="separate"/>
      </w:r>
      <w:r w:rsidR="0007656D" w:rsidRPr="0016463C">
        <w:rPr>
          <w:noProof/>
        </w:rPr>
        <w:t>(Southworth, 2015)</w:t>
      </w:r>
      <w:r w:rsidR="0007656D" w:rsidRPr="0016463C">
        <w:fldChar w:fldCharType="end"/>
      </w:r>
      <w:r w:rsidR="0007656D" w:rsidRPr="0016463C">
        <w:t xml:space="preserve">. </w:t>
      </w:r>
      <w:r w:rsidR="002251D7" w:rsidRPr="0016463C">
        <w:t xml:space="preserve">Experian analysis of Office for National Statistics (ONS) and Tech Partnership </w:t>
      </w:r>
      <w:r w:rsidR="0007656D" w:rsidRPr="0016463C">
        <w:fldChar w:fldCharType="begin"/>
      </w:r>
      <w:r w:rsidR="0007656D" w:rsidRPr="0016463C">
        <w:instrText xml:space="preserve"> ADDIN EN.CITE &lt;EndNote&gt;&lt;Cite ExcludeAuth="1"&gt;&lt;Author&gt;Tech Partnership&lt;/Author&gt;&lt;Year&gt;2015&lt;/Year&gt;&lt;RecNum&gt;709&lt;/RecNum&gt;&lt;DisplayText&gt;(2015)&lt;/DisplayText&gt;&lt;record&gt;&lt;rec-number&gt;709&lt;/rec-number&gt;&lt;foreign-keys&gt;&lt;key app="EN" db-id="z55xttzezxev91ewsev55ad4apzsf2pwza0p" timestamp="1439903910"&gt;709&lt;/key&gt;&lt;/foreign-keys&gt;&lt;ref-type name="Web Page"&gt;12&lt;/ref-type&gt;&lt;contributors&gt;&lt;authors&gt;&lt;author&gt;Tech Partnership,&lt;/author&gt;&lt;/authors&gt;&lt;/contributors&gt;&lt;titles&gt;&lt;title&gt;More Digital Apprentices essential to ensuring Britain’s growth&lt;/title&gt;&lt;/titles&gt;&lt;volume&gt;2015&lt;/volume&gt;&lt;number&gt;18th August&lt;/number&gt;&lt;dates&gt;&lt;year&gt;2015&lt;/year&gt;&lt;/dates&gt;&lt;urls&gt;&lt;/urls&gt;&lt;/record&gt;&lt;/Cite&gt;&lt;/EndNote&gt;</w:instrText>
      </w:r>
      <w:r w:rsidR="0007656D" w:rsidRPr="0016463C">
        <w:fldChar w:fldCharType="separate"/>
      </w:r>
      <w:r w:rsidR="0007656D" w:rsidRPr="0016463C">
        <w:rPr>
          <w:noProof/>
        </w:rPr>
        <w:t>(2015)</w:t>
      </w:r>
      <w:r w:rsidR="0007656D" w:rsidRPr="0016463C">
        <w:fldChar w:fldCharType="end"/>
      </w:r>
      <w:r w:rsidR="00CE1B22" w:rsidRPr="0016463C">
        <w:t xml:space="preserve"> </w:t>
      </w:r>
      <w:r w:rsidR="002251D7" w:rsidRPr="0016463C">
        <w:t xml:space="preserve">data revealed that the UK currently requires 134,000 new tech specialists every year, with around half of these </w:t>
      </w:r>
      <w:r w:rsidR="007C0924" w:rsidRPr="0016463C">
        <w:t>at a junior level</w:t>
      </w:r>
      <w:r w:rsidR="002251D7" w:rsidRPr="0016463C">
        <w:t xml:space="preserve">. The data found that two in five companies struggle to fill vacancies, 85 per cent of </w:t>
      </w:r>
      <w:r w:rsidR="00B96FB3" w:rsidRPr="0016463C">
        <w:t>them</w:t>
      </w:r>
      <w:r w:rsidR="002251D7" w:rsidRPr="0016463C">
        <w:t xml:space="preserve"> cited the skills shortage for their difficulty in </w:t>
      </w:r>
      <w:r w:rsidR="00733FDD" w:rsidRPr="0016463C">
        <w:t>recruitment</w:t>
      </w:r>
      <w:r w:rsidR="002251D7" w:rsidRPr="0016463C">
        <w:t>. According to the analysis employers are increasingly turning to apprenticeships to fill the ever-increasing tech skills gap in the UK.</w:t>
      </w:r>
      <w:r w:rsidR="006B5D75" w:rsidRPr="0016463C">
        <w:t xml:space="preserve"> </w:t>
      </w:r>
    </w:p>
    <w:p w14:paraId="777860B9" w14:textId="41252160" w:rsidR="00DE389C" w:rsidRPr="0016463C" w:rsidRDefault="00A91576" w:rsidP="001A04BD">
      <w:r w:rsidRPr="0016463C">
        <w:t>A Government press release recently claimed that in 2013 the creative industries accounted for 1.7 million jobs in 2013, 5.6 per cent of UK jobs and is</w:t>
      </w:r>
      <w:r w:rsidR="00AF44B0" w:rsidRPr="0016463C">
        <w:t xml:space="preserve"> now worth £76.9 billion per year to the UK economy</w:t>
      </w:r>
      <w:r w:rsidRPr="0016463C">
        <w:t xml:space="preserve"> </w:t>
      </w:r>
      <w:r w:rsidR="0007656D" w:rsidRPr="0016463C">
        <w:fldChar w:fldCharType="begin"/>
      </w:r>
      <w:r w:rsidR="0007656D" w:rsidRPr="0016463C">
        <w:instrText xml:space="preserve"> ADDIN EN.CITE &lt;EndNote&gt;&lt;Cite&gt;&lt;Author&gt;Department for Culture Media &amp;amp; Sport&lt;/Author&gt;&lt;Year&gt;2015&lt;/Year&gt;&lt;RecNum&gt;738&lt;/RecNum&gt;&lt;DisplayText&gt;(Department for Culture Media &amp;amp; Sport, 2015)&lt;/DisplayText&gt;&lt;record&gt;&lt;rec-number&gt;738&lt;/rec-number&gt;&lt;foreign-keys&gt;&lt;key app="EN" db-id="z55xttzezxev91ewsev55ad4apzsf2pwza0p" timestamp="1448797908"&gt;738&lt;/key&gt;&lt;/foreign-keys&gt;&lt;ref-type name="Web Page"&gt;12&lt;/ref-type&gt;&lt;contributors&gt;&lt;authors&gt;&lt;author&gt;Department for Culture Media &amp;amp; Sport,&lt;/author&gt;&lt;/authors&gt;&lt;/contributors&gt;&lt;titles&gt;&lt;title&gt;Creative Industries now worth £8.8 million an hour to UK economy&lt;/title&gt;&lt;/titles&gt;&lt;volume&gt;2015&lt;/volume&gt;&lt;number&gt;22nd October&lt;/number&gt;&lt;dates&gt;&lt;year&gt;2015&lt;/year&gt;&lt;/dates&gt;&lt;publisher&gt;Gov.uk&lt;/publisher&gt;&lt;urls&gt;&lt;related-urls&gt;&lt;url&gt;https://www.gov.uk/government/news/creative-industries-now-worth-88-million-an-hour-to-uk-economy&lt;/url&gt;&lt;/related-urls&gt;&lt;/urls&gt;&lt;/record&gt;&lt;/Cite&gt;&lt;/EndNote&gt;</w:instrText>
      </w:r>
      <w:r w:rsidR="0007656D" w:rsidRPr="0016463C">
        <w:fldChar w:fldCharType="separate"/>
      </w:r>
      <w:r w:rsidR="0007656D" w:rsidRPr="0016463C">
        <w:rPr>
          <w:noProof/>
        </w:rPr>
        <w:t>(Department for Culture Media &amp; Sport, 2015)</w:t>
      </w:r>
      <w:r w:rsidR="0007656D" w:rsidRPr="0016463C">
        <w:fldChar w:fldCharType="end"/>
      </w:r>
      <w:r w:rsidR="00AF44B0" w:rsidRPr="0016463C">
        <w:t xml:space="preserve">. </w:t>
      </w:r>
      <w:r w:rsidRPr="0016463C">
        <w:t>Therefore, a</w:t>
      </w:r>
      <w:r w:rsidR="006B5D75" w:rsidRPr="0016463C">
        <w:t xml:space="preserve"> constant stream of emerging young talent is </w:t>
      </w:r>
      <w:r w:rsidR="00AF44B0" w:rsidRPr="0016463C">
        <w:t>vital for the c</w:t>
      </w:r>
      <w:r w:rsidR="006B5D75" w:rsidRPr="0016463C">
        <w:t>reative industr</w:t>
      </w:r>
      <w:r w:rsidR="00AF44B0" w:rsidRPr="0016463C">
        <w:t>ies</w:t>
      </w:r>
      <w:r w:rsidR="006B5D75" w:rsidRPr="0016463C">
        <w:t xml:space="preserve"> </w:t>
      </w:r>
      <w:r w:rsidR="00AF44B0" w:rsidRPr="0016463C">
        <w:t>and d</w:t>
      </w:r>
      <w:r w:rsidR="006B5D75" w:rsidRPr="0016463C">
        <w:t xml:space="preserve">igital economy </w:t>
      </w:r>
      <w:r w:rsidR="00AF44B0" w:rsidRPr="0016463C">
        <w:t>particularly in the web and social media sector, which has seen substantial growth in ‘tech hubs’,</w:t>
      </w:r>
      <w:r w:rsidRPr="0016463C">
        <w:t xml:space="preserve"> such as East London Tech City.</w:t>
      </w:r>
    </w:p>
    <w:p w14:paraId="1A84072C" w14:textId="77777777" w:rsidR="00AB3167" w:rsidRPr="0016463C" w:rsidRDefault="00AB3167" w:rsidP="001A04BD"/>
    <w:p w14:paraId="2354EB66" w14:textId="521EC24A" w:rsidR="00AB3167" w:rsidRPr="0016463C" w:rsidRDefault="00FF62BC" w:rsidP="00240464">
      <w:pPr>
        <w:pStyle w:val="Heading1"/>
      </w:pPr>
      <w:r w:rsidRPr="0016463C">
        <w:t xml:space="preserve">2.0 </w:t>
      </w:r>
      <w:r w:rsidR="00AB3167" w:rsidRPr="0016463C">
        <w:t>Higher education and creative careers</w:t>
      </w:r>
    </w:p>
    <w:p w14:paraId="58FA11CD" w14:textId="77777777" w:rsidR="00EB2852" w:rsidRPr="0016463C" w:rsidRDefault="00EB2852" w:rsidP="00EB2852">
      <w:r w:rsidRPr="0016463C">
        <w:t xml:space="preserve">Historically UK higher education institutions have played a crucial role in finding, skilling and nurturing talent for the creative industries. Research by Universities UK </w:t>
      </w:r>
      <w:r w:rsidRPr="0016463C">
        <w:fldChar w:fldCharType="begin"/>
      </w:r>
      <w:r w:rsidRPr="0016463C">
        <w:instrText xml:space="preserve"> ADDIN EN.CITE &lt;EndNote&gt;&lt;Cite ExcludeAuth="1"&gt;&lt;Author&gt;Universities UK&lt;/Author&gt;&lt;Year&gt;2010&lt;/Year&gt;&lt;RecNum&gt;740&lt;/RecNum&gt;&lt;DisplayText&gt;(2010)&lt;/DisplayText&gt;&lt;record&gt;&lt;rec-number&gt;740&lt;/rec-number&gt;&lt;foreign-keys&gt;&lt;key app="EN" db-id="z55xttzezxev91ewsev55ad4apzsf2pwza0p" timestamp="1468329849"&gt;740&lt;/key&gt;&lt;/foreign-keys&gt;&lt;ref-type name="Web Page"&gt;12&lt;/ref-type&gt;&lt;contributors&gt;&lt;authors&gt;&lt;author&gt;Universities UK,&lt;/author&gt;&lt;/authors&gt;&lt;/contributors&gt;&lt;titles&gt;&lt;title&gt;Creating Prosperity: the role of higher education in driving the UK’s creative economy&lt;/title&gt;&lt;/titles&gt;&lt;volume&gt;2016&lt;/volume&gt;&lt;number&gt;12th July&lt;/number&gt;&lt;dates&gt;&lt;year&gt;2010&lt;/year&gt;&lt;/dates&gt;&lt;publisher&gt;Universities UK&lt;/publisher&gt;&lt;urls&gt;&lt;related-urls&gt;&lt;url&gt;http://www.universitiesuk.ac.uk/policy-and-analysis/reports/Documents/2010/creating-prosperity-the-role-of-higher-education.pdf&lt;/url&gt;&lt;/related-urls&gt;&lt;/urls&gt;&lt;/record&gt;&lt;/Cite&gt;&lt;/EndNote&gt;</w:instrText>
      </w:r>
      <w:r w:rsidRPr="0016463C">
        <w:fldChar w:fldCharType="separate"/>
      </w:r>
      <w:r w:rsidRPr="0016463C">
        <w:rPr>
          <w:noProof/>
        </w:rPr>
        <w:t>(2010)</w:t>
      </w:r>
      <w:r w:rsidRPr="0016463C">
        <w:fldChar w:fldCharType="end"/>
      </w:r>
      <w:r w:rsidRPr="0016463C">
        <w:t xml:space="preserve"> suggest that 16 per cent of the UK student population is involved in courses significant to the creative economy and that Universities are: </w:t>
      </w:r>
    </w:p>
    <w:p w14:paraId="0C89D831" w14:textId="77777777" w:rsidR="00EB2852" w:rsidRPr="0016463C" w:rsidRDefault="00EB2852" w:rsidP="00EB2852">
      <w:pPr>
        <w:ind w:left="720"/>
      </w:pPr>
      <w:r w:rsidRPr="0016463C">
        <w:t>increasingly embedding opportunities for practical learning in industry settings within their courses as a way of enhancing the employability of graduates and creating value for participating organisations (ibid.:vi).</w:t>
      </w:r>
    </w:p>
    <w:p w14:paraId="1F3786CD" w14:textId="6212BD2F" w:rsidR="00EB2852" w:rsidRPr="0016463C" w:rsidRDefault="00EB2852" w:rsidP="00EB2852">
      <w:r w:rsidRPr="0016463C">
        <w:t xml:space="preserve">However, despite the close links between universities and industries, studying for a degree related to the creative industries ‘rarely provides an expectation or understanding of what is required in vocational contexts’ </w:t>
      </w:r>
      <w:r w:rsidRPr="0016463C">
        <w:fldChar w:fldCharType="begin"/>
      </w:r>
      <w:r w:rsidRPr="0016463C">
        <w:instrText xml:space="preserve"> ADDIN EN.CITE &lt;EndNote&gt;&lt;Cite&gt;&lt;Author&gt;Guile&lt;/Author&gt;&lt;Year&gt;2010&lt;/Year&gt;&lt;RecNum&gt;741&lt;/RecNum&gt;&lt;Suffix&gt;:470&lt;/Suffix&gt;&lt;DisplayText&gt;(Guile, 2010:470)&lt;/DisplayText&gt;&lt;record&gt;&lt;rec-number&gt;741&lt;/rec-number&gt;&lt;foreign-keys&gt;&lt;key app="EN" db-id="z55xttzezxev91ewsev55ad4apzsf2pwza0p" timestamp="1468503073"&gt;741&lt;/key&gt;&lt;/foreign-keys&gt;&lt;ref-type name="Journal Article"&gt;17&lt;/ref-type&gt;&lt;contributors&gt;&lt;authors&gt;&lt;author&gt;Guile, D&lt;/author&gt;&lt;/authors&gt;&lt;/contributors&gt;&lt;titles&gt;&lt;title&gt;Learning to Work in the Creative and Cultural Sector: New Spaces, Pedagogies and Expertise&lt;/title&gt;&lt;secondary-title&gt;Journal of Education Policy&lt;/secondary-title&gt;&lt;/titles&gt;&lt;periodical&gt;&lt;full-title&gt;Journal of Education Policy&lt;/full-title&gt;&lt;/periodical&gt;&lt;pages&gt;465–484&lt;/pages&gt;&lt;volume&gt;24&lt;/volume&gt;&lt;number&gt;4&lt;/number&gt;&lt;dates&gt;&lt;year&gt;2010&lt;/year&gt;&lt;/dates&gt;&lt;urls&gt;&lt;/urls&gt;&lt;/record&gt;&lt;/Cite&gt;&lt;/EndNote&gt;</w:instrText>
      </w:r>
      <w:r w:rsidRPr="0016463C">
        <w:fldChar w:fldCharType="separate"/>
      </w:r>
      <w:r w:rsidRPr="0016463C">
        <w:rPr>
          <w:noProof/>
        </w:rPr>
        <w:t>(Guile, 2010:470)</w:t>
      </w:r>
      <w:r w:rsidRPr="0016463C">
        <w:fldChar w:fldCharType="end"/>
      </w:r>
      <w:r w:rsidRPr="0016463C">
        <w:t xml:space="preserve">. One of the challenges of linking education with creative work </w:t>
      </w:r>
      <w:r w:rsidR="009B5A84">
        <w:t>‘</w:t>
      </w:r>
      <w:r w:rsidRPr="0016463C">
        <w:t>remains the gap between employer and industry norms, and the expectations and the understandings of such creative employment that students are able to gain through their degree</w:t>
      </w:r>
      <w:r w:rsidR="009B5A84">
        <w:t>’</w:t>
      </w:r>
      <w:r w:rsidRPr="0016463C">
        <w:t xml:space="preserve"> </w:t>
      </w:r>
      <w:r w:rsidRPr="0016463C">
        <w:fldChar w:fldCharType="begin"/>
      </w:r>
      <w:r w:rsidRPr="0016463C">
        <w:instrText xml:space="preserve"> ADDIN EN.CITE &lt;EndNote&gt;&lt;Cite&gt;&lt;Author&gt;Ashton&lt;/Author&gt;&lt;Year&gt;2015&lt;/Year&gt;&lt;RecNum&gt;742&lt;/RecNum&gt;&lt;Suffix&gt;:399&lt;/Suffix&gt;&lt;DisplayText&gt;(Ashton, 2015:399)&lt;/DisplayText&gt;&lt;record&gt;&lt;rec-number&gt;742&lt;/rec-number&gt;&lt;foreign-keys&gt;&lt;key app="EN" db-id="z55xttzezxev91ewsev55ad4apzsf2pwza0p" timestamp="1468503833"&gt;742&lt;/key&gt;&lt;/foreign-keys&gt;&lt;ref-type name="Journal Article"&gt;17&lt;/ref-type&gt;&lt;contributors&gt;&lt;authors&gt;&lt;author&gt;Ashton, D&lt;/author&gt;&lt;/authors&gt;&lt;/contributors&gt;&lt;titles&gt;&lt;title&gt;Creative work careers: pathways and portfolios for the creative economy&lt;/title&gt;&lt;secondary-title&gt;Journal of Education and Work&lt;/secondary-title&gt;&lt;/titles&gt;&lt;periodical&gt;&lt;full-title&gt;Journal of Education and Work&lt;/full-title&gt;&lt;/periodical&gt;&lt;pages&gt;388–406&lt;/pages&gt;&lt;volume&gt;28&lt;/volume&gt;&lt;number&gt;4&lt;/number&gt;&lt;dates&gt;&lt;year&gt;2015&lt;/year&gt;&lt;/dates&gt;&lt;urls&gt;&lt;/urls&gt;&lt;/record&gt;&lt;/Cite&gt;&lt;/EndNote&gt;</w:instrText>
      </w:r>
      <w:r w:rsidRPr="0016463C">
        <w:fldChar w:fldCharType="separate"/>
      </w:r>
      <w:r w:rsidRPr="0016463C">
        <w:rPr>
          <w:noProof/>
        </w:rPr>
        <w:t>(Ashton, 2015:399)</w:t>
      </w:r>
      <w:r w:rsidRPr="0016463C">
        <w:fldChar w:fldCharType="end"/>
      </w:r>
      <w:r w:rsidRPr="0016463C">
        <w:t xml:space="preserve">. </w:t>
      </w:r>
    </w:p>
    <w:p w14:paraId="303B2663" w14:textId="77777777" w:rsidR="00EB2852" w:rsidRPr="0016463C" w:rsidRDefault="00EB2852" w:rsidP="00EB2852">
      <w:r w:rsidRPr="0016463C">
        <w:t xml:space="preserve">Two distinguishing discourses co-exist: workplace learning, where learning is unconcern with qualifications, and work-based learning, where learning has some accreditation. The later can have the effect of making the transition from education to work emphasised unduly on the accumulation of qualifications rather than the development of vocational practice </w:t>
      </w:r>
      <w:r w:rsidRPr="0016463C">
        <w:fldChar w:fldCharType="begin"/>
      </w:r>
      <w:r w:rsidRPr="0016463C">
        <w:instrText xml:space="preserve"> ADDIN EN.CITE &lt;EndNote&gt;&lt;Cite&gt;&lt;Author&gt;Guile&lt;/Author&gt;&lt;Year&gt;2009&lt;/Year&gt;&lt;RecNum&gt;743&lt;/RecNum&gt;&lt;Suffix&gt;:775&lt;/Suffix&gt;&lt;DisplayText&gt;(Guile, 2009:775)&lt;/DisplayText&gt;&lt;record&gt;&lt;rec-number&gt;743&lt;/rec-number&gt;&lt;foreign-keys&gt;&lt;key app="EN" db-id="z55xttzezxev91ewsev55ad4apzsf2pwza0p" timestamp="1468509058"&gt;743&lt;/key&gt;&lt;/foreign-keys&gt;&lt;ref-type name="Journal Article"&gt;17&lt;/ref-type&gt;&lt;contributors&gt;&lt;authors&gt;&lt;author&gt;Guile, D&lt;/author&gt;&lt;/authors&gt;&lt;/contributors&gt;&lt;titles&gt;&lt;title&gt;Conceptualizing the transition from education to work as vocational practice: Lessons from the UK&amp;apos;s creative and cultural sector&lt;/title&gt;&lt;secondary-title&gt;British Educational Research Journal&lt;/secondary-title&gt;&lt;/titles&gt;&lt;periodical&gt;&lt;full-title&gt;British Educational Research Journal&lt;/full-title&gt;&lt;/periodical&gt;&lt;pages&gt;761-779&lt;/pages&gt;&lt;volume&gt;35&lt;/volume&gt;&lt;number&gt;5&lt;/number&gt;&lt;dates&gt;&lt;year&gt;2009&lt;/year&gt;&lt;/dates&gt;&lt;urls&gt;&lt;/urls&gt;&lt;/record&gt;&lt;/Cite&gt;&lt;/EndNote&gt;</w:instrText>
      </w:r>
      <w:r w:rsidRPr="0016463C">
        <w:fldChar w:fldCharType="separate"/>
      </w:r>
      <w:r w:rsidRPr="0016463C">
        <w:rPr>
          <w:noProof/>
        </w:rPr>
        <w:t>(Guile, 2009:775)</w:t>
      </w:r>
      <w:r w:rsidRPr="0016463C">
        <w:fldChar w:fldCharType="end"/>
      </w:r>
      <w:r w:rsidRPr="0016463C">
        <w:t>.</w:t>
      </w:r>
    </w:p>
    <w:p w14:paraId="683C7B7B" w14:textId="03F09676" w:rsidR="00EB2852" w:rsidRPr="0016463C" w:rsidRDefault="00EB2852" w:rsidP="00EB2852">
      <w:r w:rsidRPr="0016463C">
        <w:t xml:space="preserve">Recognising the relationship between creative education and creative work can be as much about understanding broader and more general overlaps and intersections with education and work </w:t>
      </w:r>
      <w:r w:rsidRPr="0016463C">
        <w:fldChar w:fldCharType="begin"/>
      </w:r>
      <w:r w:rsidRPr="0016463C">
        <w:instrText xml:space="preserve"> ADDIN EN.CITE &lt;EndNote&gt;&lt;Cite&gt;&lt;Author&gt;Ashton&lt;/Author&gt;&lt;Year&gt;2015&lt;/Year&gt;&lt;RecNum&gt;742&lt;/RecNum&gt;&lt;Suffix&gt;:399&lt;/Suffix&gt;&lt;DisplayText&gt;(Ashton, 2015:399)&lt;/DisplayText&gt;&lt;record&gt;&lt;rec-number&gt;742&lt;/rec-number&gt;&lt;foreign-keys&gt;&lt;key app="EN" db-id="z55xttzezxev91ewsev55ad4apzsf2pwza0p" timestamp="1468503833"&gt;742&lt;/key&gt;&lt;/foreign-keys&gt;&lt;ref-type name="Journal Article"&gt;17&lt;/ref-type&gt;&lt;contributors&gt;&lt;authors&gt;&lt;author&gt;Ashton, D&lt;/author&gt;&lt;/authors&gt;&lt;/contributors&gt;&lt;titles&gt;&lt;title&gt;Creative work careers: pathways and portfolios for the creative economy&lt;/title&gt;&lt;secondary-title&gt;Journal of Education and Work&lt;/secondary-title&gt;&lt;/titles&gt;&lt;periodical&gt;&lt;full-title&gt;Journal of Education and Work&lt;/full-title&gt;&lt;/periodical&gt;&lt;pages&gt;388–406&lt;/pages&gt;&lt;volume&gt;28&lt;/volume&gt;&lt;number&gt;4&lt;/number&gt;&lt;dates&gt;&lt;year&gt;2015&lt;/year&gt;&lt;/dates&gt;&lt;urls&gt;&lt;/urls&gt;&lt;/record&gt;&lt;/Cite&gt;&lt;/EndNote&gt;</w:instrText>
      </w:r>
      <w:r w:rsidRPr="0016463C">
        <w:fldChar w:fldCharType="separate"/>
      </w:r>
      <w:r w:rsidRPr="0016463C">
        <w:rPr>
          <w:noProof/>
        </w:rPr>
        <w:t>(Ashton, 2015:399)</w:t>
      </w:r>
      <w:r w:rsidRPr="0016463C">
        <w:fldChar w:fldCharType="end"/>
      </w:r>
      <w:r w:rsidRPr="0016463C">
        <w:t xml:space="preserve">. Indeed, the ‘Creative Trident’ methodology model, which measures creative employment, demonstrates that more creative workers are employed in non-creative sectors (embedded) than are found as specialists inside the creative industries sectors. This supports the perception that creative activity is important throughout the economy </w:t>
      </w:r>
      <w:r w:rsidRPr="0016463C">
        <w:fldChar w:fldCharType="begin"/>
      </w:r>
      <w:r w:rsidRPr="0016463C">
        <w:instrText xml:space="preserve"> ADDIN EN.CITE &lt;EndNote&gt;&lt;Cite&gt;&lt;Author&gt;Cunningham&lt;/Author&gt;&lt;Year&gt;2014&lt;/Year&gt;&lt;RecNum&gt;745&lt;/RecNum&gt;&lt;DisplayText&gt;(Cunningham, 2014)&lt;/DisplayText&gt;&lt;record&gt;&lt;rec-number&gt;745&lt;/rec-number&gt;&lt;foreign-keys&gt;&lt;key app="EN" db-id="z55xttzezxev91ewsev55ad4apzsf2pwza0p" timestamp="1468855753"&gt;745&lt;/key&gt;&lt;/foreign-keys&gt;&lt;ref-type name="Book Section"&gt;5&lt;/ref-type&gt;&lt;contributors&gt;&lt;authors&gt;&lt;author&gt;Cunningham, S.&lt;/author&gt;&lt;/authors&gt;&lt;secondary-authors&gt;&lt;author&gt;Hearn, G.&lt;/author&gt;&lt;author&gt;Bridgstock, R.&lt;/author&gt;&lt;author&gt;Goldsmith, B&lt;/author&gt;&lt;author&gt;Rodgers, J&lt;/author&gt;&lt;/secondary-authors&gt;&lt;/contributors&gt;&lt;titles&gt;&lt;title&gt;Creative Labour and Its Discontents: A Reappraisal&lt;/title&gt;&lt;secondary-title&gt;Creative Work Beyond the Creative Industries: Innovation, Employment and Education&lt;/secondary-title&gt;&lt;/titles&gt;&lt;dates&gt;&lt;year&gt;2014&lt;/year&gt;&lt;/dates&gt;&lt;pub-location&gt;Cheltenham&lt;/pub-location&gt;&lt;publisher&gt;Edward Elgar&lt;/publisher&gt;&lt;urls&gt;&lt;/urls&gt;&lt;/record&gt;&lt;/Cite&gt;&lt;/EndNote&gt;</w:instrText>
      </w:r>
      <w:r w:rsidRPr="0016463C">
        <w:fldChar w:fldCharType="separate"/>
      </w:r>
      <w:r w:rsidRPr="0016463C">
        <w:rPr>
          <w:noProof/>
        </w:rPr>
        <w:t>(Cunningham, 2014)</w:t>
      </w:r>
      <w:r w:rsidRPr="0016463C">
        <w:fldChar w:fldCharType="end"/>
      </w:r>
      <w:r w:rsidRPr="0016463C">
        <w:t>.</w:t>
      </w:r>
    </w:p>
    <w:p w14:paraId="7359FD84" w14:textId="77777777" w:rsidR="00EB2852" w:rsidRPr="0016463C" w:rsidRDefault="00EB2852" w:rsidP="00EB2852">
      <w:r w:rsidRPr="0016463C">
        <w:t xml:space="preserve">Research conducted in to vocational education and training and implementation of innovation in the mining, solar energy and computer games sectors by University of Western Australia suggests that: </w:t>
      </w:r>
    </w:p>
    <w:p w14:paraId="5E5F9701" w14:textId="60A5E295" w:rsidR="00EB2852" w:rsidRPr="0016463C" w:rsidRDefault="00EB2852" w:rsidP="00EB2852">
      <w:pPr>
        <w:ind w:left="720"/>
      </w:pPr>
      <w:r w:rsidRPr="0016463C">
        <w:t xml:space="preserve">firms innovate; not individuals. This means that a focus on the innovation abilities of individuals by education and training researchers, practitioners and policy people may miss the actual skills development needs of employers. What firms need are people with skills that accord with the firm’s organisation, structures and activities </w:t>
      </w:r>
      <w:r w:rsidR="00C65A3F" w:rsidRPr="0016463C">
        <w:fldChar w:fldCharType="begin"/>
      </w:r>
      <w:r w:rsidR="00C65A3F" w:rsidRPr="0016463C">
        <w:instrText xml:space="preserve"> ADDIN EN.CITE &lt;EndNote&gt;&lt;Cite&gt;&lt;Author&gt;Robert Dalitz&lt;/Author&gt;&lt;Year&gt;2011&lt;/Year&gt;&lt;RecNum&gt;746&lt;/RecNum&gt;&lt;Suffix&gt;:154&lt;/Suffix&gt;&lt;DisplayText&gt;(Robert Dalitz et al., 2011:154)&lt;/DisplayText&gt;&lt;record&gt;&lt;rec-number&gt;746&lt;/rec-number&gt;&lt;foreign-keys&gt;&lt;key app="EN" db-id="z55xttzezxev91ewsev55ad4apzsf2pwza0p" timestamp="1468919547"&gt;746&lt;/key&gt;&lt;/foreign-keys&gt;&lt;ref-type name="Book Section"&gt;5&lt;/ref-type&gt;&lt;contributors&gt;&lt;authors&gt;&lt;author&gt;Robert Dalitz, &lt;/author&gt;&lt;author&gt;Toner, P&lt;/author&gt;&lt;author&gt;Turpin, T&lt;/author&gt;&lt;/authors&gt;&lt;secondary-authors&gt;&lt;author&gt;Curtin, P&lt;/author&gt;&lt;author&gt;Stanwick, J&lt;/author&gt;&lt;author&gt;Beddie, F&lt;/author&gt;&lt;/secondary-authors&gt;&lt;/contributors&gt;&lt;titles&gt;&lt;title&gt;VET and the diffusion and implementation of innovation in the mining, solar energy and computer games sectors&lt;/title&gt;&lt;secondary-title&gt;Fostering enterprise: the innovation and skills nexus – research readings&lt;/secondary-title&gt;&lt;/titles&gt;&lt;pages&gt;114–157&lt;/pages&gt;&lt;dates&gt;&lt;year&gt;2011&lt;/year&gt;&lt;/dates&gt;&lt;pub-location&gt;Adelaide, Australia&lt;/pub-location&gt;&lt;publisher&gt;National Centre for Vocational Reseach&lt;/publisher&gt;&lt;urls&gt;&lt;/urls&gt;&lt;/record&gt;&lt;/Cite&gt;&lt;/EndNote&gt;</w:instrText>
      </w:r>
      <w:r w:rsidR="00C65A3F" w:rsidRPr="0016463C">
        <w:fldChar w:fldCharType="separate"/>
      </w:r>
      <w:r w:rsidR="00C65A3F" w:rsidRPr="0016463C">
        <w:rPr>
          <w:noProof/>
        </w:rPr>
        <w:t>(Robert Dalitz et al., 2011:154)</w:t>
      </w:r>
      <w:r w:rsidR="00C65A3F" w:rsidRPr="0016463C">
        <w:fldChar w:fldCharType="end"/>
      </w:r>
      <w:r w:rsidR="00C65A3F" w:rsidRPr="0016463C">
        <w:t>.</w:t>
      </w:r>
    </w:p>
    <w:p w14:paraId="230E0CFB" w14:textId="0B8A0C94" w:rsidR="00EB2852" w:rsidRPr="0016463C" w:rsidRDefault="00EB2852" w:rsidP="005D4F03">
      <w:r w:rsidRPr="0016463C">
        <w:t xml:space="preserve">This implies that the </w:t>
      </w:r>
      <w:r w:rsidR="00C65A3F" w:rsidRPr="0016463C">
        <w:t xml:space="preserve">curriculum design </w:t>
      </w:r>
      <w:r w:rsidRPr="0016463C">
        <w:t xml:space="preserve">of vocational learning and industry collaboration </w:t>
      </w:r>
      <w:r w:rsidR="00C65A3F" w:rsidRPr="0016463C">
        <w:t>will be defined by changing structure of industries.</w:t>
      </w:r>
    </w:p>
    <w:p w14:paraId="586848F7" w14:textId="70507F87" w:rsidR="005D4F03" w:rsidRPr="0016463C" w:rsidRDefault="005A70DF" w:rsidP="005D4F03">
      <w:r w:rsidRPr="0016463C">
        <w:t xml:space="preserve">Before moving to the case study it is necessary </w:t>
      </w:r>
      <w:r w:rsidR="00706F39" w:rsidRPr="0016463C">
        <w:t xml:space="preserve">at this point </w:t>
      </w:r>
      <w:r w:rsidRPr="0016463C">
        <w:t xml:space="preserve">to give some background description </w:t>
      </w:r>
      <w:r w:rsidR="00706F39" w:rsidRPr="0016463C">
        <w:t>of</w:t>
      </w:r>
      <w:r w:rsidRPr="0016463C">
        <w:t xml:space="preserve"> the government proposals for the High</w:t>
      </w:r>
      <w:r w:rsidR="000C51B1" w:rsidRPr="0016463C">
        <w:t xml:space="preserve">er and Degree Apprenticeships. </w:t>
      </w:r>
      <w:bookmarkStart w:id="3" w:name="_Toc307223408"/>
    </w:p>
    <w:p w14:paraId="5B394179" w14:textId="77777777" w:rsidR="005D4F03" w:rsidRPr="0016463C" w:rsidRDefault="005D4F03" w:rsidP="005D4F03"/>
    <w:p w14:paraId="7F42C215" w14:textId="6919A5F7" w:rsidR="009A1F1A" w:rsidRPr="0016463C" w:rsidRDefault="00FF62BC" w:rsidP="009A1F1A">
      <w:pPr>
        <w:pStyle w:val="Heading1"/>
      </w:pPr>
      <w:r w:rsidRPr="0016463C">
        <w:t>3</w:t>
      </w:r>
      <w:r w:rsidR="00DF4B73" w:rsidRPr="0016463C">
        <w:t>.</w:t>
      </w:r>
      <w:r w:rsidR="00DD414B" w:rsidRPr="0016463C">
        <w:t>0</w:t>
      </w:r>
      <w:r w:rsidR="00DF4B73" w:rsidRPr="0016463C">
        <w:t xml:space="preserve"> </w:t>
      </w:r>
      <w:r w:rsidR="009A1F1A" w:rsidRPr="0016463C">
        <w:t>G</w:t>
      </w:r>
      <w:r w:rsidR="00DF4B73" w:rsidRPr="0016463C">
        <w:t>overnment proposals</w:t>
      </w:r>
      <w:bookmarkEnd w:id="3"/>
      <w:r w:rsidR="00C22230" w:rsidRPr="0016463C">
        <w:t xml:space="preserve"> and initiatives</w:t>
      </w:r>
    </w:p>
    <w:p w14:paraId="4127DA2F" w14:textId="1800D338" w:rsidR="00C67D53" w:rsidRPr="0016463C" w:rsidRDefault="00FF62BC" w:rsidP="007B0B19">
      <w:pPr>
        <w:pStyle w:val="Heading2"/>
      </w:pPr>
      <w:bookmarkStart w:id="4" w:name="_Toc307223410"/>
      <w:r w:rsidRPr="0016463C">
        <w:t>3</w:t>
      </w:r>
      <w:r w:rsidR="009A1F1A" w:rsidRPr="0016463C">
        <w:t>.1</w:t>
      </w:r>
      <w:r w:rsidR="00DD414B" w:rsidRPr="0016463C">
        <w:t xml:space="preserve"> </w:t>
      </w:r>
      <w:r w:rsidR="008B4AEA" w:rsidRPr="0016463C">
        <w:t>Higher or Degree Apprenticeships</w:t>
      </w:r>
      <w:bookmarkEnd w:id="4"/>
      <w:r w:rsidR="008B4AEA" w:rsidRPr="0016463C">
        <w:t xml:space="preserve"> </w:t>
      </w:r>
    </w:p>
    <w:p w14:paraId="4FF40981" w14:textId="3E3176AB" w:rsidR="00775A6E" w:rsidRPr="0016463C" w:rsidRDefault="00403289" w:rsidP="0081017F">
      <w:r w:rsidRPr="0016463C">
        <w:t>Higher Apprenticeships</w:t>
      </w:r>
      <w:r w:rsidR="00DF2E25" w:rsidRPr="0016463C">
        <w:t>, a</w:t>
      </w:r>
      <w:r w:rsidRPr="0016463C">
        <w:t xml:space="preserve">lthough </w:t>
      </w:r>
      <w:r w:rsidR="004E03FA" w:rsidRPr="0016463C">
        <w:t>appearing</w:t>
      </w:r>
      <w:r w:rsidRPr="0016463C">
        <w:t xml:space="preserve"> similar to </w:t>
      </w:r>
      <w:r w:rsidR="00DF2E25" w:rsidRPr="0016463C">
        <w:t>elements of work-based learning</w:t>
      </w:r>
      <w:r w:rsidR="0033774C" w:rsidRPr="0016463C">
        <w:t xml:space="preserve"> must adhere to</w:t>
      </w:r>
      <w:r w:rsidR="00C445D0" w:rsidRPr="0016463C">
        <w:t xml:space="preserve"> </w:t>
      </w:r>
      <w:r w:rsidRPr="0016463C">
        <w:t>the government</w:t>
      </w:r>
      <w:r w:rsidR="0033774C" w:rsidRPr="0016463C">
        <w:t>’s</w:t>
      </w:r>
      <w:r w:rsidRPr="0016463C">
        <w:t xml:space="preserve"> </w:t>
      </w:r>
      <w:r w:rsidR="00C445D0" w:rsidRPr="0016463C">
        <w:t>strict</w:t>
      </w:r>
      <w:r w:rsidR="0033774C" w:rsidRPr="0016463C">
        <w:t>ly set</w:t>
      </w:r>
      <w:r w:rsidR="00C445D0" w:rsidRPr="0016463C">
        <w:t xml:space="preserve"> criteria </w:t>
      </w:r>
      <w:r w:rsidRPr="0016463C">
        <w:t xml:space="preserve">and are, therefore, less flexible. </w:t>
      </w:r>
      <w:r w:rsidR="00911580" w:rsidRPr="0016463C">
        <w:t>They cover academic and vocational qualifications and learning</w:t>
      </w:r>
      <w:r w:rsidR="00C17F9F" w:rsidRPr="0016463C">
        <w:t xml:space="preserve"> from levels </w:t>
      </w:r>
      <w:r w:rsidR="0081017F" w:rsidRPr="0016463C">
        <w:t>4</w:t>
      </w:r>
      <w:r w:rsidR="00C17F9F" w:rsidRPr="0016463C">
        <w:t xml:space="preserve"> and </w:t>
      </w:r>
      <w:r w:rsidR="0081017F" w:rsidRPr="0016463C">
        <w:t xml:space="preserve">5 but can continue </w:t>
      </w:r>
      <w:r w:rsidR="00735264" w:rsidRPr="00240464">
        <w:rPr>
          <w:rFonts w:ascii="Arial" w:hAnsi="Arial" w:cs="Arial"/>
          <w:color w:val="000000"/>
          <w:sz w:val="23"/>
          <w:szCs w:val="23"/>
        </w:rPr>
        <w:t>up to bachelors and master</w:t>
      </w:r>
      <w:r w:rsidR="0081017F" w:rsidRPr="00240464">
        <w:rPr>
          <w:rFonts w:ascii="Arial" w:hAnsi="Arial" w:cs="Arial"/>
          <w:color w:val="000000"/>
          <w:sz w:val="23"/>
          <w:szCs w:val="23"/>
        </w:rPr>
        <w:t>s degrees at levels 6 and 7 respectively</w:t>
      </w:r>
      <w:r w:rsidR="00735264" w:rsidRPr="00240464">
        <w:rPr>
          <w:rFonts w:ascii="Arial" w:hAnsi="Arial" w:cs="Arial"/>
          <w:color w:val="000000"/>
          <w:sz w:val="23"/>
          <w:szCs w:val="23"/>
        </w:rPr>
        <w:t>.</w:t>
      </w:r>
    </w:p>
    <w:p w14:paraId="6A0194F4" w14:textId="0AA250C5" w:rsidR="004710DA" w:rsidRPr="0016463C" w:rsidRDefault="008B4AEA" w:rsidP="0081017F">
      <w:r w:rsidRPr="0016463C">
        <w:t>Degree Apprenticeships</w:t>
      </w:r>
      <w:r w:rsidR="00980347" w:rsidRPr="0016463C">
        <w:t xml:space="preserve"> (level 6), the level </w:t>
      </w:r>
      <w:r w:rsidR="00A477CD" w:rsidRPr="0016463C">
        <w:t xml:space="preserve">of </w:t>
      </w:r>
      <w:r w:rsidR="00980347" w:rsidRPr="0016463C">
        <w:t>the Web Design and Social Media course,</w:t>
      </w:r>
      <w:r w:rsidR="003877A5" w:rsidRPr="0016463C">
        <w:t xml:space="preserve"> differ from </w:t>
      </w:r>
      <w:r w:rsidR="004E03FA" w:rsidRPr="0016463C">
        <w:t xml:space="preserve">Higher Apprenticeships </w:t>
      </w:r>
      <w:r w:rsidR="003877A5" w:rsidRPr="0016463C">
        <w:t xml:space="preserve">as </w:t>
      </w:r>
      <w:r w:rsidR="007D2981" w:rsidRPr="0016463C">
        <w:t xml:space="preserve">they </w:t>
      </w:r>
      <w:r w:rsidR="003877A5" w:rsidRPr="0016463C">
        <w:t>offer a degree as an integ</w:t>
      </w:r>
      <w:r w:rsidR="00564F58" w:rsidRPr="0016463C">
        <w:t>ral part of the apprenticeship.</w:t>
      </w:r>
      <w:r w:rsidR="00F47326" w:rsidRPr="0016463C">
        <w:t xml:space="preserve"> </w:t>
      </w:r>
    </w:p>
    <w:p w14:paraId="294091F2" w14:textId="0CC1440A" w:rsidR="004710DA" w:rsidRPr="0016463C" w:rsidRDefault="00F47326" w:rsidP="004710DA">
      <w:pPr>
        <w:ind w:left="720"/>
      </w:pPr>
      <w:r w:rsidRPr="0016463C">
        <w:t>Degree apprenticeships combine both higher and vocational education and fully test both the wider occupational competence and academic learning, either using a fully-integrated degree co-designed by employers and HEIs, or using a degree plus separate end-</w:t>
      </w:r>
      <w:r w:rsidR="004710DA" w:rsidRPr="0016463C">
        <w:t>test of professional competence</w:t>
      </w:r>
      <w:r w:rsidRPr="0016463C">
        <w:t xml:space="preserve"> </w:t>
      </w:r>
      <w:r w:rsidR="008E2EBD" w:rsidRPr="0016463C">
        <w:fldChar w:fldCharType="begin"/>
      </w:r>
      <w:r w:rsidR="00074A34" w:rsidRPr="0016463C">
        <w:instrText xml:space="preserve"> ADDIN EN.CITE &lt;EndNote&gt;&lt;Cite&gt;&lt;Author&gt;Skills Funding Agency&lt;/Author&gt;&lt;Year&gt;2015&lt;/Year&gt;&lt;RecNum&gt;698&lt;/RecNum&gt;&lt;Suffix&gt;:1&lt;/Suffix&gt;&lt;DisplayText&gt;(Skills Funding Agency, 2015a:1)&lt;/DisplayText&gt;&lt;record&gt;&lt;rec-number&gt;698&lt;/rec-number&gt;&lt;foreign-keys&gt;&lt;key app="EN" db-id="z55xttzezxev91ewsev55ad4apzsf2pwza0p" timestamp="1439389128"&gt;698&lt;/key&gt;&lt;/foreign-keys&gt;&lt;ref-type name="Web Page"&gt;12&lt;/ref-type&gt;&lt;contributors&gt;&lt;authors&gt;&lt;author&gt;Skills Funding Agency,&lt;/author&gt;&lt;/authors&gt;&lt;/contributors&gt;&lt;titles&gt;&lt;title&gt;Higher Apprenticeship and Degree Apprenticeship Delivery from April 2015 to April 2016. Higher Education Institutions Fact Sheet March 2015 Version 1 – Revision Date 1 June 2015&lt;/title&gt;&lt;/titles&gt;&lt;volume&gt;2015&lt;/volume&gt;&lt;number&gt;24th July&lt;/number&gt;&lt;dates&gt;&lt;year&gt;2015&lt;/year&gt;&lt;/dates&gt;&lt;publisher&gt;Government UK&lt;/publisher&gt;&lt;urls&gt;&lt;related-urls&gt;&lt;url&gt;https://www.gov.uk/government/uploads/system/uploads/attachment_data/file/412019/Higher_Apprenticeship_and_Degree_Apprenticeship_Delivery_from_April_2015_to_April_2016.pdf&lt;/url&gt;&lt;/related-urls&gt;&lt;/urls&gt;&lt;/record&gt;&lt;/Cite&gt;&lt;/EndNote&gt;</w:instrText>
      </w:r>
      <w:r w:rsidR="008E2EBD" w:rsidRPr="0016463C">
        <w:fldChar w:fldCharType="separate"/>
      </w:r>
      <w:r w:rsidR="00074A34" w:rsidRPr="0016463C">
        <w:rPr>
          <w:noProof/>
        </w:rPr>
        <w:t>(Skills Funding Agency, 2015a:1)</w:t>
      </w:r>
      <w:r w:rsidR="008E2EBD" w:rsidRPr="0016463C">
        <w:fldChar w:fldCharType="end"/>
      </w:r>
      <w:r w:rsidR="008E2EBD" w:rsidRPr="0016463C">
        <w:t>.</w:t>
      </w:r>
    </w:p>
    <w:p w14:paraId="4E7032FD" w14:textId="3FC8CCF0" w:rsidR="00B344E6" w:rsidRPr="0016463C" w:rsidRDefault="00564F58" w:rsidP="001A04BD">
      <w:r w:rsidRPr="0016463C">
        <w:t xml:space="preserve">The advantage </w:t>
      </w:r>
      <w:r w:rsidR="001F5E3D">
        <w:t xml:space="preserve">is </w:t>
      </w:r>
      <w:r w:rsidRPr="0016463C">
        <w:t>that w</w:t>
      </w:r>
      <w:r w:rsidR="00B94012" w:rsidRPr="0016463C">
        <w:t>hile earning a wage and getting real work experience in their chosen profession</w:t>
      </w:r>
      <w:r w:rsidR="00A477CD" w:rsidRPr="0016463C">
        <w:t>,</w:t>
      </w:r>
      <w:r w:rsidR="00B94012" w:rsidRPr="0016463C">
        <w:t xml:space="preserve"> they also </w:t>
      </w:r>
      <w:r w:rsidRPr="0016463C">
        <w:t>gain</w:t>
      </w:r>
      <w:r w:rsidR="00B94012" w:rsidRPr="0016463C">
        <w:t xml:space="preserve"> a full bachelor’s or master’s degree from a university.</w:t>
      </w:r>
    </w:p>
    <w:p w14:paraId="6CCF31DA" w14:textId="156AE324" w:rsidR="00B54C40" w:rsidRPr="0016463C" w:rsidRDefault="002E3C2E" w:rsidP="001A04BD">
      <w:r w:rsidRPr="0016463C">
        <w:t xml:space="preserve">As a way of countering the rising amount of </w:t>
      </w:r>
      <w:r w:rsidR="00FF6899" w:rsidRPr="0016463C">
        <w:t>publicly-</w:t>
      </w:r>
      <w:r w:rsidRPr="0016463C">
        <w:t xml:space="preserve">owned student debt the government have </w:t>
      </w:r>
      <w:r w:rsidR="001F5E3D" w:rsidRPr="0016463C">
        <w:t>ruled</w:t>
      </w:r>
      <w:r w:rsidRPr="0016463C">
        <w:t xml:space="preserve"> that </w:t>
      </w:r>
      <w:r w:rsidR="00E237D5" w:rsidRPr="0016463C">
        <w:t>Higher or Degree Appren</w:t>
      </w:r>
      <w:r w:rsidR="00771310" w:rsidRPr="0016463C">
        <w:t>ti</w:t>
      </w:r>
      <w:r w:rsidR="00E237D5" w:rsidRPr="0016463C">
        <w:t>ceships are not eligible for student loans</w:t>
      </w:r>
      <w:r w:rsidRPr="0016463C">
        <w:t xml:space="preserve"> and that, </w:t>
      </w:r>
      <w:r w:rsidR="00593A37" w:rsidRPr="0016463C">
        <w:t>‘</w:t>
      </w:r>
      <w:r w:rsidRPr="0016463C">
        <w:t>a</w:t>
      </w:r>
      <w:r w:rsidR="00593A37" w:rsidRPr="0016463C">
        <w:t xml:space="preserve">s with all apprenticeships, apprentices must not pay the costs of training or assessment and should not be charged student fees within their apprenticeship’ </w:t>
      </w:r>
      <w:r w:rsidRPr="0016463C">
        <w:t>(ibid.:4).</w:t>
      </w:r>
      <w:r w:rsidR="00B15EFF" w:rsidRPr="0016463C">
        <w:t xml:space="preserve"> </w:t>
      </w:r>
      <w:r w:rsidRPr="0016463C">
        <w:t>One of the ways of giving</w:t>
      </w:r>
      <w:r w:rsidR="000E0148" w:rsidRPr="0016463C">
        <w:t xml:space="preserve"> employers subsidy towards the cost of employing apprentices is through the </w:t>
      </w:r>
      <w:r w:rsidR="00593A37" w:rsidRPr="0016463C">
        <w:t>Trailblazers</w:t>
      </w:r>
      <w:r w:rsidR="000E0148" w:rsidRPr="0016463C">
        <w:t xml:space="preserve"> programme.</w:t>
      </w:r>
      <w:r w:rsidR="008A2C9E" w:rsidRPr="0016463C">
        <w:t xml:space="preserve"> </w:t>
      </w:r>
    </w:p>
    <w:p w14:paraId="357723AB" w14:textId="1E5E8585" w:rsidR="00B54C40" w:rsidRPr="0016463C" w:rsidRDefault="00FF62BC" w:rsidP="007B0B19">
      <w:pPr>
        <w:pStyle w:val="Heading2"/>
      </w:pPr>
      <w:bookmarkStart w:id="5" w:name="_Toc307223411"/>
      <w:r w:rsidRPr="0016463C">
        <w:t>3</w:t>
      </w:r>
      <w:r w:rsidR="00DD414B" w:rsidRPr="0016463C">
        <w:t xml:space="preserve">.3 </w:t>
      </w:r>
      <w:r w:rsidR="00B54C40" w:rsidRPr="0016463C">
        <w:t>Trailblazers</w:t>
      </w:r>
      <w:bookmarkEnd w:id="5"/>
      <w:r w:rsidR="00B54C40" w:rsidRPr="0016463C">
        <w:t xml:space="preserve"> </w:t>
      </w:r>
    </w:p>
    <w:p w14:paraId="7F665C05" w14:textId="65C9C98A" w:rsidR="00B344E6" w:rsidRPr="0016463C" w:rsidRDefault="00663367" w:rsidP="005D4F03">
      <w:r w:rsidRPr="0016463C">
        <w:t>In</w:t>
      </w:r>
      <w:r w:rsidR="008A2C9E" w:rsidRPr="0016463C">
        <w:t xml:space="preserve"> </w:t>
      </w:r>
      <w:r w:rsidRPr="0016463C">
        <w:t>2014 the UK</w:t>
      </w:r>
      <w:r w:rsidR="008A2C9E" w:rsidRPr="0016463C">
        <w:t xml:space="preserve"> government </w:t>
      </w:r>
      <w:r w:rsidRPr="0016463C">
        <w:t xml:space="preserve">initiated the </w:t>
      </w:r>
      <w:r w:rsidR="009D71F6" w:rsidRPr="0016463C">
        <w:t>‘Trailblazer</w:t>
      </w:r>
      <w:r w:rsidRPr="0016463C">
        <w:t xml:space="preserve">’ programme </w:t>
      </w:r>
      <w:r w:rsidR="008A2C9E" w:rsidRPr="0016463C">
        <w:t>designed</w:t>
      </w:r>
      <w:r w:rsidR="00E170B4" w:rsidRPr="0016463C">
        <w:t xml:space="preserve"> primarily</w:t>
      </w:r>
      <w:r w:rsidR="008A2C9E" w:rsidRPr="0016463C">
        <w:t xml:space="preserve"> to encourage potential employers </w:t>
      </w:r>
      <w:r w:rsidR="00A477CD" w:rsidRPr="00240464">
        <w:t>to</w:t>
      </w:r>
      <w:r w:rsidR="00A477CD" w:rsidRPr="0016463C">
        <w:t xml:space="preserve"> </w:t>
      </w:r>
      <w:r w:rsidR="008A2C9E" w:rsidRPr="0016463C">
        <w:t>fund</w:t>
      </w:r>
      <w:r w:rsidR="00EB3892" w:rsidRPr="0016463C">
        <w:t xml:space="preserve"> and develop</w:t>
      </w:r>
      <w:r w:rsidR="008A2C9E" w:rsidRPr="0016463C">
        <w:t xml:space="preserve"> apprentices</w:t>
      </w:r>
      <w:r w:rsidR="00EB3892" w:rsidRPr="0016463C">
        <w:t xml:space="preserve">hips </w:t>
      </w:r>
      <w:r w:rsidR="008A2C9E" w:rsidRPr="0016463C">
        <w:t>programme</w:t>
      </w:r>
      <w:r w:rsidR="00EB3892" w:rsidRPr="0016463C">
        <w:t>s</w:t>
      </w:r>
      <w:r w:rsidR="00D02685" w:rsidRPr="0016463C">
        <w:t xml:space="preserve"> both</w:t>
      </w:r>
      <w:r w:rsidRPr="0016463C">
        <w:t xml:space="preserve"> within organisations and</w:t>
      </w:r>
      <w:r w:rsidR="00EB3892" w:rsidRPr="0016463C">
        <w:t xml:space="preserve"> in partnership with further and higher education institutions</w:t>
      </w:r>
      <w:r w:rsidR="00FC1D39" w:rsidRPr="0016463C">
        <w:t xml:space="preserve">. </w:t>
      </w:r>
      <w:r w:rsidRPr="0016463C">
        <w:t xml:space="preserve">The initiative </w:t>
      </w:r>
      <w:r w:rsidR="00FC1D39" w:rsidRPr="0016463C">
        <w:t>was developed in</w:t>
      </w:r>
      <w:r w:rsidR="000F0257" w:rsidRPr="0016463C">
        <w:t xml:space="preserve"> response to </w:t>
      </w:r>
      <w:r w:rsidR="000F0257" w:rsidRPr="0016463C">
        <w:rPr>
          <w:i/>
        </w:rPr>
        <w:t>The Richard Review</w:t>
      </w:r>
      <w:r w:rsidR="000F0257" w:rsidRPr="0016463C">
        <w:t xml:space="preserve"> </w:t>
      </w:r>
      <w:r w:rsidR="008E2EBD" w:rsidRPr="0016463C">
        <w:fldChar w:fldCharType="begin"/>
      </w:r>
      <w:r w:rsidR="008E2EBD" w:rsidRPr="0016463C">
        <w:instrText xml:space="preserve"> ADDIN EN.CITE &lt;EndNote&gt;&lt;Cite ExcludeAuth="1"&gt;&lt;Author&gt;Richard&lt;/Author&gt;&lt;Year&gt;2012&lt;/Year&gt;&lt;RecNum&gt;715&lt;/RecNum&gt;&lt;DisplayText&gt;(2012)&lt;/DisplayText&gt;&lt;record&gt;&lt;rec-number&gt;715&lt;/rec-number&gt;&lt;foreign-keys&gt;&lt;key app="EN" db-id="z55xttzezxev91ewsev55ad4apzsf2pwza0p" timestamp="1441114670"&gt;715&lt;/key&gt;&lt;/foreign-keys&gt;&lt;ref-type name="Web Page"&gt;12&lt;/ref-type&gt;&lt;contributors&gt;&lt;authors&gt;&lt;author&gt;Doug Richard&lt;/author&gt;&lt;/authors&gt;&lt;/contributors&gt;&lt;titles&gt;&lt;title&gt;The Richard Review of Apprenticships&lt;/title&gt;&lt;/titles&gt;&lt;volume&gt;2015&lt;/volume&gt;&lt;number&gt;25th August&lt;/number&gt;&lt;dates&gt;&lt;year&gt;2012&lt;/year&gt;&lt;/dates&gt;&lt;publisher&gt;School for Start Ups&lt;/publisher&gt;&lt;urls&gt;&lt;related-urls&gt;&lt;url&gt;http://www.schoolforstartups.co.uk/richard-review/richard-review-full.pdf&lt;/url&gt;&lt;/related-urls&gt;&lt;/urls&gt;&lt;/record&gt;&lt;/Cite&gt;&lt;/EndNote&gt;</w:instrText>
      </w:r>
      <w:r w:rsidR="008E2EBD" w:rsidRPr="0016463C">
        <w:fldChar w:fldCharType="separate"/>
      </w:r>
      <w:r w:rsidR="008E2EBD" w:rsidRPr="0016463C">
        <w:t>(2012)</w:t>
      </w:r>
      <w:r w:rsidR="008E2EBD" w:rsidRPr="0016463C">
        <w:fldChar w:fldCharType="end"/>
      </w:r>
      <w:r w:rsidR="000F0257" w:rsidRPr="0016463C">
        <w:t xml:space="preserve"> commissioned by BIS</w:t>
      </w:r>
      <w:r w:rsidR="00A955FF" w:rsidRPr="0016463C">
        <w:t>. This</w:t>
      </w:r>
      <w:r w:rsidR="000F0257" w:rsidRPr="0016463C">
        <w:t xml:space="preserve"> led to the publication of The </w:t>
      </w:r>
      <w:r w:rsidR="000F0257" w:rsidRPr="0016463C">
        <w:rPr>
          <w:i/>
        </w:rPr>
        <w:t>Future of Apprenticeships in England: Implementation Plan</w:t>
      </w:r>
      <w:r w:rsidR="005B1E46" w:rsidRPr="0016463C">
        <w:rPr>
          <w:i/>
        </w:rPr>
        <w:t xml:space="preserve"> </w:t>
      </w:r>
      <w:r w:rsidR="00074A34" w:rsidRPr="0016463C">
        <w:fldChar w:fldCharType="begin"/>
      </w:r>
      <w:r w:rsidR="00074A34" w:rsidRPr="0016463C">
        <w:instrText xml:space="preserve"> ADDIN EN.CITE &lt;EndNote&gt;&lt;Cite&gt;&lt;Author&gt;HM Government&lt;/Author&gt;&lt;Year&gt;2013&lt;/Year&gt;&lt;RecNum&gt;716&lt;/RecNum&gt;&lt;DisplayText&gt;(HM Government, 2013)&lt;/DisplayText&gt;&lt;record&gt;&lt;rec-number&gt;716&lt;/rec-number&gt;&lt;foreign-keys&gt;&lt;key app="EN" db-id="z55xttzezxev91ewsev55ad4apzsf2pwza0p" timestamp="1441115267"&gt;716&lt;/key&gt;&lt;/foreign-keys&gt;&lt;ref-type name="Web Page"&gt;12&lt;/ref-type&gt;&lt;contributors&gt;&lt;authors&gt;&lt;author&gt;HM Government,&lt;/author&gt;&lt;/authors&gt;&lt;/contributors&gt;&lt;titles&gt;&lt;title&gt;The Future of Apprenticeships in England: Implementation Plan&lt;/title&gt;&lt;/titles&gt;&lt;volume&gt;2015&lt;/volume&gt;&lt;number&gt;25th August&lt;/number&gt;&lt;dates&gt;&lt;year&gt;2013&lt;/year&gt;&lt;/dates&gt;&lt;publisher&gt;HM Government&lt;/publisher&gt;&lt;urls&gt;&lt;related-urls&gt;&lt;url&gt;https://www.gov.uk/government/uploads/system/uploads/attachment_data/file/253073/bis-13-1175-future-of-apprenticeships-in-england-implementation-plan.pdf&lt;/url&gt;&lt;/related-urls&gt;&lt;/urls&gt;&lt;/record&gt;&lt;/Cite&gt;&lt;/EndNote&gt;</w:instrText>
      </w:r>
      <w:r w:rsidR="00074A34" w:rsidRPr="0016463C">
        <w:fldChar w:fldCharType="separate"/>
      </w:r>
      <w:r w:rsidR="00074A34" w:rsidRPr="0016463C">
        <w:t>(HM Government, 2013)</w:t>
      </w:r>
      <w:r w:rsidR="00074A34" w:rsidRPr="0016463C">
        <w:fldChar w:fldCharType="end"/>
      </w:r>
      <w:r w:rsidR="00D76510" w:rsidRPr="0016463C">
        <w:t xml:space="preserve">, </w:t>
      </w:r>
      <w:r w:rsidR="00A955FF" w:rsidRPr="0016463C">
        <w:t>setting</w:t>
      </w:r>
      <w:r w:rsidR="00D76510" w:rsidRPr="0016463C">
        <w:t xml:space="preserve"> out key measures</w:t>
      </w:r>
      <w:r w:rsidR="00A955FF" w:rsidRPr="0016463C">
        <w:t xml:space="preserve"> that</w:t>
      </w:r>
      <w:r w:rsidR="00D76510" w:rsidRPr="0016463C">
        <w:t xml:space="preserve"> aim to </w:t>
      </w:r>
      <w:r w:rsidR="00392D44">
        <w:t>‘</w:t>
      </w:r>
      <w:r w:rsidR="00A955FF" w:rsidRPr="0016463C">
        <w:t>p</w:t>
      </w:r>
      <w:r w:rsidR="00D76510" w:rsidRPr="0016463C">
        <w:t>ut employers in the driving seat</w:t>
      </w:r>
      <w:r w:rsidR="00392D44">
        <w:t>’.</w:t>
      </w:r>
      <w:r w:rsidR="00D76510" w:rsidRPr="0016463C">
        <w:t xml:space="preserve"> </w:t>
      </w:r>
      <w:r w:rsidR="00392D44">
        <w:t>B</w:t>
      </w:r>
      <w:r w:rsidR="00D76510" w:rsidRPr="0016463C">
        <w:t xml:space="preserve">y </w:t>
      </w:r>
      <w:r w:rsidR="00B36A0D" w:rsidRPr="0016463C">
        <w:t>simplifying the apprenticeship system with new employer-designed standards</w:t>
      </w:r>
      <w:r w:rsidR="002326AE" w:rsidRPr="0016463C">
        <w:t xml:space="preserve"> the intention </w:t>
      </w:r>
      <w:r w:rsidR="00392D44">
        <w:t>is to</w:t>
      </w:r>
      <w:r w:rsidR="00D76510" w:rsidRPr="0016463C">
        <w:t xml:space="preserve"> i</w:t>
      </w:r>
      <w:r w:rsidR="002326AE" w:rsidRPr="0016463C">
        <w:t>ncreasing</w:t>
      </w:r>
      <w:r w:rsidR="00D76510" w:rsidRPr="0016463C">
        <w:t xml:space="preserve"> the quality of apprenticeships. </w:t>
      </w:r>
      <w:r w:rsidR="002326AE" w:rsidRPr="0016463C">
        <w:t>BIS</w:t>
      </w:r>
      <w:r w:rsidR="00B36A0D" w:rsidRPr="0016463C">
        <w:t xml:space="preserve"> want to g</w:t>
      </w:r>
      <w:r w:rsidR="00D76510" w:rsidRPr="0016463C">
        <w:t>i</w:t>
      </w:r>
      <w:r w:rsidR="00B36A0D" w:rsidRPr="0016463C">
        <w:t xml:space="preserve">ve employers </w:t>
      </w:r>
      <w:r w:rsidR="00A955FF" w:rsidRPr="0016463C">
        <w:t>‘</w:t>
      </w:r>
      <w:r w:rsidR="00B36A0D" w:rsidRPr="0016463C">
        <w:t>purchasing power</w:t>
      </w:r>
      <w:r w:rsidR="00A955FF" w:rsidRPr="0016463C">
        <w:t>’</w:t>
      </w:r>
      <w:r w:rsidR="00B36A0D" w:rsidRPr="0016463C">
        <w:t xml:space="preserve"> by p</w:t>
      </w:r>
      <w:r w:rsidR="00D76510" w:rsidRPr="0016463C">
        <w:t>utting control of government funding for the external training of apprentices in the hands of employers</w:t>
      </w:r>
      <w:r w:rsidR="00B36A0D" w:rsidRPr="0016463C">
        <w:t>.</w:t>
      </w:r>
      <w:r w:rsidR="00AD0DAE" w:rsidRPr="0016463C">
        <w:t xml:space="preserve"> For employers to be signed up to the Trailblazers programme </w:t>
      </w:r>
      <w:r w:rsidR="00F226AB" w:rsidRPr="0016463C">
        <w:t>e</w:t>
      </w:r>
      <w:r w:rsidR="00AD0DAE" w:rsidRPr="0016463C">
        <w:t xml:space="preserve">mployers </w:t>
      </w:r>
      <w:r w:rsidR="002326AE" w:rsidRPr="0016463C">
        <w:t>submit</w:t>
      </w:r>
      <w:r w:rsidR="009324F7" w:rsidRPr="0016463C">
        <w:t>, either</w:t>
      </w:r>
      <w:r w:rsidR="00F226AB" w:rsidRPr="0016463C">
        <w:t xml:space="preserve"> individually or </w:t>
      </w:r>
      <w:r w:rsidR="009324F7" w:rsidRPr="0016463C">
        <w:t>as a group,</w:t>
      </w:r>
      <w:r w:rsidR="00F226AB" w:rsidRPr="0016463C">
        <w:t xml:space="preserve"> </w:t>
      </w:r>
      <w:r w:rsidR="003A4A91" w:rsidRPr="0016463C">
        <w:t>an</w:t>
      </w:r>
      <w:r w:rsidR="006C7ED0" w:rsidRPr="0016463C">
        <w:t xml:space="preserve"> Expressions of Interest (EOIs)</w:t>
      </w:r>
      <w:r w:rsidR="002326AE" w:rsidRPr="0016463C">
        <w:t xml:space="preserve"> bid</w:t>
      </w:r>
      <w:r w:rsidR="003A4A91" w:rsidRPr="0016463C">
        <w:t>.</w:t>
      </w:r>
      <w:r w:rsidR="006C7ED0" w:rsidRPr="0016463C">
        <w:t xml:space="preserve"> </w:t>
      </w:r>
      <w:r w:rsidR="003A4A91" w:rsidRPr="0016463C">
        <w:t>If accepted the employer (</w:t>
      </w:r>
      <w:r w:rsidR="00271EBF" w:rsidRPr="0016463C">
        <w:t xml:space="preserve">the </w:t>
      </w:r>
      <w:r w:rsidR="003A4A91" w:rsidRPr="0016463C">
        <w:t>Trailblazer</w:t>
      </w:r>
      <w:r w:rsidR="001D560C" w:rsidRPr="0016463C">
        <w:t xml:space="preserve"> henceforth</w:t>
      </w:r>
      <w:r w:rsidR="003A4A91" w:rsidRPr="0016463C">
        <w:t>)</w:t>
      </w:r>
      <w:r w:rsidR="006C7ED0" w:rsidRPr="0016463C">
        <w:t xml:space="preserve"> </w:t>
      </w:r>
      <w:r w:rsidR="00AD0DAE" w:rsidRPr="0016463C">
        <w:t>design</w:t>
      </w:r>
      <w:r w:rsidR="006C7ED0" w:rsidRPr="0016463C">
        <w:t>s</w:t>
      </w:r>
      <w:r w:rsidR="00AD0DAE" w:rsidRPr="0016463C">
        <w:t xml:space="preserve"> the standards</w:t>
      </w:r>
      <w:r w:rsidR="003A4A91" w:rsidRPr="0016463C">
        <w:t>,</w:t>
      </w:r>
      <w:r w:rsidR="00AD0DAE" w:rsidRPr="0016463C">
        <w:t xml:space="preserve"> asses</w:t>
      </w:r>
      <w:r w:rsidR="00F226AB" w:rsidRPr="0016463C">
        <w:t>sment</w:t>
      </w:r>
      <w:r w:rsidR="003A4A91" w:rsidRPr="0016463C">
        <w:t xml:space="preserve"> and costing</w:t>
      </w:r>
      <w:r w:rsidR="00F226AB" w:rsidRPr="0016463C">
        <w:t xml:space="preserve"> plans for their own job sector</w:t>
      </w:r>
      <w:r w:rsidR="003A4A91" w:rsidRPr="0016463C">
        <w:t xml:space="preserve"> for approval</w:t>
      </w:r>
      <w:r w:rsidR="00F226AB" w:rsidRPr="0016463C">
        <w:t xml:space="preserve">. </w:t>
      </w:r>
      <w:r w:rsidR="003A4A91" w:rsidRPr="0016463C">
        <w:t xml:space="preserve">If successful The Trailblazer receives funding and the delivery phase can </w:t>
      </w:r>
      <w:r w:rsidR="006D750F" w:rsidRPr="0016463C">
        <w:t>commence</w:t>
      </w:r>
      <w:r w:rsidR="003A4A91" w:rsidRPr="0016463C">
        <w:t xml:space="preserve">. </w:t>
      </w:r>
      <w:r w:rsidR="00FD7596" w:rsidRPr="0016463C">
        <w:t xml:space="preserve">Government funding, as of </w:t>
      </w:r>
      <w:r w:rsidR="00A82741" w:rsidRPr="0016463C">
        <w:t>31</w:t>
      </w:r>
      <w:r w:rsidR="00A82741" w:rsidRPr="0016463C">
        <w:rPr>
          <w:vertAlign w:val="superscript"/>
        </w:rPr>
        <w:t>st</w:t>
      </w:r>
      <w:r w:rsidR="00A82741" w:rsidRPr="0016463C">
        <w:t xml:space="preserve"> July</w:t>
      </w:r>
      <w:r w:rsidR="00FD7596" w:rsidRPr="0016463C">
        <w:t xml:space="preserve"> 2015, was £2 for every £1 of employer investment, up to the maximum cap</w:t>
      </w:r>
      <w:r w:rsidR="00A82741" w:rsidRPr="0016463C">
        <w:t xml:space="preserve"> </w:t>
      </w:r>
      <w:r w:rsidR="00074A34" w:rsidRPr="0016463C">
        <w:fldChar w:fldCharType="begin"/>
      </w:r>
      <w:r w:rsidR="00074A34" w:rsidRPr="0016463C">
        <w:instrText xml:space="preserve"> ADDIN EN.CITE &lt;EndNote&gt;&lt;Cite&gt;&lt;Author&gt;Skills Funding Agency&lt;/Author&gt;&lt;Year&gt;2015&lt;/Year&gt;&lt;RecNum&gt;718&lt;/RecNum&gt;&lt;DisplayText&gt;(Skills Funding Agency, 2015b)&lt;/DisplayText&gt;&lt;record&gt;&lt;rec-number&gt;718&lt;/rec-number&gt;&lt;foreign-keys&gt;&lt;key app="EN" db-id="z55xttzezxev91ewsev55ad4apzsf2pwza0p" timestamp="1441123223"&gt;718&lt;/key&gt;&lt;/foreign-keys&gt;&lt;ref-type name="Web Page"&gt;12&lt;/ref-type&gt;&lt;contributors&gt;&lt;authors&gt;&lt;author&gt;Skills Funding Agency,&lt;/author&gt;&lt;/authors&gt;&lt;/contributors&gt;&lt;titles&gt;&lt;title&gt;Trailblazer Apprenticeship Funding 2014 to 2015 Requirements for Employers - Version 2&lt;/title&gt;&lt;/titles&gt;&lt;volume&gt;2015&lt;/volume&gt;&lt;number&gt;25th August&lt;/number&gt;&lt;dates&gt;&lt;year&gt;2015&lt;/year&gt;&lt;/dates&gt;&lt;urls&gt;&lt;related-urls&gt;&lt;url&gt;https://www.gov.uk/government/uploads/system/uploads/attachment_data/file/412179/Trailblazer_Apprenticeship_Funding_2014_to_2015_Requirements_for_Employers.pdf&lt;/url&gt;&lt;/related-urls&gt;&lt;/urls&gt;&lt;/record&gt;&lt;/Cite&gt;&lt;/EndNote&gt;</w:instrText>
      </w:r>
      <w:r w:rsidR="00074A34" w:rsidRPr="0016463C">
        <w:fldChar w:fldCharType="separate"/>
      </w:r>
      <w:r w:rsidR="00074A34" w:rsidRPr="0016463C">
        <w:t>(Skills Funding Agency, 2015b)</w:t>
      </w:r>
      <w:r w:rsidR="00074A34" w:rsidRPr="0016463C">
        <w:fldChar w:fldCharType="end"/>
      </w:r>
      <w:r w:rsidR="00FD7596" w:rsidRPr="0016463C">
        <w:t xml:space="preserve">. </w:t>
      </w:r>
      <w:r w:rsidR="00F226AB" w:rsidRPr="0016463C">
        <w:t>The intended outcome of this process is that a</w:t>
      </w:r>
      <w:r w:rsidR="00AD0DAE" w:rsidRPr="0016463C">
        <w:t>pprenticeships are</w:t>
      </w:r>
      <w:r w:rsidR="00F226AB" w:rsidRPr="0016463C">
        <w:t xml:space="preserve"> of</w:t>
      </w:r>
      <w:r w:rsidR="00AD0DAE" w:rsidRPr="0016463C">
        <w:t xml:space="preserve"> higher quality and more relevant to </w:t>
      </w:r>
      <w:r w:rsidR="00F226AB" w:rsidRPr="0016463C">
        <w:t xml:space="preserve">the employer’s </w:t>
      </w:r>
      <w:r w:rsidR="00AD0DAE" w:rsidRPr="0016463C">
        <w:t>industry.</w:t>
      </w:r>
      <w:r w:rsidR="003A4A91" w:rsidRPr="0016463C">
        <w:t xml:space="preserve"> </w:t>
      </w:r>
      <w:r w:rsidR="00F57FA9" w:rsidRPr="0016463C">
        <w:t xml:space="preserve">However, the head of Ofsted, Sir Michael Wilshaw, criticised apprenticeship providers claiming they accredit low-level skills and provide poor quality qualifications and that they are wasting taxpayer money </w:t>
      </w:r>
      <w:r w:rsidR="00074A34" w:rsidRPr="0016463C">
        <w:fldChar w:fldCharType="begin"/>
      </w:r>
      <w:r w:rsidR="00074A34" w:rsidRPr="0016463C">
        <w:instrText xml:space="preserve"> ADDIN EN.CITE &lt;EndNote&gt;&lt;Cite&gt;&lt;Author&gt;Jamieson&lt;/Author&gt;&lt;Year&gt;2015&lt;/Year&gt;&lt;RecNum&gt;731&lt;/RecNum&gt;&lt;DisplayText&gt;(Jamieson, 2015)&lt;/DisplayText&gt;&lt;record&gt;&lt;rec-number&gt;731&lt;/rec-number&gt;&lt;foreign-keys&gt;&lt;key app="EN" db-id="z55xttzezxev91ewsev55ad4apzsf2pwza0p" timestamp="1445172489"&gt;731&lt;/key&gt;&lt;/foreign-keys&gt;&lt;ref-type name="Web Page"&gt;12&lt;/ref-type&gt;&lt;contributors&gt;&lt;authors&gt;&lt;author&gt;Sophie Jamieson&lt;/author&gt;&lt;/authors&gt;&lt;/contributors&gt;&lt;titles&gt;&lt;title&gt;Sir Michael Wilshaw: End apprenticeships for making coffee and cleaning floors&lt;/title&gt;&lt;/titles&gt;&lt;volume&gt;2015&lt;/volume&gt;&lt;number&gt;18th October&lt;/number&gt;&lt;dates&gt;&lt;year&gt;2015&lt;/year&gt;&lt;/dates&gt;&lt;publisher&gt;Telegraph Media Group Limited&lt;/publisher&gt;&lt;urls&gt;&lt;related-urls&gt;&lt;url&gt;http://www.telegraph.co.uk/journalists/sophie-jamieson/11938409/Sir-Michael-Wilshaw-End-apprenticeships-for-making-coffee-and-cleaning-floors.html&lt;/url&gt;&lt;/related-urls&gt;&lt;/urls&gt;&lt;/record&gt;&lt;/Cite&gt;&lt;/EndNote&gt;</w:instrText>
      </w:r>
      <w:r w:rsidR="00074A34" w:rsidRPr="0016463C">
        <w:fldChar w:fldCharType="separate"/>
      </w:r>
      <w:r w:rsidR="00074A34" w:rsidRPr="0016463C">
        <w:rPr>
          <w:noProof/>
        </w:rPr>
        <w:t>(Jamieson, 2015)</w:t>
      </w:r>
      <w:r w:rsidR="00074A34" w:rsidRPr="0016463C">
        <w:fldChar w:fldCharType="end"/>
      </w:r>
      <w:r w:rsidR="00F57FA9" w:rsidRPr="0016463C">
        <w:t>.</w:t>
      </w:r>
    </w:p>
    <w:p w14:paraId="43B55A84" w14:textId="77777777" w:rsidR="00775A6E" w:rsidRPr="0016463C" w:rsidRDefault="00775A6E" w:rsidP="007D3511">
      <w:pPr>
        <w:pStyle w:val="Heading1"/>
      </w:pPr>
    </w:p>
    <w:p w14:paraId="52E09004" w14:textId="523B638A" w:rsidR="001D62B5" w:rsidRPr="0016463C" w:rsidRDefault="00FF62BC" w:rsidP="007D3511">
      <w:pPr>
        <w:pStyle w:val="Heading1"/>
      </w:pPr>
      <w:bookmarkStart w:id="6" w:name="_Toc307223412"/>
      <w:r w:rsidRPr="0016463C">
        <w:t>4</w:t>
      </w:r>
      <w:r w:rsidR="00DF4B73" w:rsidRPr="0016463C">
        <w:t>.</w:t>
      </w:r>
      <w:r w:rsidR="00DD414B" w:rsidRPr="0016463C">
        <w:t>0</w:t>
      </w:r>
      <w:r w:rsidR="00DF4B73" w:rsidRPr="0016463C">
        <w:t xml:space="preserve"> </w:t>
      </w:r>
      <w:r w:rsidR="00817D1E" w:rsidRPr="0016463C">
        <w:t xml:space="preserve">Case study: </w:t>
      </w:r>
      <w:r w:rsidR="00CB6726" w:rsidRPr="0016463C">
        <w:t xml:space="preserve">Exploration and development of a work-based learning programme for BA (Hons) </w:t>
      </w:r>
      <w:r w:rsidR="007D3511" w:rsidRPr="0016463C">
        <w:t>Web Design and Social Media</w:t>
      </w:r>
      <w:bookmarkEnd w:id="6"/>
    </w:p>
    <w:p w14:paraId="75235451" w14:textId="4B667E5F" w:rsidR="004A17DC" w:rsidRPr="0016463C" w:rsidRDefault="00616C11" w:rsidP="00727E8A">
      <w:pPr>
        <w:pStyle w:val="Heading3"/>
      </w:pPr>
      <w:bookmarkStart w:id="7" w:name="_Toc307223413"/>
      <w:r w:rsidRPr="0016463C">
        <w:t>4</w:t>
      </w:r>
      <w:r w:rsidR="009F2F5B" w:rsidRPr="0016463C">
        <w:t xml:space="preserve">.0.1 </w:t>
      </w:r>
      <w:r w:rsidR="00CF7D10" w:rsidRPr="0016463C">
        <w:t>Introduction</w:t>
      </w:r>
      <w:bookmarkEnd w:id="7"/>
      <w:r w:rsidR="00E052A8" w:rsidRPr="0016463C">
        <w:t xml:space="preserve"> </w:t>
      </w:r>
    </w:p>
    <w:p w14:paraId="1FCD0299" w14:textId="0B32C541" w:rsidR="0058574D" w:rsidRPr="0016463C" w:rsidRDefault="0027702E" w:rsidP="007D3511">
      <w:r w:rsidRPr="0016463C">
        <w:t xml:space="preserve">The Higher Education Funding Council for England (HEFCE) funded the project through its Catalyst Fund, a fund that commits up to £45 million annually </w:t>
      </w:r>
      <w:r w:rsidR="002F16F8">
        <w:t>‘</w:t>
      </w:r>
      <w:r w:rsidRPr="0016463C">
        <w:t>to drive innovation in the HE sector, enhance excellence and efficiency in HE, and support innovative solutions</w:t>
      </w:r>
      <w:r w:rsidR="002F16F8">
        <w:t>’</w:t>
      </w:r>
      <w:r w:rsidRPr="0016463C">
        <w:t xml:space="preserve"> </w:t>
      </w:r>
      <w:r w:rsidR="00074A34" w:rsidRPr="0016463C">
        <w:fldChar w:fldCharType="begin"/>
      </w:r>
      <w:r w:rsidR="00074A34" w:rsidRPr="0016463C">
        <w:instrText xml:space="preserve"> ADDIN EN.CITE &lt;EndNote&gt;&lt;Cite&gt;&lt;Author&gt;HEFCE&lt;/Author&gt;&lt;Year&gt;2014&lt;/Year&gt;&lt;RecNum&gt;703&lt;/RecNum&gt;&lt;DisplayText&gt;(HEFCE, 2014a)&lt;/DisplayText&gt;&lt;record&gt;&lt;rec-number&gt;703&lt;/rec-number&gt;&lt;foreign-keys&gt;&lt;key app="EN" db-id="z55xttzezxev91ewsev55ad4apzsf2pwza0p" timestamp="1439813077"&gt;703&lt;/key&gt;&lt;/foreign-keys&gt;&lt;ref-type name="Web Page"&gt;12&lt;/ref-type&gt;&lt;contributors&gt;&lt;authors&gt;&lt;author&gt;HEFCE,&lt;/author&gt;&lt;/authors&gt;&lt;/contributors&gt;&lt;titles&gt;&lt;title&gt;Catalyst Fund&lt;/title&gt;&lt;/titles&gt;&lt;volume&gt;2015&lt;/volume&gt;&lt;number&gt;17th August&lt;/number&gt;&lt;dates&gt;&lt;year&gt;2014&lt;/year&gt;&lt;/dates&gt;&lt;urls&gt;&lt;related-urls&gt;&lt;url&gt;http://www.hefce.ac.uk/funding/catalyst/&lt;/url&gt;&lt;/related-urls&gt;&lt;/urls&gt;&lt;/record&gt;&lt;/Cite&gt;&lt;/EndNote&gt;</w:instrText>
      </w:r>
      <w:r w:rsidR="00074A34" w:rsidRPr="0016463C">
        <w:fldChar w:fldCharType="separate"/>
      </w:r>
      <w:r w:rsidR="00074A34" w:rsidRPr="0016463C">
        <w:t>(HEFCE, 2014a)</w:t>
      </w:r>
      <w:r w:rsidR="00074A34" w:rsidRPr="0016463C">
        <w:fldChar w:fldCharType="end"/>
      </w:r>
      <w:r w:rsidR="00074A34" w:rsidRPr="0016463C">
        <w:t xml:space="preserve">. </w:t>
      </w:r>
      <w:r w:rsidR="007F6C43" w:rsidRPr="0016463C">
        <w:t xml:space="preserve">The project, </w:t>
      </w:r>
      <w:r w:rsidR="007F6C43" w:rsidRPr="0016463C">
        <w:rPr>
          <w:i/>
        </w:rPr>
        <w:t>Exploring Higher Apprenticeships in HE</w:t>
      </w:r>
      <w:r w:rsidR="007F6C43" w:rsidRPr="0016463C">
        <w:t>, was developed by Southampton Solent University in association with Creative Skillset</w:t>
      </w:r>
      <w:r w:rsidR="002F16F8">
        <w:t>. T</w:t>
      </w:r>
      <w:r w:rsidR="007F6C43" w:rsidRPr="0016463C">
        <w:t xml:space="preserve">he </w:t>
      </w:r>
      <w:r w:rsidR="00C726D8">
        <w:t xml:space="preserve">primary </w:t>
      </w:r>
      <w:r w:rsidR="007F6C43" w:rsidRPr="0016463C">
        <w:t>object</w:t>
      </w:r>
      <w:r w:rsidR="00531839" w:rsidRPr="0016463C">
        <w:t>ive</w:t>
      </w:r>
      <w:r w:rsidR="007F6C43" w:rsidRPr="0016463C">
        <w:t xml:space="preserve"> </w:t>
      </w:r>
      <w:r w:rsidR="00C726D8">
        <w:t xml:space="preserve">was to </w:t>
      </w:r>
      <w:r w:rsidR="002F16F8" w:rsidRPr="002F16F8">
        <w:t>support</w:t>
      </w:r>
      <w:r w:rsidR="002F16F8">
        <w:t xml:space="preserve"> the </w:t>
      </w:r>
      <w:r w:rsidR="007F6C43" w:rsidRPr="0016463C">
        <w:t>develop</w:t>
      </w:r>
      <w:r w:rsidR="002F16F8">
        <w:t>ment</w:t>
      </w:r>
      <w:r w:rsidR="007F6C43" w:rsidRPr="0016463C">
        <w:t xml:space="preserve"> and promoti</w:t>
      </w:r>
      <w:r w:rsidR="002F16F8">
        <w:t>on of ‘</w:t>
      </w:r>
      <w:r w:rsidR="007F6C43" w:rsidRPr="0016463C">
        <w:t>seven new Higher Apprenticeship (HA) degree programmes during a twelve-month pilot phase with an additional three months for research and evaluation</w:t>
      </w:r>
      <w:r w:rsidR="002F16F8">
        <w:t>’</w:t>
      </w:r>
      <w:r w:rsidR="007F6C43" w:rsidRPr="0016463C">
        <w:t xml:space="preserve"> </w:t>
      </w:r>
      <w:r w:rsidR="00074A34" w:rsidRPr="0016463C">
        <w:fldChar w:fldCharType="begin"/>
      </w:r>
      <w:r w:rsidR="00074A34" w:rsidRPr="0016463C">
        <w:instrText xml:space="preserve"> ADDIN EN.CITE &lt;EndNote&gt;&lt;Cite&gt;&lt;Author&gt;HEFCE&lt;/Author&gt;&lt;Year&gt;2014&lt;/Year&gt;&lt;RecNum&gt;704&lt;/RecNum&gt;&lt;DisplayText&gt;(HEFCE, 2014b)&lt;/DisplayText&gt;&lt;record&gt;&lt;rec-number&gt;704&lt;/rec-number&gt;&lt;foreign-keys&gt;&lt;key app="EN" db-id="z55xttzezxev91ewsev55ad4apzsf2pwza0p" timestamp="1439813784"&gt;704&lt;/key&gt;&lt;/foreign-keys&gt;&lt;ref-type name="Web Page"&gt;12&lt;/ref-type&gt;&lt;contributors&gt;&lt;authors&gt;&lt;author&gt;HEFCE,&lt;/author&gt;&lt;/authors&gt;&lt;/contributors&gt;&lt;titles&gt;&lt;title&gt;Southampton Solent University&lt;/title&gt;&lt;/titles&gt;&lt;volume&gt;2015&lt;/volume&gt;&lt;number&gt;17th August&lt;/number&gt;&lt;dates&gt;&lt;year&gt;2014&lt;/year&gt;&lt;/dates&gt;&lt;urls&gt;&lt;related-urls&gt;&lt;url&gt;http://www.hefce.ac.uk/funding/catalyst/projects/southamptonsolent/&lt;/url&gt;&lt;/related-urls&gt;&lt;/urls&gt;&lt;/record&gt;&lt;/Cite&gt;&lt;/EndNote&gt;</w:instrText>
      </w:r>
      <w:r w:rsidR="00074A34" w:rsidRPr="0016463C">
        <w:fldChar w:fldCharType="separate"/>
      </w:r>
      <w:r w:rsidR="00074A34" w:rsidRPr="0016463C">
        <w:t>(HEFCE, 2014b)</w:t>
      </w:r>
      <w:r w:rsidR="00074A34" w:rsidRPr="0016463C">
        <w:fldChar w:fldCharType="end"/>
      </w:r>
      <w:r w:rsidR="00074A34" w:rsidRPr="0016463C">
        <w:t xml:space="preserve">. </w:t>
      </w:r>
      <w:r w:rsidR="0058797C" w:rsidRPr="0016463C">
        <w:t>Additionally the project</w:t>
      </w:r>
      <w:r w:rsidR="002F16F8">
        <w:t xml:space="preserve">’s aim </w:t>
      </w:r>
      <w:r w:rsidR="004B6E4A">
        <w:t xml:space="preserve">was to </w:t>
      </w:r>
      <w:r w:rsidR="00376344" w:rsidRPr="0016463C">
        <w:t xml:space="preserve">establish and </w:t>
      </w:r>
      <w:r w:rsidR="00C726D8">
        <w:t xml:space="preserve">continue to </w:t>
      </w:r>
      <w:r w:rsidR="0058797C" w:rsidRPr="0016463C">
        <w:t xml:space="preserve">explore the role of universities in higher apprenticeship development </w:t>
      </w:r>
      <w:r w:rsidR="00074A34" w:rsidRPr="0016463C">
        <w:fldChar w:fldCharType="begin"/>
      </w:r>
      <w:r w:rsidR="00074A34" w:rsidRPr="0016463C">
        <w:instrText xml:space="preserve"> ADDIN EN.CITE &lt;EndNote&gt;&lt;Cite&gt;&lt;Author&gt;Anderson&lt;/Author&gt;&lt;Year&gt;2012&lt;/Year&gt;&lt;RecNum&gt;672&lt;/RecNum&gt;&lt;DisplayText&gt;(Anderson et al., 2012)&lt;/DisplayText&gt;&lt;record&gt;&lt;rec-number&gt;672&lt;/rec-number&gt;&lt;foreign-keys&gt;&lt;key app="EN" db-id="z55xttzezxev91ewsev55ad4apzsf2pwza0p" timestamp="1437382333"&gt;672&lt;/key&gt;&lt;/foreign-keys&gt;&lt;ref-type name="Journal Article"&gt;17&lt;/ref-type&gt;&lt;contributors&gt;&lt;authors&gt;&lt;author&gt;Anderson, Adrian &lt;/author&gt;&lt;author&gt;Bravenboer, Darryll&lt;/author&gt;&lt;author&gt;Hemsworth, David&lt;/author&gt;&lt;/authors&gt;&lt;/contributors&gt;&lt;titles&gt;&lt;title&gt;The role of universities in higher apprenticeship development&lt;/title&gt;&lt;secondary-title&gt;Higher Education, Skills and Work-based Learning, Media and Technology&lt;/secondary-title&gt;&lt;/titles&gt;&lt;periodical&gt;&lt;full-title&gt;Higher Education, Skills and Work-based Learning, Media and Technology&lt;/full-title&gt;&lt;/periodical&gt;&lt;pages&gt;240-255&lt;/pages&gt;&lt;volume&gt;2&lt;/volume&gt;&lt;number&gt;3&lt;/number&gt;&lt;dates&gt;&lt;year&gt;2012&lt;/year&gt;&lt;/dates&gt;&lt;urls&gt;&lt;/urls&gt;&lt;/record&gt;&lt;/Cite&gt;&lt;/EndNote&gt;</w:instrText>
      </w:r>
      <w:r w:rsidR="00074A34" w:rsidRPr="0016463C">
        <w:fldChar w:fldCharType="separate"/>
      </w:r>
      <w:r w:rsidR="00074A34" w:rsidRPr="0016463C">
        <w:rPr>
          <w:noProof/>
        </w:rPr>
        <w:t>(Anderson et al., 2012)</w:t>
      </w:r>
      <w:r w:rsidR="00074A34" w:rsidRPr="0016463C">
        <w:fldChar w:fldCharType="end"/>
      </w:r>
      <w:r w:rsidR="00074A34" w:rsidRPr="0016463C">
        <w:t>.</w:t>
      </w:r>
    </w:p>
    <w:p w14:paraId="393356F4" w14:textId="6AB16C07" w:rsidR="004A17DC" w:rsidRPr="0016463C" w:rsidRDefault="00FF62BC" w:rsidP="007B0B19">
      <w:pPr>
        <w:pStyle w:val="Heading2"/>
      </w:pPr>
      <w:bookmarkStart w:id="8" w:name="_Toc307223415"/>
      <w:r w:rsidRPr="0016463C">
        <w:t>4</w:t>
      </w:r>
      <w:r w:rsidR="00966518" w:rsidRPr="0016463C">
        <w:t>.1</w:t>
      </w:r>
      <w:r w:rsidR="00DD414B" w:rsidRPr="0016463C">
        <w:t xml:space="preserve"> </w:t>
      </w:r>
      <w:r w:rsidR="004A17DC" w:rsidRPr="0016463C">
        <w:t xml:space="preserve">Course </w:t>
      </w:r>
      <w:r w:rsidR="00EC0E0A" w:rsidRPr="0016463C">
        <w:t xml:space="preserve">development </w:t>
      </w:r>
      <w:r w:rsidR="00BF3767" w:rsidRPr="0016463C">
        <w:t xml:space="preserve">and </w:t>
      </w:r>
      <w:r w:rsidR="00EC0E0A" w:rsidRPr="0016463C">
        <w:t>structure</w:t>
      </w:r>
      <w:bookmarkEnd w:id="8"/>
    </w:p>
    <w:p w14:paraId="4640FCA2" w14:textId="590FCB72" w:rsidR="00286DEB" w:rsidRPr="0016463C" w:rsidRDefault="00113043" w:rsidP="00286DEB">
      <w:r w:rsidRPr="0016463C">
        <w:t xml:space="preserve">Development and composition of Ravensbourne’s WBL model was adapted from an existing and successful three-year, traditionally structured, BA (Hons.) Web Media Production course. </w:t>
      </w:r>
      <w:r w:rsidR="00924100">
        <w:t>Initiation of</w:t>
      </w:r>
      <w:r w:rsidRPr="0016463C">
        <w:t xml:space="preserve"> the new course, </w:t>
      </w:r>
      <w:r w:rsidRPr="0016463C">
        <w:rPr>
          <w:i/>
        </w:rPr>
        <w:t>Web Design and Social Media</w:t>
      </w:r>
      <w:r w:rsidRPr="0016463C">
        <w:t>, reflect</w:t>
      </w:r>
      <w:r w:rsidR="00CE1967">
        <w:t>s</w:t>
      </w:r>
      <w:r w:rsidRPr="0016463C">
        <w:t xml:space="preserve"> the </w:t>
      </w:r>
      <w:r w:rsidR="006528DA">
        <w:t>rapid</w:t>
      </w:r>
      <w:r w:rsidR="006528DA" w:rsidRPr="0016463C">
        <w:t xml:space="preserve"> </w:t>
      </w:r>
      <w:r w:rsidRPr="0016463C">
        <w:t xml:space="preserve">growth of social </w:t>
      </w:r>
      <w:r w:rsidR="00EC0E0A" w:rsidRPr="0016463C">
        <w:t>media-</w:t>
      </w:r>
      <w:r w:rsidRPr="0016463C">
        <w:t>orientated jobs and companies within the industry and to give the course a broader appeal</w:t>
      </w:r>
      <w:r w:rsidR="00924100">
        <w:t xml:space="preserve">, which </w:t>
      </w:r>
      <w:r w:rsidR="0035754A" w:rsidRPr="0016463C">
        <w:t>advances</w:t>
      </w:r>
      <w:r w:rsidR="00286DEB" w:rsidRPr="0016463C">
        <w:t xml:space="preserve"> </w:t>
      </w:r>
      <w:r w:rsidR="00C457D4" w:rsidRPr="0016463C">
        <w:t xml:space="preserve">the declaration of Stuart Cosgrove, </w:t>
      </w:r>
      <w:r w:rsidR="00286DEB" w:rsidRPr="0016463C">
        <w:t>Director of Creative Diversity at Channel 4</w:t>
      </w:r>
      <w:r w:rsidR="0035754A" w:rsidRPr="0016463C">
        <w:t>,</w:t>
      </w:r>
      <w:r w:rsidR="00C457D4" w:rsidRPr="0016463C">
        <w:t xml:space="preserve"> that</w:t>
      </w:r>
      <w:r w:rsidR="00286DEB" w:rsidRPr="0016463C">
        <w:t xml:space="preserve">: </w:t>
      </w:r>
    </w:p>
    <w:p w14:paraId="18ECD774" w14:textId="4DFCC69B" w:rsidR="00286DEB" w:rsidRPr="0016463C" w:rsidRDefault="00286DEB" w:rsidP="00EE58BE">
      <w:pPr>
        <w:ind w:left="720"/>
      </w:pPr>
      <w:r w:rsidRPr="0016463C">
        <w:t xml:space="preserve">web-delivered media, interactive games and mobile technologies are areas where education, research and the wider content industries can do more positive work together </w:t>
      </w:r>
      <w:r w:rsidR="00074A34" w:rsidRPr="0016463C">
        <w:fldChar w:fldCharType="begin"/>
      </w:r>
      <w:r w:rsidR="00074A34" w:rsidRPr="0016463C">
        <w:instrText xml:space="preserve"> ADDIN EN.CITE &lt;EndNote&gt;&lt;Cite&gt;&lt;Author&gt;Universities UK&lt;/Author&gt;&lt;Year&gt;2010&lt;/Year&gt;&lt;RecNum&gt;740&lt;/RecNum&gt;&lt;Prefix&gt;quoted in &lt;/Prefix&gt;&lt;Suffix&gt;:iii&lt;/Suffix&gt;&lt;DisplayText&gt;(quoted in Universities UK, 2010:iii)&lt;/DisplayText&gt;&lt;record&gt;&lt;rec-number&gt;740&lt;/rec-number&gt;&lt;foreign-keys&gt;&lt;key app="EN" db-id="z55xttzezxev91ewsev55ad4apzsf2pwza0p" timestamp="1468329849"&gt;740&lt;/key&gt;&lt;/foreign-keys&gt;&lt;ref-type name="Web Page"&gt;12&lt;/ref-type&gt;&lt;contributors&gt;&lt;authors&gt;&lt;author&gt;Universities UK,&lt;/author&gt;&lt;/authors&gt;&lt;/contributors&gt;&lt;titles&gt;&lt;title&gt;Creating Prosperity: the role of higher education in driving the UK’s creative economy&lt;/title&gt;&lt;/titles&gt;&lt;volume&gt;2016&lt;/volume&gt;&lt;number&gt;12th July&lt;/number&gt;&lt;dates&gt;&lt;year&gt;2010&lt;/year&gt;&lt;/dates&gt;&lt;publisher&gt;Universities UK&lt;/publisher&gt;&lt;urls&gt;&lt;related-urls&gt;&lt;url&gt;http://www.universitiesuk.ac.uk/policy-and-analysis/reports/Documents/2010/creating-prosperity-the-role-of-higher-education.pdf&lt;/url&gt;&lt;/related-urls&gt;&lt;/urls&gt;&lt;/record&gt;&lt;/Cite&gt;&lt;/EndNote&gt;</w:instrText>
      </w:r>
      <w:r w:rsidR="00074A34" w:rsidRPr="0016463C">
        <w:fldChar w:fldCharType="separate"/>
      </w:r>
      <w:r w:rsidR="00074A34" w:rsidRPr="0016463C">
        <w:rPr>
          <w:noProof/>
        </w:rPr>
        <w:t>(quoted in Universities UK, 2010:iii)</w:t>
      </w:r>
      <w:r w:rsidR="00074A34" w:rsidRPr="0016463C">
        <w:fldChar w:fldCharType="end"/>
      </w:r>
      <w:r w:rsidR="00074A34" w:rsidRPr="0016463C">
        <w:t>.</w:t>
      </w:r>
    </w:p>
    <w:p w14:paraId="5F18EC31" w14:textId="702C3A22" w:rsidR="00286DEB" w:rsidRPr="0016463C" w:rsidRDefault="00944926" w:rsidP="007D3511">
      <w:r w:rsidRPr="0016463C">
        <w:t xml:space="preserve">To meet the swift turn-a-round </w:t>
      </w:r>
      <w:r w:rsidR="00C457D4" w:rsidRPr="0016463C">
        <w:t xml:space="preserve">assigned </w:t>
      </w:r>
      <w:r w:rsidRPr="0016463C">
        <w:t xml:space="preserve">to the project, and the comparatively lengthy process of </w:t>
      </w:r>
      <w:r w:rsidR="00AC2BD7" w:rsidRPr="0016463C">
        <w:t>developing standards and frameworks</w:t>
      </w:r>
      <w:r w:rsidR="009C4ED6" w:rsidRPr="0016463C">
        <w:t>, describe later</w:t>
      </w:r>
      <w:r w:rsidR="00AC2BD7" w:rsidRPr="0016463C">
        <w:t>,</w:t>
      </w:r>
      <w:r w:rsidRPr="0016463C">
        <w:t xml:space="preserve"> development was conducted outside the Trailblazer programme.</w:t>
      </w:r>
      <w:r w:rsidR="00113043" w:rsidRPr="0016463C">
        <w:t xml:space="preserve"> </w:t>
      </w:r>
      <w:r w:rsidR="00C457D4" w:rsidRPr="0016463C">
        <w:t xml:space="preserve">This meant the funding model would be </w:t>
      </w:r>
      <w:r w:rsidR="00B65342" w:rsidRPr="0016463C">
        <w:t xml:space="preserve">a </w:t>
      </w:r>
      <w:r w:rsidR="00C457D4" w:rsidRPr="0016463C">
        <w:t>combination of apprentice</w:t>
      </w:r>
      <w:r w:rsidR="00BD5AE0" w:rsidRPr="0016463C">
        <w:t>ship</w:t>
      </w:r>
      <w:r w:rsidR="00C457D4" w:rsidRPr="0016463C">
        <w:t xml:space="preserve"> salary </w:t>
      </w:r>
      <w:r w:rsidR="00BD5AE0" w:rsidRPr="0016463C">
        <w:t xml:space="preserve">from the employer </w:t>
      </w:r>
      <w:r w:rsidR="00C457D4" w:rsidRPr="0016463C">
        <w:t xml:space="preserve">and student loan. The employer would pay for the work placement and the student for their tuition fees. This was a bridge between traditional and </w:t>
      </w:r>
      <w:r w:rsidR="00BD5AE0" w:rsidRPr="0016463C">
        <w:t xml:space="preserve">Trailblazer models and meant that the </w:t>
      </w:r>
      <w:r w:rsidR="00C457D4" w:rsidRPr="0016463C">
        <w:t xml:space="preserve">size of loan would be lower due to the two-year </w:t>
      </w:r>
      <w:r w:rsidR="00BD5AE0" w:rsidRPr="0016463C">
        <w:t>fast-track</w:t>
      </w:r>
      <w:r w:rsidR="00C76421">
        <w:t xml:space="preserve"> degree</w:t>
      </w:r>
      <w:r w:rsidR="00BD5AE0" w:rsidRPr="0016463C">
        <w:t>.</w:t>
      </w:r>
      <w:r w:rsidR="00C457D4" w:rsidRPr="0016463C">
        <w:t xml:space="preserve"> </w:t>
      </w:r>
    </w:p>
    <w:p w14:paraId="28D8442E" w14:textId="6CB5193B" w:rsidR="005C4612" w:rsidRPr="0016463C" w:rsidRDefault="009D46F2" w:rsidP="005C4612">
      <w:r w:rsidRPr="0016463C">
        <w:t xml:space="preserve">Due to the </w:t>
      </w:r>
      <w:r w:rsidR="001E74F2" w:rsidRPr="0016463C">
        <w:t xml:space="preserve">dual trajectory of the course, </w:t>
      </w:r>
      <w:r w:rsidRPr="0016463C">
        <w:t>condensing three years of study into two</w:t>
      </w:r>
      <w:r w:rsidR="00133250" w:rsidRPr="0016463C">
        <w:t xml:space="preserve"> and incorporati</w:t>
      </w:r>
      <w:r w:rsidR="001E74F2" w:rsidRPr="0016463C">
        <w:t>on of</w:t>
      </w:r>
      <w:r w:rsidR="00133250" w:rsidRPr="0016463C">
        <w:t xml:space="preserve"> a work-based learning element</w:t>
      </w:r>
      <w:r w:rsidR="009F6CC2" w:rsidRPr="0016463C">
        <w:t>,</w:t>
      </w:r>
      <w:r w:rsidRPr="0016463C">
        <w:t xml:space="preserve"> a number of changes were need to th</w:t>
      </w:r>
      <w:r w:rsidR="009F6CC2" w:rsidRPr="0016463C">
        <w:t>e</w:t>
      </w:r>
      <w:r w:rsidR="00133250" w:rsidRPr="0016463C">
        <w:t xml:space="preserve"> </w:t>
      </w:r>
      <w:r w:rsidR="001E74F2" w:rsidRPr="0016463C">
        <w:t xml:space="preserve">structure of </w:t>
      </w:r>
      <w:r w:rsidR="00C76421">
        <w:t>the</w:t>
      </w:r>
      <w:r w:rsidR="00C76421" w:rsidRPr="0016463C">
        <w:t xml:space="preserve"> </w:t>
      </w:r>
      <w:r w:rsidR="001E74F2" w:rsidRPr="0016463C">
        <w:t xml:space="preserve">traditional </w:t>
      </w:r>
      <w:r w:rsidR="00133250" w:rsidRPr="0016463C">
        <w:t>undergraduate degree</w:t>
      </w:r>
      <w:r w:rsidR="009F6CC2" w:rsidRPr="0016463C">
        <w:t>.</w:t>
      </w:r>
      <w:r w:rsidR="00991A85" w:rsidRPr="0016463C">
        <w:t xml:space="preserve"> </w:t>
      </w:r>
      <w:r w:rsidRPr="0016463C">
        <w:t>Consequently</w:t>
      </w:r>
      <w:r w:rsidR="00133250" w:rsidRPr="0016463C">
        <w:t>,</w:t>
      </w:r>
      <w:r w:rsidRPr="0016463C">
        <w:t xml:space="preserve"> </w:t>
      </w:r>
      <w:r w:rsidR="00991A85" w:rsidRPr="0016463C">
        <w:t xml:space="preserve">each year </w:t>
      </w:r>
      <w:r w:rsidRPr="0016463C">
        <w:t xml:space="preserve">of the course </w:t>
      </w:r>
      <w:r w:rsidR="00C76421">
        <w:t>is</w:t>
      </w:r>
      <w:r w:rsidR="00C76421" w:rsidRPr="0016463C">
        <w:t xml:space="preserve"> </w:t>
      </w:r>
      <w:r w:rsidRPr="0016463C">
        <w:t>extended to</w:t>
      </w:r>
      <w:r w:rsidR="00991A85" w:rsidRPr="0016463C">
        <w:t xml:space="preserve"> four terms, with the fourth term running over the summer pe</w:t>
      </w:r>
      <w:r w:rsidRPr="0016463C">
        <w:t xml:space="preserve">riod when </w:t>
      </w:r>
      <w:r w:rsidR="00991A85" w:rsidRPr="0016463C">
        <w:t xml:space="preserve">students </w:t>
      </w:r>
      <w:r w:rsidR="007F787C" w:rsidRPr="0016463C">
        <w:t xml:space="preserve">on three-year traditional courses </w:t>
      </w:r>
      <w:r w:rsidR="00991A85" w:rsidRPr="0016463C">
        <w:t xml:space="preserve">would be on </w:t>
      </w:r>
      <w:r w:rsidR="00577C59" w:rsidRPr="0016463C">
        <w:t>summer break</w:t>
      </w:r>
      <w:r w:rsidR="00991A85" w:rsidRPr="0016463C">
        <w:t>.</w:t>
      </w:r>
      <w:r w:rsidR="009F6CC2" w:rsidRPr="0016463C">
        <w:t xml:space="preserve"> </w:t>
      </w:r>
      <w:r w:rsidR="00FE7FAF" w:rsidRPr="0016463C">
        <w:t xml:space="preserve">The programme </w:t>
      </w:r>
      <w:r w:rsidR="00C76421">
        <w:t>is</w:t>
      </w:r>
      <w:r w:rsidR="00C76421" w:rsidRPr="0016463C">
        <w:t xml:space="preserve"> </w:t>
      </w:r>
      <w:r w:rsidR="00FE7FAF" w:rsidRPr="0016463C">
        <w:t>designed to be academically front</w:t>
      </w:r>
      <w:r w:rsidR="00B34B5C" w:rsidRPr="0016463C">
        <w:t xml:space="preserve">-loaded and </w:t>
      </w:r>
      <w:r w:rsidR="00FE7FAF" w:rsidRPr="0016463C">
        <w:t>timetabl</w:t>
      </w:r>
      <w:r w:rsidR="00B34B5C" w:rsidRPr="0016463C">
        <w:t>ing</w:t>
      </w:r>
      <w:r w:rsidR="00FE7FAF" w:rsidRPr="0016463C">
        <w:t xml:space="preserve"> paced to reflect </w:t>
      </w:r>
      <w:r w:rsidR="00B34B5C" w:rsidRPr="0016463C">
        <w:t>the</w:t>
      </w:r>
      <w:r w:rsidR="00FE7FAF" w:rsidRPr="0016463C">
        <w:t xml:space="preserve"> work-based learning </w:t>
      </w:r>
      <w:r w:rsidR="00B34B5C" w:rsidRPr="0016463C">
        <w:t>element</w:t>
      </w:r>
      <w:r w:rsidR="00CB4992" w:rsidRPr="0016463C">
        <w:t xml:space="preserve"> (see Fig. 1)</w:t>
      </w:r>
      <w:r w:rsidR="00B34B5C" w:rsidRPr="0016463C">
        <w:t xml:space="preserve">. </w:t>
      </w:r>
      <w:r w:rsidR="00377E7D">
        <w:t>C</w:t>
      </w:r>
      <w:r w:rsidR="00FE7FAF" w:rsidRPr="0016463C">
        <w:t>reating four terms per calendar year</w:t>
      </w:r>
      <w:r w:rsidR="00B34B5C" w:rsidRPr="0016463C">
        <w:t xml:space="preserve"> </w:t>
      </w:r>
      <w:r w:rsidR="00C76421" w:rsidRPr="0016463C">
        <w:t>ensure</w:t>
      </w:r>
      <w:r w:rsidR="00C76421">
        <w:t>s</w:t>
      </w:r>
      <w:r w:rsidR="00C76421" w:rsidRPr="0016463C">
        <w:t xml:space="preserve"> </w:t>
      </w:r>
      <w:r w:rsidR="00B75F31" w:rsidRPr="0016463C">
        <w:t xml:space="preserve">that </w:t>
      </w:r>
      <w:r w:rsidR="00FE7FAF" w:rsidRPr="0016463C">
        <w:t xml:space="preserve">students progress effectively in accelerated mode. </w:t>
      </w:r>
      <w:r w:rsidR="009F6CC2" w:rsidRPr="0016463C">
        <w:t xml:space="preserve">This is </w:t>
      </w:r>
      <w:r w:rsidR="00D37D78" w:rsidRPr="0016463C">
        <w:t xml:space="preserve">in </w:t>
      </w:r>
      <w:r w:rsidR="009F6CC2" w:rsidRPr="0016463C">
        <w:t>keeping with the full-</w:t>
      </w:r>
      <w:r w:rsidRPr="0016463C">
        <w:t xml:space="preserve">time working status of </w:t>
      </w:r>
      <w:r w:rsidR="00D37D78" w:rsidRPr="0016463C">
        <w:t xml:space="preserve">WBL </w:t>
      </w:r>
      <w:r w:rsidRPr="0016463C">
        <w:t>apprentice</w:t>
      </w:r>
      <w:r w:rsidR="009F6CC2" w:rsidRPr="0016463C">
        <w:t>s</w:t>
      </w:r>
      <w:r w:rsidR="00E75047" w:rsidRPr="0016463C">
        <w:t>.</w:t>
      </w:r>
    </w:p>
    <w:p w14:paraId="326C6523" w14:textId="7A95CF56" w:rsidR="004007B7" w:rsidRPr="0016463C" w:rsidRDefault="005C4612" w:rsidP="004007B7">
      <w:r w:rsidRPr="0016463C">
        <w:t xml:space="preserve">The philosophy underpinning the course development relates to the delivery of provision for individuals who are interested in a new model of </w:t>
      </w:r>
      <w:r w:rsidR="00EC0E0A" w:rsidRPr="0016463C">
        <w:t>degree-</w:t>
      </w:r>
      <w:r w:rsidRPr="0016463C">
        <w:t xml:space="preserve">level learning: intensive, work-based, blended delivery. The course </w:t>
      </w:r>
      <w:r w:rsidR="00377E7D">
        <w:t>is</w:t>
      </w:r>
      <w:r w:rsidR="00377E7D" w:rsidRPr="0016463C">
        <w:t xml:space="preserve"> </w:t>
      </w:r>
      <w:r w:rsidRPr="0016463C">
        <w:t xml:space="preserve">designed to appeal to individuals looking for a non-traditional student experience. Nonetheless, the course </w:t>
      </w:r>
      <w:r w:rsidR="00014B8F" w:rsidRPr="0016463C">
        <w:t>retains</w:t>
      </w:r>
      <w:r w:rsidR="00A7630E" w:rsidRPr="0016463C">
        <w:t xml:space="preserve"> the same amount of university-orientated</w:t>
      </w:r>
      <w:r w:rsidRPr="0016463C">
        <w:t xml:space="preserve"> learning as a three-year traditionally delivered degree course (levels 4, 5 and 6). Course work engages with theory and practice through embedded theoretical learning outcomes in practical project work.</w:t>
      </w:r>
      <w:bookmarkStart w:id="9" w:name="_Toc306556375"/>
      <w:bookmarkStart w:id="10" w:name="_Toc306636489"/>
      <w:bookmarkStart w:id="11" w:name="_Toc306641781"/>
    </w:p>
    <w:p w14:paraId="53F330AC" w14:textId="5AB6BD53" w:rsidR="003A3D63" w:rsidRPr="0016463C" w:rsidRDefault="00FF62BC" w:rsidP="003A3D63">
      <w:pPr>
        <w:pStyle w:val="Heading3"/>
      </w:pPr>
      <w:bookmarkStart w:id="12" w:name="_Toc307223416"/>
      <w:r w:rsidRPr="0016463C">
        <w:t>4</w:t>
      </w:r>
      <w:r w:rsidR="00966518" w:rsidRPr="0016463C">
        <w:t>.1</w:t>
      </w:r>
      <w:r w:rsidR="003A3D63" w:rsidRPr="0016463C">
        <w:t>.1 Boot camps</w:t>
      </w:r>
      <w:bookmarkEnd w:id="12"/>
    </w:p>
    <w:p w14:paraId="26165999" w14:textId="036D8D64" w:rsidR="003A3D63" w:rsidRPr="0016463C" w:rsidRDefault="003A3D63" w:rsidP="004007B7">
      <w:r w:rsidRPr="0016463C">
        <w:t xml:space="preserve">Another necessary introduction to the course structure </w:t>
      </w:r>
      <w:r w:rsidR="0060489C">
        <w:t>is</w:t>
      </w:r>
      <w:r w:rsidR="0060489C" w:rsidRPr="0016463C">
        <w:t xml:space="preserve"> </w:t>
      </w:r>
      <w:r w:rsidRPr="0016463C">
        <w:t>the concept of ‘boot camps’ – an intense period of learning in a higher education institution – where students are introduced to, and commence the course units. At the end of each term, students have 10–15 days of educational ‘boot camp’ sessions at Ravensbourne</w:t>
      </w:r>
      <w:r w:rsidR="00CB4992" w:rsidRPr="0016463C">
        <w:t xml:space="preserve"> (see Fig. 1)</w:t>
      </w:r>
      <w:r w:rsidRPr="0016463C">
        <w:t>. This is where the initial theoretical and practice-based parts of the unit briefs are delivered, enabling the adoption of group-based projects and activities. While the student complete</w:t>
      </w:r>
      <w:r w:rsidR="0060489C">
        <w:t>s</w:t>
      </w:r>
      <w:r w:rsidRPr="0016463C">
        <w:t xml:space="preserve"> most of the projects during the boot camps, students </w:t>
      </w:r>
      <w:r w:rsidR="00E435FE">
        <w:t>can</w:t>
      </w:r>
      <w:r w:rsidRPr="0016463C">
        <w:t xml:space="preserve">, if necessary, use any spare time during the following WBL period to finish their projects. The rest of the term is spent with their employer integrating what they have learnt. </w:t>
      </w:r>
    </w:p>
    <w:p w14:paraId="48C1908C" w14:textId="77777777" w:rsidR="0082225B" w:rsidRDefault="0082225B" w:rsidP="006129F0">
      <w:pPr>
        <w:ind w:hanging="709"/>
      </w:pPr>
      <w:bookmarkStart w:id="13" w:name="_Toc307223417"/>
      <w:bookmarkEnd w:id="9"/>
      <w:bookmarkEnd w:id="10"/>
      <w:bookmarkEnd w:id="11"/>
    </w:p>
    <w:p w14:paraId="44D3321C" w14:textId="77777777" w:rsidR="0082225B" w:rsidRDefault="0082225B" w:rsidP="006129F0">
      <w:pPr>
        <w:ind w:hanging="709"/>
      </w:pPr>
    </w:p>
    <w:p w14:paraId="7536418C" w14:textId="77777777" w:rsidR="0082225B" w:rsidRDefault="0082225B" w:rsidP="006129F0">
      <w:pPr>
        <w:ind w:hanging="709"/>
      </w:pPr>
    </w:p>
    <w:p w14:paraId="3D7D8ED9" w14:textId="77777777" w:rsidR="0082225B" w:rsidRDefault="0082225B" w:rsidP="006129F0">
      <w:pPr>
        <w:ind w:hanging="709"/>
      </w:pPr>
    </w:p>
    <w:p w14:paraId="14DDDF65" w14:textId="77777777" w:rsidR="0082225B" w:rsidRDefault="0082225B" w:rsidP="006129F0">
      <w:pPr>
        <w:ind w:hanging="709"/>
      </w:pPr>
    </w:p>
    <w:p w14:paraId="1ECFE0E3" w14:textId="77777777" w:rsidR="0082225B" w:rsidRDefault="0082225B" w:rsidP="006129F0">
      <w:pPr>
        <w:ind w:hanging="709"/>
      </w:pPr>
    </w:p>
    <w:p w14:paraId="0EC2ACCD" w14:textId="7E464FDE" w:rsidR="00303A04" w:rsidRPr="0016463C" w:rsidRDefault="00303A04" w:rsidP="006129F0">
      <w:pPr>
        <w:ind w:hanging="709"/>
      </w:pPr>
      <w:r w:rsidRPr="0016463C">
        <w:t xml:space="preserve">Fig. 1 – BA (Hons) Web Design and Social Media – Timetable </w:t>
      </w:r>
    </w:p>
    <w:p w14:paraId="5D6BE241" w14:textId="0EECB867" w:rsidR="00303A04" w:rsidRPr="0016463C" w:rsidRDefault="006129F0" w:rsidP="00303A04">
      <w:pPr>
        <w:pStyle w:val="Heading3"/>
        <w:ind w:hanging="851"/>
      </w:pPr>
      <w:r w:rsidRPr="00B634AB">
        <w:rPr>
          <w:noProof/>
          <w:lang w:val="en-US"/>
        </w:rPr>
        <w:drawing>
          <wp:inline distT="0" distB="0" distL="0" distR="0" wp14:anchorId="15CC4426" wp14:editId="65904335">
            <wp:extent cx="6484620" cy="4555067"/>
            <wp:effectExtent l="0" t="0" r="0" b="0"/>
            <wp:docPr id="2" name="Picture 2" descr="Macintosh HD:Users:tim-riley:Desktop:Web Design and Social Media Timetable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m-riley:Desktop:Web Design and Social Media TimetableB&amp;W.jpg"/>
                    <pic:cNvPicPr>
                      <a:picLocks noChangeAspect="1" noChangeArrowheads="1"/>
                    </pic:cNvPicPr>
                  </pic:nvPicPr>
                  <pic:blipFill rotWithShape="1">
                    <a:blip r:embed="rId9">
                      <a:extLst>
                        <a:ext uri="{28A0092B-C50C-407E-A947-70E740481C1C}">
                          <a14:useLocalDpi xmlns:a14="http://schemas.microsoft.com/office/drawing/2010/main" val="0"/>
                        </a:ext>
                      </a:extLst>
                    </a:blip>
                    <a:srcRect t="4588" b="4006"/>
                    <a:stretch/>
                  </pic:blipFill>
                  <pic:spPr bwMode="auto">
                    <a:xfrm>
                      <a:off x="0" y="0"/>
                      <a:ext cx="6485467" cy="4555662"/>
                    </a:xfrm>
                    <a:prstGeom prst="rect">
                      <a:avLst/>
                    </a:prstGeom>
                    <a:noFill/>
                    <a:ln>
                      <a:noFill/>
                    </a:ln>
                    <a:extLst>
                      <a:ext uri="{53640926-AAD7-44d8-BBD7-CCE9431645EC}">
                        <a14:shadowObscured xmlns:a14="http://schemas.microsoft.com/office/drawing/2010/main"/>
                      </a:ext>
                    </a:extLst>
                  </pic:spPr>
                </pic:pic>
              </a:graphicData>
            </a:graphic>
          </wp:inline>
        </w:drawing>
      </w:r>
    </w:p>
    <w:p w14:paraId="71B38358" w14:textId="6A6F2769" w:rsidR="00303A04" w:rsidRPr="0016463C" w:rsidRDefault="00303A04" w:rsidP="00651B54">
      <w:r w:rsidRPr="0016463C">
        <w:t xml:space="preserve">Fig. 3 shows the timetable of the two-year, four-term course and maps the university units to boot camps and shows the work-based learning units in the workplace. </w:t>
      </w:r>
    </w:p>
    <w:p w14:paraId="4547DB35" w14:textId="77777777" w:rsidR="00651B54" w:rsidRPr="0016463C" w:rsidRDefault="00651B54" w:rsidP="00651B54"/>
    <w:p w14:paraId="124FF80D" w14:textId="2F8A0773" w:rsidR="000A5693" w:rsidRPr="0016463C" w:rsidRDefault="00FF62BC" w:rsidP="00911D1F">
      <w:pPr>
        <w:pStyle w:val="Heading3"/>
      </w:pPr>
      <w:r w:rsidRPr="0016463C">
        <w:t>4</w:t>
      </w:r>
      <w:r w:rsidR="00DD414B" w:rsidRPr="0016463C">
        <w:t>.</w:t>
      </w:r>
      <w:r w:rsidR="00966518" w:rsidRPr="0016463C">
        <w:t>1</w:t>
      </w:r>
      <w:r w:rsidR="00DD414B" w:rsidRPr="0016463C">
        <w:t xml:space="preserve">.2 </w:t>
      </w:r>
      <w:r w:rsidR="000A5693" w:rsidRPr="0016463C">
        <w:t>Unit specifications</w:t>
      </w:r>
      <w:bookmarkEnd w:id="13"/>
    </w:p>
    <w:p w14:paraId="5E5FE3B9" w14:textId="0BBD98CA" w:rsidR="00D837F8" w:rsidRPr="0016463C" w:rsidRDefault="00440C1D" w:rsidP="00440C1D">
      <w:pPr>
        <w:spacing w:after="120"/>
        <w:rPr>
          <w:rFonts w:ascii="Arial" w:eastAsia="Arial" w:hAnsi="Arial" w:cs="Arial"/>
        </w:rPr>
      </w:pPr>
      <w:r w:rsidRPr="0016463C">
        <w:rPr>
          <w:rFonts w:ascii="Arial" w:eastAsia="Arial" w:hAnsi="Arial" w:cs="Arial"/>
        </w:rPr>
        <w:t>The course comprise</w:t>
      </w:r>
      <w:r w:rsidR="00510140">
        <w:rPr>
          <w:rFonts w:ascii="Arial" w:eastAsia="Arial" w:hAnsi="Arial" w:cs="Arial"/>
        </w:rPr>
        <w:t>s</w:t>
      </w:r>
      <w:r w:rsidRPr="0016463C">
        <w:rPr>
          <w:rFonts w:ascii="Arial" w:eastAsia="Arial" w:hAnsi="Arial" w:cs="Arial"/>
        </w:rPr>
        <w:t xml:space="preserve"> of subject specialist units, work-based learning units and core units. Subject specialist units focus on subject specialist methodologies, technologies and processes and offer</w:t>
      </w:r>
      <w:r w:rsidR="00510140">
        <w:rPr>
          <w:rFonts w:ascii="Arial" w:eastAsia="Arial" w:hAnsi="Arial" w:cs="Arial"/>
        </w:rPr>
        <w:t>s</w:t>
      </w:r>
      <w:r w:rsidRPr="0016463C">
        <w:rPr>
          <w:rFonts w:ascii="Arial" w:eastAsia="Arial" w:hAnsi="Arial" w:cs="Arial"/>
        </w:rPr>
        <w:t xml:space="preserve"> project-based learning that simulates contemporary professional practice. Knowledge and understanding of contextual and theoretical issues are delivered as an integral part of the practice based units. </w:t>
      </w:r>
      <w:r w:rsidR="00D837F8" w:rsidRPr="0016463C">
        <w:rPr>
          <w:rFonts w:ascii="Arial" w:eastAsia="Arial" w:hAnsi="Arial" w:cs="Arial"/>
        </w:rPr>
        <w:t xml:space="preserve">These units </w:t>
      </w:r>
      <w:r w:rsidR="00510140">
        <w:rPr>
          <w:rFonts w:ascii="Arial" w:eastAsia="Arial" w:hAnsi="Arial" w:cs="Arial"/>
        </w:rPr>
        <w:t>are</w:t>
      </w:r>
      <w:r w:rsidR="00510140" w:rsidRPr="0016463C">
        <w:rPr>
          <w:rFonts w:ascii="Arial" w:eastAsia="Arial" w:hAnsi="Arial" w:cs="Arial"/>
        </w:rPr>
        <w:t xml:space="preserve"> </w:t>
      </w:r>
      <w:r w:rsidR="00D837F8" w:rsidRPr="0016463C">
        <w:rPr>
          <w:rFonts w:ascii="Arial" w:eastAsia="Arial" w:hAnsi="Arial" w:cs="Arial"/>
        </w:rPr>
        <w:t>adapted from the Web Media Production course.</w:t>
      </w:r>
      <w:r w:rsidR="002704AC" w:rsidRPr="0016463C">
        <w:rPr>
          <w:rFonts w:ascii="Arial" w:eastAsia="Arial" w:hAnsi="Arial" w:cs="Arial"/>
        </w:rPr>
        <w:t xml:space="preserve"> Some delivery </w:t>
      </w:r>
      <w:r w:rsidR="00510140">
        <w:rPr>
          <w:rFonts w:ascii="Arial" w:eastAsia="Arial" w:hAnsi="Arial" w:cs="Arial"/>
        </w:rPr>
        <w:t>is intended to</w:t>
      </w:r>
      <w:r w:rsidR="00510140" w:rsidRPr="0016463C">
        <w:rPr>
          <w:rFonts w:ascii="Arial" w:eastAsia="Arial" w:hAnsi="Arial" w:cs="Arial"/>
        </w:rPr>
        <w:t xml:space="preserve"> </w:t>
      </w:r>
      <w:r w:rsidR="002704AC" w:rsidRPr="0016463C">
        <w:rPr>
          <w:rFonts w:ascii="Arial" w:eastAsia="Arial" w:hAnsi="Arial" w:cs="Arial"/>
        </w:rPr>
        <w:t xml:space="preserve">be </w:t>
      </w:r>
      <w:r w:rsidR="00587494" w:rsidRPr="0016463C">
        <w:rPr>
          <w:rFonts w:ascii="Arial" w:eastAsia="Arial" w:hAnsi="Arial" w:cs="Arial"/>
        </w:rPr>
        <w:t>internet-</w:t>
      </w:r>
      <w:r w:rsidR="002704AC" w:rsidRPr="0016463C">
        <w:rPr>
          <w:rFonts w:ascii="Arial" w:eastAsia="Arial" w:hAnsi="Arial" w:cs="Arial"/>
        </w:rPr>
        <w:t>based, including online learning using the Ravensbourne</w:t>
      </w:r>
      <w:r w:rsidR="00431DA6" w:rsidRPr="0016463C">
        <w:rPr>
          <w:rFonts w:ascii="Arial" w:eastAsia="Arial" w:hAnsi="Arial" w:cs="Arial"/>
        </w:rPr>
        <w:t xml:space="preserve"> virtual learning environment</w:t>
      </w:r>
      <w:r w:rsidR="002704AC" w:rsidRPr="0016463C">
        <w:rPr>
          <w:rFonts w:ascii="Arial" w:eastAsia="Arial" w:hAnsi="Arial" w:cs="Arial"/>
        </w:rPr>
        <w:t xml:space="preserve"> </w:t>
      </w:r>
      <w:r w:rsidR="00431DA6" w:rsidRPr="0016463C">
        <w:rPr>
          <w:rFonts w:ascii="Arial" w:eastAsia="Arial" w:hAnsi="Arial" w:cs="Arial"/>
        </w:rPr>
        <w:t>(</w:t>
      </w:r>
      <w:r w:rsidR="002704AC" w:rsidRPr="0016463C">
        <w:rPr>
          <w:rFonts w:ascii="Arial" w:eastAsia="Arial" w:hAnsi="Arial" w:cs="Arial"/>
        </w:rPr>
        <w:t>VLE</w:t>
      </w:r>
      <w:r w:rsidR="00431DA6" w:rsidRPr="0016463C">
        <w:rPr>
          <w:rFonts w:ascii="Arial" w:eastAsia="Arial" w:hAnsi="Arial" w:cs="Arial"/>
        </w:rPr>
        <w:t>)</w:t>
      </w:r>
      <w:r w:rsidR="002704AC" w:rsidRPr="0016463C">
        <w:rPr>
          <w:rFonts w:ascii="Arial" w:eastAsia="Arial" w:hAnsi="Arial" w:cs="Arial"/>
        </w:rPr>
        <w:t>.</w:t>
      </w:r>
    </w:p>
    <w:p w14:paraId="43526306" w14:textId="1175353F" w:rsidR="00440C1D" w:rsidRPr="0016463C" w:rsidRDefault="00440C1D" w:rsidP="00E467C7">
      <w:pPr>
        <w:rPr>
          <w:rFonts w:ascii="Arial" w:eastAsia="Arial" w:hAnsi="Arial" w:cs="Arial"/>
        </w:rPr>
      </w:pPr>
      <w:r w:rsidRPr="0016463C">
        <w:rPr>
          <w:rFonts w:ascii="Arial" w:eastAsia="Arial" w:hAnsi="Arial" w:cs="Arial"/>
        </w:rPr>
        <w:t>Work-based learning units</w:t>
      </w:r>
      <w:r w:rsidR="00D837F8" w:rsidRPr="0016463C">
        <w:rPr>
          <w:rFonts w:ascii="Arial" w:eastAsia="Arial" w:hAnsi="Arial" w:cs="Arial"/>
        </w:rPr>
        <w:t xml:space="preserve"> </w:t>
      </w:r>
      <w:r w:rsidR="00510140">
        <w:rPr>
          <w:rFonts w:ascii="Arial" w:eastAsia="Arial" w:hAnsi="Arial" w:cs="Arial"/>
        </w:rPr>
        <w:t>are</w:t>
      </w:r>
      <w:r w:rsidR="00510140" w:rsidRPr="0016463C">
        <w:rPr>
          <w:rFonts w:ascii="Arial" w:eastAsia="Arial" w:hAnsi="Arial" w:cs="Arial"/>
        </w:rPr>
        <w:t xml:space="preserve"> </w:t>
      </w:r>
      <w:r w:rsidR="00D837F8" w:rsidRPr="0016463C">
        <w:rPr>
          <w:rFonts w:ascii="Arial" w:eastAsia="Arial" w:hAnsi="Arial" w:cs="Arial"/>
        </w:rPr>
        <w:t>unique to this course and designed to</w:t>
      </w:r>
      <w:r w:rsidRPr="0016463C">
        <w:rPr>
          <w:rFonts w:ascii="Arial" w:eastAsia="Arial" w:hAnsi="Arial" w:cs="Arial"/>
        </w:rPr>
        <w:t xml:space="preserve"> develop knowledge and understanding of the workplace</w:t>
      </w:r>
      <w:r w:rsidR="00D837F8" w:rsidRPr="0016463C">
        <w:rPr>
          <w:rFonts w:ascii="Arial" w:eastAsia="Arial" w:hAnsi="Arial" w:cs="Arial"/>
        </w:rPr>
        <w:t>, which</w:t>
      </w:r>
      <w:r w:rsidRPr="0016463C">
        <w:rPr>
          <w:rFonts w:ascii="Arial" w:eastAsia="Arial" w:hAnsi="Arial" w:cs="Arial"/>
        </w:rPr>
        <w:t xml:space="preserve"> enable the creation of live projects in a real work environment. These units encourage the skills necessary to work conceptually, critically and develop projects independently as well as within a team. Core units additionally ensure the ability to articulate an intellectual, theoretical and critical awareness of the subject, both located in practice and in a broader context. This prevents a theory/practice dichotomy while ensuring that this aspect of learning is sufficiently weighted in the curriculum.</w:t>
      </w:r>
      <w:r w:rsidR="002704AC" w:rsidRPr="0016463C">
        <w:rPr>
          <w:rFonts w:ascii="Arial" w:eastAsia="Arial" w:hAnsi="Arial" w:cs="Arial"/>
        </w:rPr>
        <w:t xml:space="preserve"> </w:t>
      </w:r>
    </w:p>
    <w:p w14:paraId="254D91A3" w14:textId="5D4C88A3" w:rsidR="00E07B2F" w:rsidRPr="0016463C" w:rsidRDefault="00FF62BC" w:rsidP="00573BEB">
      <w:pPr>
        <w:pStyle w:val="Heading3"/>
      </w:pPr>
      <w:bookmarkStart w:id="14" w:name="_Toc307223418"/>
      <w:r w:rsidRPr="0016463C">
        <w:t>4</w:t>
      </w:r>
      <w:r w:rsidR="00DD414B" w:rsidRPr="0016463C">
        <w:t>.</w:t>
      </w:r>
      <w:r w:rsidR="00966518" w:rsidRPr="0016463C">
        <w:t>1</w:t>
      </w:r>
      <w:r w:rsidR="00DD414B" w:rsidRPr="0016463C">
        <w:t xml:space="preserve">.3 </w:t>
      </w:r>
      <w:r w:rsidR="00E07B2F" w:rsidRPr="0016463C">
        <w:t>Four work-based learning modules</w:t>
      </w:r>
      <w:bookmarkEnd w:id="14"/>
      <w:r w:rsidR="00E07B2F" w:rsidRPr="0016463C">
        <w:t xml:space="preserve"> </w:t>
      </w:r>
    </w:p>
    <w:p w14:paraId="2231B5CF" w14:textId="57F70911" w:rsidR="00636CD3" w:rsidRPr="0016463C" w:rsidRDefault="002C020D" w:rsidP="00440C1D">
      <w:r w:rsidRPr="0016463C">
        <w:rPr>
          <w:rFonts w:ascii="Arial" w:eastAsia="Arial" w:hAnsi="Arial" w:cs="Arial"/>
        </w:rPr>
        <w:t xml:space="preserve">As previously stated, the course </w:t>
      </w:r>
      <w:r w:rsidR="00510140">
        <w:rPr>
          <w:rFonts w:ascii="Arial" w:eastAsia="Arial" w:hAnsi="Arial" w:cs="Arial"/>
        </w:rPr>
        <w:t>is</w:t>
      </w:r>
      <w:r w:rsidRPr="0016463C">
        <w:rPr>
          <w:rFonts w:ascii="Arial" w:eastAsia="Arial" w:hAnsi="Arial" w:cs="Arial"/>
        </w:rPr>
        <w:t xml:space="preserve"> </w:t>
      </w:r>
      <w:r w:rsidRPr="0016463C">
        <w:t>academically front-loaded, which mean</w:t>
      </w:r>
      <w:r w:rsidR="00510140">
        <w:t>s</w:t>
      </w:r>
      <w:r w:rsidRPr="0016463C">
        <w:t xml:space="preserve"> that the WBL modules bec</w:t>
      </w:r>
      <w:r w:rsidR="00510140">
        <w:t>o</w:t>
      </w:r>
      <w:r w:rsidRPr="0016463C">
        <w:t xml:space="preserve">me more prominent and significant as the programme progressed. Therefore, levels 4 and 5 contained one WBL unit each, while level 6 contained two WBL units. The units </w:t>
      </w:r>
      <w:r w:rsidR="00510140">
        <w:t>are</w:t>
      </w:r>
      <w:r w:rsidR="00510140" w:rsidRPr="0016463C">
        <w:t xml:space="preserve"> </w:t>
      </w:r>
      <w:r w:rsidRPr="0016463C">
        <w:t xml:space="preserve">designed to build a </w:t>
      </w:r>
      <w:r w:rsidR="00BB4C85" w:rsidRPr="0016463C">
        <w:t xml:space="preserve">workplace </w:t>
      </w:r>
      <w:r w:rsidRPr="0016463C">
        <w:t xml:space="preserve">learning experience </w:t>
      </w:r>
      <w:r w:rsidR="00BB4C85" w:rsidRPr="0016463C">
        <w:t>for the student that progressed from research and group projects in year one to individual and conceptual design projects in year two.</w:t>
      </w:r>
      <w:r w:rsidR="00636CD3" w:rsidRPr="0016463C">
        <w:t xml:space="preserve"> The unit specifications </w:t>
      </w:r>
      <w:r w:rsidR="00510140">
        <w:t>are</w:t>
      </w:r>
      <w:r w:rsidR="00510140" w:rsidRPr="0016463C">
        <w:t xml:space="preserve"> </w:t>
      </w:r>
      <w:r w:rsidR="00636CD3" w:rsidRPr="0016463C">
        <w:t xml:space="preserve">robust but </w:t>
      </w:r>
      <w:r w:rsidR="00510140" w:rsidRPr="0016463C">
        <w:t>ha</w:t>
      </w:r>
      <w:r w:rsidR="00510140">
        <w:t>ve</w:t>
      </w:r>
      <w:r w:rsidR="00510140" w:rsidRPr="0016463C">
        <w:t xml:space="preserve"> </w:t>
      </w:r>
      <w:r w:rsidR="00B7266D" w:rsidRPr="0016463C">
        <w:t>a</w:t>
      </w:r>
      <w:r w:rsidR="00636CD3" w:rsidRPr="0016463C">
        <w:t xml:space="preserve"> broad context to allow a diversity of outcomes within the unit briefs.</w:t>
      </w:r>
      <w:r w:rsidR="00B7266D" w:rsidRPr="0016463C">
        <w:t xml:space="preserve"> This </w:t>
      </w:r>
      <w:r w:rsidR="00510140">
        <w:t>is</w:t>
      </w:r>
      <w:r w:rsidR="00510140" w:rsidRPr="0016463C">
        <w:t xml:space="preserve"> </w:t>
      </w:r>
      <w:r w:rsidR="00B7266D" w:rsidRPr="0016463C">
        <w:t>necessary to reflect the wide-range of disciplines within the subject area</w:t>
      </w:r>
      <w:r w:rsidR="00DF70E6" w:rsidRPr="0016463C">
        <w:t xml:space="preserve"> and the diversity of partnership employers’ needs</w:t>
      </w:r>
      <w:r w:rsidR="00B7266D" w:rsidRPr="0016463C">
        <w:t>.</w:t>
      </w:r>
    </w:p>
    <w:p w14:paraId="52C791AA" w14:textId="5EAF3E7A" w:rsidR="00E2583F" w:rsidRPr="0016463C" w:rsidRDefault="00E2583F" w:rsidP="00440C1D">
      <w:pPr>
        <w:rPr>
          <w:rFonts w:ascii="Arial" w:eastAsia="Arial" w:hAnsi="Arial" w:cs="Arial"/>
        </w:rPr>
      </w:pPr>
      <w:r w:rsidRPr="0016463C">
        <w:rPr>
          <w:rFonts w:ascii="Arial" w:eastAsia="Arial" w:hAnsi="Arial" w:cs="Arial"/>
        </w:rPr>
        <w:t>A summary is a follows:</w:t>
      </w:r>
    </w:p>
    <w:p w14:paraId="37FB042C" w14:textId="34DB734B" w:rsidR="00BB4C85" w:rsidRPr="0016463C" w:rsidRDefault="002A5552" w:rsidP="00BB4C85">
      <w:pPr>
        <w:pStyle w:val="ListParagraph"/>
        <w:numPr>
          <w:ilvl w:val="0"/>
          <w:numId w:val="16"/>
        </w:numPr>
        <w:rPr>
          <w:szCs w:val="22"/>
        </w:rPr>
      </w:pPr>
      <w:r w:rsidRPr="0016463C">
        <w:rPr>
          <w:szCs w:val="22"/>
        </w:rPr>
        <w:t xml:space="preserve">Work-based learning </w:t>
      </w:r>
      <w:r w:rsidR="00BB4C85" w:rsidRPr="0016463C">
        <w:rPr>
          <w:szCs w:val="22"/>
        </w:rPr>
        <w:t>1 – partnership employer research project (level 4)</w:t>
      </w:r>
    </w:p>
    <w:p w14:paraId="3852C455" w14:textId="00BF5A53" w:rsidR="00BB4C85" w:rsidRPr="0016463C" w:rsidRDefault="00BB4C85" w:rsidP="00BB4C85">
      <w:pPr>
        <w:pStyle w:val="ListParagraph"/>
        <w:numPr>
          <w:ilvl w:val="0"/>
          <w:numId w:val="16"/>
        </w:numPr>
        <w:rPr>
          <w:szCs w:val="22"/>
        </w:rPr>
      </w:pPr>
      <w:r w:rsidRPr="0016463C">
        <w:rPr>
          <w:szCs w:val="22"/>
        </w:rPr>
        <w:t>Work-based learning 2 –</w:t>
      </w:r>
      <w:r w:rsidR="00385865" w:rsidRPr="0016463C">
        <w:rPr>
          <w:rFonts w:ascii="Arial" w:eastAsia="Arial" w:hAnsi="Arial" w:cs="Arial"/>
          <w:szCs w:val="22"/>
        </w:rPr>
        <w:t xml:space="preserve"> </w:t>
      </w:r>
      <w:r w:rsidR="00E2583F" w:rsidRPr="0016463C">
        <w:rPr>
          <w:rFonts w:ascii="Arial" w:eastAsia="Arial" w:hAnsi="Arial" w:cs="Arial"/>
          <w:szCs w:val="22"/>
        </w:rPr>
        <w:t>defined, specific task within a team (level 5)</w:t>
      </w:r>
    </w:p>
    <w:p w14:paraId="4B62B4D0" w14:textId="2E5F47BA" w:rsidR="00BB4C85" w:rsidRPr="0016463C" w:rsidRDefault="00BB4C85" w:rsidP="00BB4C85">
      <w:pPr>
        <w:pStyle w:val="ListParagraph"/>
        <w:numPr>
          <w:ilvl w:val="0"/>
          <w:numId w:val="16"/>
        </w:numPr>
        <w:rPr>
          <w:szCs w:val="22"/>
        </w:rPr>
      </w:pPr>
      <w:r w:rsidRPr="0016463C">
        <w:rPr>
          <w:szCs w:val="22"/>
        </w:rPr>
        <w:t>Work-based learning 3</w:t>
      </w:r>
      <w:r w:rsidR="00E2583F" w:rsidRPr="0016463C">
        <w:rPr>
          <w:szCs w:val="22"/>
        </w:rPr>
        <w:t xml:space="preserve"> –</w:t>
      </w:r>
      <w:r w:rsidR="00385865" w:rsidRPr="0016463C">
        <w:rPr>
          <w:szCs w:val="22"/>
        </w:rPr>
        <w:t xml:space="preserve"> </w:t>
      </w:r>
      <w:r w:rsidR="00E2583F" w:rsidRPr="0016463C">
        <w:rPr>
          <w:szCs w:val="22"/>
        </w:rPr>
        <w:t>an individual task set by employer (level 6)</w:t>
      </w:r>
    </w:p>
    <w:p w14:paraId="2C4875BD" w14:textId="12E5C78D" w:rsidR="00911D1F" w:rsidRPr="0016463C" w:rsidRDefault="00BB4C85" w:rsidP="002A5552">
      <w:pPr>
        <w:pStyle w:val="ListParagraph"/>
        <w:numPr>
          <w:ilvl w:val="0"/>
          <w:numId w:val="16"/>
        </w:numPr>
        <w:rPr>
          <w:szCs w:val="22"/>
        </w:rPr>
      </w:pPr>
      <w:r w:rsidRPr="0016463C">
        <w:rPr>
          <w:szCs w:val="22"/>
        </w:rPr>
        <w:t>Work-based learning 4</w:t>
      </w:r>
      <w:r w:rsidR="00E2583F" w:rsidRPr="0016463C">
        <w:rPr>
          <w:szCs w:val="22"/>
        </w:rPr>
        <w:t xml:space="preserve"> – </w:t>
      </w:r>
      <w:r w:rsidR="00E2583F" w:rsidRPr="0016463C">
        <w:rPr>
          <w:rFonts w:ascii="Arial" w:eastAsia="Arial" w:hAnsi="Arial" w:cs="Arial"/>
          <w:szCs w:val="22"/>
        </w:rPr>
        <w:t>self-directed project within company (level 6)</w:t>
      </w:r>
      <w:r w:rsidR="002A5552" w:rsidRPr="0016463C">
        <w:t xml:space="preserve"> </w:t>
      </w:r>
    </w:p>
    <w:p w14:paraId="1748AB4F" w14:textId="5C22C874" w:rsidR="007C3CCF" w:rsidRPr="0016463C" w:rsidRDefault="00FF62BC" w:rsidP="00573BEB">
      <w:pPr>
        <w:pStyle w:val="Heading3"/>
      </w:pPr>
      <w:bookmarkStart w:id="15" w:name="h.gjdgxs" w:colFirst="0" w:colLast="0"/>
      <w:bookmarkStart w:id="16" w:name="_Toc307223419"/>
      <w:bookmarkEnd w:id="15"/>
      <w:r w:rsidRPr="0016463C">
        <w:t>4</w:t>
      </w:r>
      <w:r w:rsidR="00DD414B" w:rsidRPr="0016463C">
        <w:t>.</w:t>
      </w:r>
      <w:r w:rsidR="00966518" w:rsidRPr="0016463C">
        <w:t>1</w:t>
      </w:r>
      <w:r w:rsidR="00DD414B" w:rsidRPr="0016463C">
        <w:t xml:space="preserve">.4 </w:t>
      </w:r>
      <w:r w:rsidR="001C2E51" w:rsidRPr="0016463C">
        <w:t>Value of w</w:t>
      </w:r>
      <w:r w:rsidR="007C3CCF" w:rsidRPr="0016463C">
        <w:t>ork-based learning units</w:t>
      </w:r>
      <w:bookmarkEnd w:id="16"/>
    </w:p>
    <w:p w14:paraId="47DA3701" w14:textId="3B23B50E" w:rsidR="009208B9" w:rsidRPr="0016463C" w:rsidRDefault="00C02722" w:rsidP="002A5552">
      <w:r w:rsidRPr="0016463C">
        <w:t>Aims of the WBL units are to gradually develop practical, creative and conceptualising skills that, alongside the core academic skills, form a</w:t>
      </w:r>
      <w:r w:rsidR="00CF4616" w:rsidRPr="0016463C">
        <w:t>n</w:t>
      </w:r>
      <w:r w:rsidRPr="0016463C">
        <w:t xml:space="preserve"> individual capable of a high level of innovation. Thus, the</w:t>
      </w:r>
      <w:r w:rsidR="009208B9" w:rsidRPr="0016463C">
        <w:t xml:space="preserve"> </w:t>
      </w:r>
      <w:r w:rsidRPr="0016463C">
        <w:t xml:space="preserve">four </w:t>
      </w:r>
      <w:r w:rsidR="009208B9" w:rsidRPr="0016463C">
        <w:t>WBL unit</w:t>
      </w:r>
      <w:r w:rsidRPr="0016463C">
        <w:t>s</w:t>
      </w:r>
      <w:r w:rsidR="009208B9" w:rsidRPr="0016463C">
        <w:t xml:space="preserve"> </w:t>
      </w:r>
      <w:r w:rsidR="00510140">
        <w:t xml:space="preserve">are </w:t>
      </w:r>
      <w:r w:rsidRPr="0016463C">
        <w:t>crucial in:</w:t>
      </w:r>
      <w:r w:rsidR="009208B9" w:rsidRPr="0016463C">
        <w:t xml:space="preserve"> </w:t>
      </w:r>
    </w:p>
    <w:p w14:paraId="6B3F3534" w14:textId="77777777" w:rsidR="002A5552" w:rsidRPr="0016463C" w:rsidRDefault="002A5552" w:rsidP="002A5552">
      <w:pPr>
        <w:widowControl w:val="0"/>
        <w:spacing w:after="0"/>
      </w:pPr>
    </w:p>
    <w:p w14:paraId="6EB326CB" w14:textId="626F6603" w:rsidR="002A5552" w:rsidRPr="0016463C" w:rsidRDefault="00F508B7" w:rsidP="002A5552">
      <w:pPr>
        <w:pStyle w:val="ListParagraph"/>
        <w:numPr>
          <w:ilvl w:val="0"/>
          <w:numId w:val="15"/>
        </w:numPr>
      </w:pPr>
      <w:r w:rsidRPr="0016463C">
        <w:t>O</w:t>
      </w:r>
      <w:r w:rsidR="002A5552" w:rsidRPr="0016463C">
        <w:t>ffer</w:t>
      </w:r>
      <w:r w:rsidR="00C02722" w:rsidRPr="0016463C">
        <w:t>ing</w:t>
      </w:r>
      <w:r w:rsidR="002A5552" w:rsidRPr="0016463C">
        <w:t xml:space="preserve"> a practical and intellectual vehicle through which the student can creatively explore, in depth, complex practical and intellectual ideas.</w:t>
      </w:r>
    </w:p>
    <w:p w14:paraId="73B82F36" w14:textId="2C4E1781" w:rsidR="002A5552" w:rsidRPr="0016463C" w:rsidRDefault="00F508B7" w:rsidP="002A5552">
      <w:pPr>
        <w:pStyle w:val="ListParagraph"/>
        <w:numPr>
          <w:ilvl w:val="0"/>
          <w:numId w:val="15"/>
        </w:numPr>
      </w:pPr>
      <w:r w:rsidRPr="0016463C">
        <w:t>U</w:t>
      </w:r>
      <w:r w:rsidR="00C02722" w:rsidRPr="0016463C">
        <w:t>ndertaking</w:t>
      </w:r>
      <w:r w:rsidR="002A5552" w:rsidRPr="0016463C">
        <w:t xml:space="preserve"> a personal project or projects in the workplace alongside the technical, practical and intellectual support of the </w:t>
      </w:r>
      <w:r w:rsidR="00CF1070" w:rsidRPr="0016463C">
        <w:t>university</w:t>
      </w:r>
      <w:r w:rsidR="002A5552" w:rsidRPr="0016463C">
        <w:t>.</w:t>
      </w:r>
    </w:p>
    <w:p w14:paraId="7BF81E01" w14:textId="1E4927BF" w:rsidR="002A5552" w:rsidRPr="0016463C" w:rsidRDefault="00F508B7" w:rsidP="002A5552">
      <w:pPr>
        <w:pStyle w:val="ListParagraph"/>
        <w:numPr>
          <w:ilvl w:val="0"/>
          <w:numId w:val="15"/>
        </w:numPr>
      </w:pPr>
      <w:r w:rsidRPr="0016463C">
        <w:t>C</w:t>
      </w:r>
      <w:r w:rsidR="002A5552" w:rsidRPr="0016463C">
        <w:t>reat</w:t>
      </w:r>
      <w:r w:rsidR="00C02722" w:rsidRPr="0016463C">
        <w:t>ing</w:t>
      </w:r>
      <w:r w:rsidR="002A5552" w:rsidRPr="0016463C">
        <w:t xml:space="preserve"> a significant self-directed industry project that will aid the continuation of employment with the partnership employer or aid in their quest for employment during and after graduation.</w:t>
      </w:r>
    </w:p>
    <w:p w14:paraId="6442ACC1" w14:textId="77867A1D" w:rsidR="00F508B7" w:rsidRPr="0016463C" w:rsidRDefault="00F508B7" w:rsidP="00F508B7">
      <w:pPr>
        <w:pStyle w:val="ListParagraph"/>
        <w:numPr>
          <w:ilvl w:val="0"/>
          <w:numId w:val="15"/>
        </w:numPr>
      </w:pPr>
      <w:r w:rsidRPr="0016463C">
        <w:t>Building a portfolio of real-world industry produced work.</w:t>
      </w:r>
    </w:p>
    <w:p w14:paraId="1DEA3721" w14:textId="2BD13EFC" w:rsidR="00215B3A" w:rsidRPr="0016463C" w:rsidRDefault="00F508B7" w:rsidP="00215B3A">
      <w:pPr>
        <w:pStyle w:val="ListParagraph"/>
        <w:numPr>
          <w:ilvl w:val="0"/>
          <w:numId w:val="15"/>
        </w:numPr>
      </w:pPr>
      <w:r w:rsidRPr="0016463C">
        <w:t>Gaining valuable experience and knowledge of working in their chosen industry.</w:t>
      </w:r>
    </w:p>
    <w:p w14:paraId="16081768" w14:textId="39B8ADDA" w:rsidR="001B6BBA" w:rsidRPr="0016463C" w:rsidRDefault="00351A91" w:rsidP="00F123F3">
      <w:r w:rsidRPr="0016463C">
        <w:t xml:space="preserve">The work-based curriculum </w:t>
      </w:r>
      <w:r w:rsidR="001570BA" w:rsidRPr="0016463C">
        <w:t>w</w:t>
      </w:r>
      <w:r w:rsidR="001570BA">
        <w:t>ill</w:t>
      </w:r>
      <w:r w:rsidR="001570BA" w:rsidRPr="0016463C">
        <w:t xml:space="preserve"> </w:t>
      </w:r>
      <w:r w:rsidRPr="0016463C">
        <w:t xml:space="preserve">continue to develop in partnership with the employers, so they have equal ownership of the content. Ravensbourne </w:t>
      </w:r>
      <w:r w:rsidR="001570BA" w:rsidRPr="0016463C">
        <w:t>w</w:t>
      </w:r>
      <w:r w:rsidR="001570BA">
        <w:t>ill</w:t>
      </w:r>
      <w:r w:rsidR="001570BA" w:rsidRPr="0016463C">
        <w:t xml:space="preserve"> </w:t>
      </w:r>
      <w:r w:rsidRPr="0016463C">
        <w:t>then ensure any changes me</w:t>
      </w:r>
      <w:r w:rsidR="0054025F" w:rsidRPr="0016463C">
        <w:t>e</w:t>
      </w:r>
      <w:r w:rsidRPr="0016463C">
        <w:t xml:space="preserve">t academic standards outlined in the programme specification. Regular meetings </w:t>
      </w:r>
      <w:r w:rsidR="001570BA" w:rsidRPr="0016463C">
        <w:t>w</w:t>
      </w:r>
      <w:r w:rsidR="001570BA">
        <w:t>ill</w:t>
      </w:r>
      <w:r w:rsidR="001570BA" w:rsidRPr="0016463C">
        <w:t xml:space="preserve"> </w:t>
      </w:r>
      <w:r w:rsidRPr="0016463C">
        <w:t>be held with each employer to monitor student progress and ensure progress follows agreed patterns.</w:t>
      </w:r>
    </w:p>
    <w:p w14:paraId="03E464EB" w14:textId="3D70F1EB" w:rsidR="00F82663" w:rsidRPr="0016463C" w:rsidRDefault="00FF62BC" w:rsidP="007B0B19">
      <w:pPr>
        <w:pStyle w:val="Heading2"/>
      </w:pPr>
      <w:bookmarkStart w:id="17" w:name="_Toc307223423"/>
      <w:r w:rsidRPr="0016463C">
        <w:t>4</w:t>
      </w:r>
      <w:r w:rsidR="00DD414B" w:rsidRPr="0016463C">
        <w:t>.</w:t>
      </w:r>
      <w:r w:rsidR="00966518" w:rsidRPr="0016463C">
        <w:t>2</w:t>
      </w:r>
      <w:r w:rsidR="00DD414B" w:rsidRPr="0016463C">
        <w:t xml:space="preserve"> </w:t>
      </w:r>
      <w:r w:rsidR="00F82663" w:rsidRPr="0016463C">
        <w:t>Student recruitment</w:t>
      </w:r>
      <w:bookmarkEnd w:id="17"/>
    </w:p>
    <w:p w14:paraId="043AE8A9" w14:textId="30FD8DCD" w:rsidR="008906D3" w:rsidRPr="0016463C" w:rsidRDefault="00442B17" w:rsidP="0018341A">
      <w:r w:rsidRPr="0016463C">
        <w:t>Skillset set t</w:t>
      </w:r>
      <w:r w:rsidR="006641C4" w:rsidRPr="0016463C">
        <w:t xml:space="preserve">he initial </w:t>
      </w:r>
      <w:r w:rsidR="004C48C6" w:rsidRPr="0016463C">
        <w:t xml:space="preserve">recruitment </w:t>
      </w:r>
      <w:r w:rsidR="006641C4" w:rsidRPr="0016463C">
        <w:t>t</w:t>
      </w:r>
      <w:r w:rsidR="006838DA" w:rsidRPr="0016463C">
        <w:t>arget</w:t>
      </w:r>
      <w:r w:rsidR="004C48C6" w:rsidRPr="0016463C">
        <w:t xml:space="preserve"> </w:t>
      </w:r>
      <w:r w:rsidRPr="0016463C">
        <w:t>at</w:t>
      </w:r>
      <w:r w:rsidR="00517538" w:rsidRPr="0016463C">
        <w:t xml:space="preserve"> 16</w:t>
      </w:r>
      <w:r w:rsidR="006838DA" w:rsidRPr="0016463C">
        <w:t xml:space="preserve"> </w:t>
      </w:r>
      <w:r w:rsidR="004C48C6" w:rsidRPr="0016463C">
        <w:t>students, which was expected to rise to around 25 in subsequent years</w:t>
      </w:r>
      <w:r w:rsidR="006838DA" w:rsidRPr="0016463C">
        <w:t xml:space="preserve">. </w:t>
      </w:r>
      <w:r w:rsidRPr="0016463C">
        <w:t>The a</w:t>
      </w:r>
      <w:r w:rsidR="006641C4" w:rsidRPr="0016463C">
        <w:t xml:space="preserve">pplication process was </w:t>
      </w:r>
      <w:r w:rsidRPr="0016463C">
        <w:t xml:space="preserve">conducted </w:t>
      </w:r>
      <w:r w:rsidR="006641C4" w:rsidRPr="0016463C">
        <w:t xml:space="preserve">through </w:t>
      </w:r>
      <w:r w:rsidR="00C3317E" w:rsidRPr="0016463C">
        <w:t>Universities and Colleges Admissions Service (</w:t>
      </w:r>
      <w:r w:rsidR="006641C4" w:rsidRPr="0016463C">
        <w:t>UCA</w:t>
      </w:r>
      <w:r w:rsidR="00C13B6F" w:rsidRPr="0016463C">
        <w:t>S</w:t>
      </w:r>
      <w:r w:rsidR="00C3317E" w:rsidRPr="0016463C">
        <w:t>)</w:t>
      </w:r>
      <w:r w:rsidR="00C13B6F" w:rsidRPr="0016463C">
        <w:t>. L</w:t>
      </w:r>
      <w:r w:rsidR="006641C4" w:rsidRPr="0016463C">
        <w:t>ittle</w:t>
      </w:r>
      <w:r w:rsidR="00C13B6F" w:rsidRPr="0016463C">
        <w:t xml:space="preserve"> was done in the way of marketing the course but</w:t>
      </w:r>
      <w:r w:rsidR="006641C4" w:rsidRPr="0016463C">
        <w:t xml:space="preserve"> details were available on</w:t>
      </w:r>
      <w:r w:rsidR="00B807F7" w:rsidRPr="0016463C">
        <w:t xml:space="preserve"> the</w:t>
      </w:r>
      <w:r w:rsidR="006641C4" w:rsidRPr="0016463C">
        <w:t xml:space="preserve"> Ravensbourne website</w:t>
      </w:r>
      <w:r w:rsidR="00C13B6F" w:rsidRPr="0016463C">
        <w:t xml:space="preserve"> and in the prospectus</w:t>
      </w:r>
      <w:r w:rsidR="006641C4" w:rsidRPr="0016463C">
        <w:t xml:space="preserve">, with the words, ‘subject to validation’. </w:t>
      </w:r>
      <w:r w:rsidRPr="0016463C">
        <w:t xml:space="preserve">Despite this, interest and applications for the course were exceptional. </w:t>
      </w:r>
      <w:r w:rsidR="006641C4" w:rsidRPr="0016463C">
        <w:t>As of February</w:t>
      </w:r>
      <w:r w:rsidR="006838DA" w:rsidRPr="0016463C">
        <w:t xml:space="preserve"> 2015</w:t>
      </w:r>
      <w:r w:rsidR="006641C4" w:rsidRPr="0016463C">
        <w:t xml:space="preserve"> applications had risen to 30</w:t>
      </w:r>
      <w:r w:rsidR="006838DA" w:rsidRPr="0016463C">
        <w:t xml:space="preserve"> without the </w:t>
      </w:r>
      <w:r w:rsidR="00C13B6F" w:rsidRPr="0016463C">
        <w:t>course having been validated</w:t>
      </w:r>
      <w:r w:rsidR="006838DA" w:rsidRPr="0016463C">
        <w:t xml:space="preserve">. </w:t>
      </w:r>
      <w:r w:rsidRPr="0016463C">
        <w:t xml:space="preserve">This was higher than </w:t>
      </w:r>
      <w:r w:rsidR="005F70D9" w:rsidRPr="0016463C">
        <w:t xml:space="preserve">the average for </w:t>
      </w:r>
      <w:r w:rsidR="00C3317E" w:rsidRPr="0016463C">
        <w:t xml:space="preserve">traditionally orientated three-year BA (Hons.) </w:t>
      </w:r>
      <w:r w:rsidR="005F70D9" w:rsidRPr="0016463C">
        <w:t xml:space="preserve">Web Media Production. </w:t>
      </w:r>
    </w:p>
    <w:p w14:paraId="4E037F96" w14:textId="529A5D3D" w:rsidR="00C13B6F" w:rsidRPr="0016463C" w:rsidRDefault="00C13B6F" w:rsidP="00C13B6F">
      <w:r w:rsidRPr="0016463C">
        <w:t>Of the 30 students that applied 26 were interviewed (four applicants failed to present themselves for interview). Interviews were conducted in three one-</w:t>
      </w:r>
      <w:r w:rsidR="00442B17" w:rsidRPr="0016463C">
        <w:t>day sessions for ten applicants</w:t>
      </w:r>
      <w:r w:rsidRPr="0016463C">
        <w:t>.</w:t>
      </w:r>
      <w:r w:rsidR="00930652" w:rsidRPr="0016463C">
        <w:t xml:space="preserve"> </w:t>
      </w:r>
      <w:r w:rsidR="005F70D9" w:rsidRPr="0016463C">
        <w:t xml:space="preserve">Many of the </w:t>
      </w:r>
      <w:r w:rsidR="005D4F03" w:rsidRPr="0016463C">
        <w:t xml:space="preserve">students </w:t>
      </w:r>
      <w:r w:rsidR="00682C7F" w:rsidRPr="0016463C">
        <w:t xml:space="preserve">had </w:t>
      </w:r>
      <w:r w:rsidR="005F70D9" w:rsidRPr="0016463C">
        <w:t>design</w:t>
      </w:r>
      <w:r w:rsidR="00682C7F" w:rsidRPr="0016463C">
        <w:t xml:space="preserve">-orientated backgrounds </w:t>
      </w:r>
      <w:r w:rsidR="005F70D9" w:rsidRPr="0016463C">
        <w:t xml:space="preserve">(graphic design, layout, multi-platform branding) but not necessarily coding. They understood the importance of designing for the internet. </w:t>
      </w:r>
      <w:r w:rsidRPr="0016463C">
        <w:t xml:space="preserve">An overwhelming proportion of candidates identified the inclusion of </w:t>
      </w:r>
      <w:r w:rsidR="00682C7F" w:rsidRPr="0016463C">
        <w:t>‘</w:t>
      </w:r>
      <w:r w:rsidRPr="0016463C">
        <w:t>social media</w:t>
      </w:r>
      <w:r w:rsidR="00682C7F" w:rsidRPr="0016463C">
        <w:t>’</w:t>
      </w:r>
      <w:r w:rsidRPr="0016463C">
        <w:t xml:space="preserve"> in the </w:t>
      </w:r>
      <w:r w:rsidR="005F70D9" w:rsidRPr="0016463C">
        <w:t xml:space="preserve">course </w:t>
      </w:r>
      <w:r w:rsidRPr="0016463C">
        <w:t>title as being a</w:t>
      </w:r>
      <w:r w:rsidR="005D4F03" w:rsidRPr="0016463C">
        <w:t>n</w:t>
      </w:r>
      <w:r w:rsidRPr="0016463C">
        <w:t xml:space="preserve"> </w:t>
      </w:r>
      <w:r w:rsidR="005F70D9" w:rsidRPr="0016463C">
        <w:t xml:space="preserve">important </w:t>
      </w:r>
      <w:r w:rsidR="005B37E4" w:rsidRPr="005B37E4">
        <w:t>enticement</w:t>
      </w:r>
      <w:r w:rsidR="005B37E4">
        <w:t xml:space="preserve"> </w:t>
      </w:r>
      <w:r w:rsidR="00346448" w:rsidRPr="0016463C">
        <w:t xml:space="preserve">in applying for the course. </w:t>
      </w:r>
      <w:r w:rsidR="00682C7F" w:rsidRPr="0016463C">
        <w:t>T</w:t>
      </w:r>
      <w:r w:rsidRPr="0016463C">
        <w:t xml:space="preserve">his </w:t>
      </w:r>
      <w:r w:rsidR="00A90F78" w:rsidRPr="0016463C">
        <w:t>identified</w:t>
      </w:r>
      <w:r w:rsidR="005F70D9" w:rsidRPr="0016463C">
        <w:t xml:space="preserve"> social media </w:t>
      </w:r>
      <w:r w:rsidR="00682C7F" w:rsidRPr="0016463C">
        <w:t>a</w:t>
      </w:r>
      <w:r w:rsidR="005F70D9" w:rsidRPr="0016463C">
        <w:t>s a</w:t>
      </w:r>
      <w:r w:rsidRPr="0016463C">
        <w:t xml:space="preserve"> </w:t>
      </w:r>
      <w:r w:rsidR="005F70D9" w:rsidRPr="0016463C">
        <w:t xml:space="preserve">genuine field </w:t>
      </w:r>
      <w:r w:rsidRPr="0016463C">
        <w:t>of study and practice that is attractive and of value to students. It must be noted that all candidates</w:t>
      </w:r>
      <w:r w:rsidR="00F41225" w:rsidRPr="0016463C">
        <w:t xml:space="preserve"> </w:t>
      </w:r>
      <w:r w:rsidRPr="0016463C">
        <w:t xml:space="preserve">cited the work-based learning and fast track aspects </w:t>
      </w:r>
      <w:r w:rsidR="000B55FA">
        <w:t>of</w:t>
      </w:r>
      <w:r w:rsidR="000B55FA" w:rsidRPr="0016463C">
        <w:t xml:space="preserve"> </w:t>
      </w:r>
      <w:r w:rsidR="005F70D9" w:rsidRPr="0016463C">
        <w:t xml:space="preserve">the course </w:t>
      </w:r>
      <w:r w:rsidR="000B55FA">
        <w:t xml:space="preserve">as </w:t>
      </w:r>
      <w:r w:rsidR="005F70D9" w:rsidRPr="0016463C">
        <w:t xml:space="preserve">highly appealing. </w:t>
      </w:r>
    </w:p>
    <w:p w14:paraId="6F2FE61F" w14:textId="7470F9C4" w:rsidR="00E51589" w:rsidRPr="0016463C" w:rsidRDefault="00FF62BC" w:rsidP="00E51589">
      <w:pPr>
        <w:pStyle w:val="Heading3"/>
      </w:pPr>
      <w:bookmarkStart w:id="18" w:name="_Toc307223425"/>
      <w:r w:rsidRPr="0016463C">
        <w:t>4</w:t>
      </w:r>
      <w:r w:rsidR="000F4B88" w:rsidRPr="0016463C">
        <w:t>.</w:t>
      </w:r>
      <w:r w:rsidR="00966518" w:rsidRPr="0016463C">
        <w:t>2</w:t>
      </w:r>
      <w:r w:rsidR="00A9314B" w:rsidRPr="0016463C">
        <w:t>.1</w:t>
      </w:r>
      <w:r w:rsidR="000F4B88" w:rsidRPr="0016463C">
        <w:t xml:space="preserve"> </w:t>
      </w:r>
      <w:r w:rsidR="00E51589" w:rsidRPr="0016463C">
        <w:t xml:space="preserve">Interviews </w:t>
      </w:r>
      <w:r w:rsidR="00884E33" w:rsidRPr="0016463C">
        <w:t xml:space="preserve">and </w:t>
      </w:r>
      <w:r w:rsidR="00330695" w:rsidRPr="0016463C">
        <w:t xml:space="preserve">applicant </w:t>
      </w:r>
      <w:r w:rsidR="00E51589" w:rsidRPr="0016463C">
        <w:t>suitability</w:t>
      </w:r>
      <w:bookmarkEnd w:id="18"/>
      <w:r w:rsidR="00E51589" w:rsidRPr="0016463C">
        <w:t xml:space="preserve"> </w:t>
      </w:r>
    </w:p>
    <w:p w14:paraId="7A282A85" w14:textId="2D1F101D" w:rsidR="00F24409" w:rsidRPr="0016463C" w:rsidRDefault="00816231" w:rsidP="00C13B6F">
      <w:r w:rsidRPr="0016463C">
        <w:t>As envisaged at the early stages of this process, the course</w:t>
      </w:r>
      <w:r w:rsidR="005B37E4" w:rsidRPr="0016463C">
        <w:t xml:space="preserve"> </w:t>
      </w:r>
      <w:r w:rsidR="00682C7F" w:rsidRPr="0016463C">
        <w:t>design</w:t>
      </w:r>
      <w:r w:rsidR="005B37E4">
        <w:t xml:space="preserve"> must</w:t>
      </w:r>
      <w:r w:rsidR="00682C7F" w:rsidRPr="0016463C">
        <w:t xml:space="preserve"> </w:t>
      </w:r>
      <w:r w:rsidRPr="0016463C">
        <w:t xml:space="preserve">be appropriate to </w:t>
      </w:r>
      <w:r w:rsidR="00330695" w:rsidRPr="0016463C">
        <w:t xml:space="preserve">a </w:t>
      </w:r>
      <w:r w:rsidRPr="0016463C">
        <w:t>person with particular educational needs. This may be an individual with some experience working in the industry</w:t>
      </w:r>
      <w:r w:rsidR="00330695" w:rsidRPr="0016463C">
        <w:t>,</w:t>
      </w:r>
      <w:r w:rsidRPr="0016463C">
        <w:t xml:space="preserve"> or one who wanted a different educational experience </w:t>
      </w:r>
      <w:r w:rsidR="00330695" w:rsidRPr="0016463C">
        <w:t xml:space="preserve">than </w:t>
      </w:r>
      <w:r w:rsidRPr="0016463C">
        <w:t xml:space="preserve">that </w:t>
      </w:r>
      <w:r w:rsidR="00330695" w:rsidRPr="0016463C">
        <w:t xml:space="preserve">of a </w:t>
      </w:r>
      <w:r w:rsidRPr="0016463C">
        <w:t>traditional student.</w:t>
      </w:r>
      <w:r w:rsidR="0039068D" w:rsidRPr="0016463C">
        <w:t xml:space="preserve"> It was also necessary to consider the needs of the employer in this </w:t>
      </w:r>
      <w:r w:rsidR="00163015" w:rsidRPr="00240464">
        <w:t>procedure</w:t>
      </w:r>
      <w:r w:rsidR="009C4029" w:rsidRPr="0016463C">
        <w:t>. Therefore, assessment of candidate’s suitability to undertake work and learning with partnership employers was vital.</w:t>
      </w:r>
      <w:r w:rsidR="0039068D" w:rsidRPr="0016463C">
        <w:t xml:space="preserve"> </w:t>
      </w:r>
    </w:p>
    <w:p w14:paraId="664AE27F" w14:textId="1271A666" w:rsidR="0039068D" w:rsidRPr="0016463C" w:rsidRDefault="004130C4" w:rsidP="00E467C7">
      <w:r w:rsidRPr="0016463C">
        <w:t>The universities minimum requirements for entry – GCSE English and Maths and 2 A-Levels grade C or above, or equivalent – were observed. However, as this is a visually creative content production course, the student’s portfolio of work is an important component in assessing suitability. Consequently, and in exceptional circumstances, a student with an outstanding portfolio might be given concessions and offered a place.</w:t>
      </w:r>
    </w:p>
    <w:p w14:paraId="4ED7F016" w14:textId="1626F7CB" w:rsidR="00117B1A" w:rsidRPr="0016463C" w:rsidRDefault="00FF62BC" w:rsidP="00E51589">
      <w:pPr>
        <w:pStyle w:val="Heading3"/>
      </w:pPr>
      <w:bookmarkStart w:id="19" w:name="_Toc307223426"/>
      <w:r w:rsidRPr="0016463C">
        <w:t>4</w:t>
      </w:r>
      <w:r w:rsidR="000F4B88" w:rsidRPr="0016463C">
        <w:t>.</w:t>
      </w:r>
      <w:r w:rsidR="00966518" w:rsidRPr="0016463C">
        <w:t>2</w:t>
      </w:r>
      <w:r w:rsidR="00A9314B" w:rsidRPr="0016463C">
        <w:t>.2</w:t>
      </w:r>
      <w:r w:rsidR="000F4B88" w:rsidRPr="0016463C">
        <w:t xml:space="preserve"> </w:t>
      </w:r>
      <w:r w:rsidR="00E51589" w:rsidRPr="0016463C">
        <w:t>Issues arising from application process</w:t>
      </w:r>
      <w:bookmarkEnd w:id="19"/>
    </w:p>
    <w:p w14:paraId="5C348E47" w14:textId="76BEE72D" w:rsidR="00E51589" w:rsidRPr="0016463C" w:rsidRDefault="00117B1A" w:rsidP="00117B1A">
      <w:r w:rsidRPr="0016463C">
        <w:t xml:space="preserve">One of the issues </w:t>
      </w:r>
      <w:r w:rsidR="005B37E4" w:rsidRPr="0016463C">
        <w:t>ar</w:t>
      </w:r>
      <w:r w:rsidR="005B37E4">
        <w:t>ising</w:t>
      </w:r>
      <w:r w:rsidR="005B37E4" w:rsidRPr="0016463C">
        <w:t xml:space="preserve"> </w:t>
      </w:r>
      <w:r w:rsidRPr="0016463C">
        <w:t xml:space="preserve">from the interview process was that </w:t>
      </w:r>
      <w:r w:rsidR="00E51589" w:rsidRPr="0016463C">
        <w:t>both Ravensbourne and partnership employer</w:t>
      </w:r>
      <w:r w:rsidR="009C7209" w:rsidRPr="0016463C">
        <w:t>s</w:t>
      </w:r>
      <w:r w:rsidR="00E51589" w:rsidRPr="0016463C">
        <w:t xml:space="preserve"> need to interview </w:t>
      </w:r>
      <w:r w:rsidR="00FE08EC" w:rsidRPr="0016463C">
        <w:t xml:space="preserve">the </w:t>
      </w:r>
      <w:r w:rsidR="009C7209" w:rsidRPr="0016463C">
        <w:t xml:space="preserve">prospective </w:t>
      </w:r>
      <w:r w:rsidR="00E51589" w:rsidRPr="0016463C">
        <w:t>student</w:t>
      </w:r>
      <w:r w:rsidR="009C7209" w:rsidRPr="0016463C">
        <w:t>/apprentice</w:t>
      </w:r>
      <w:r w:rsidR="00E51589" w:rsidRPr="0016463C">
        <w:t xml:space="preserve">. Thus, in the above scenario, </w:t>
      </w:r>
      <w:r w:rsidRPr="0016463C">
        <w:t xml:space="preserve">although students </w:t>
      </w:r>
      <w:r w:rsidR="00FE08EC" w:rsidRPr="0016463C">
        <w:t>were offered a place</w:t>
      </w:r>
      <w:r w:rsidRPr="0016463C">
        <w:t xml:space="preserve"> on the course</w:t>
      </w:r>
      <w:r w:rsidR="00FE08EC" w:rsidRPr="0016463C">
        <w:t>, this was conditional</w:t>
      </w:r>
      <w:r w:rsidRPr="0016463C">
        <w:t xml:space="preserve"> on the employers accepting them as </w:t>
      </w:r>
      <w:r w:rsidR="00FE08EC" w:rsidRPr="0016463C">
        <w:t xml:space="preserve">paid </w:t>
      </w:r>
      <w:r w:rsidRPr="0016463C">
        <w:t>apprentices. Indeed</w:t>
      </w:r>
      <w:r w:rsidR="0053304B" w:rsidRPr="0016463C">
        <w:t>,</w:t>
      </w:r>
      <w:r w:rsidR="0088156C" w:rsidRPr="0016463C">
        <w:t xml:space="preserve"> the skill </w:t>
      </w:r>
      <w:r w:rsidR="003E4911" w:rsidRPr="0016463C">
        <w:t xml:space="preserve">of </w:t>
      </w:r>
      <w:r w:rsidRPr="0016463C">
        <w:t xml:space="preserve">the interviewer </w:t>
      </w:r>
      <w:r w:rsidR="00F51236" w:rsidRPr="0016463C">
        <w:t xml:space="preserve">included </w:t>
      </w:r>
      <w:r w:rsidRPr="0016463C">
        <w:t xml:space="preserve">the ability to </w:t>
      </w:r>
      <w:r w:rsidR="00163015" w:rsidRPr="0016463C">
        <w:t xml:space="preserve">envisage </w:t>
      </w:r>
      <w:r w:rsidR="0053304B" w:rsidRPr="0016463C">
        <w:t xml:space="preserve">them prospering </w:t>
      </w:r>
      <w:r w:rsidRPr="0016463C">
        <w:t xml:space="preserve">in </w:t>
      </w:r>
      <w:r w:rsidR="0053304B" w:rsidRPr="0016463C">
        <w:t>a</w:t>
      </w:r>
      <w:r w:rsidRPr="0016463C">
        <w:t xml:space="preserve"> workplace</w:t>
      </w:r>
      <w:r w:rsidR="0053304B" w:rsidRPr="0016463C">
        <w:t xml:space="preserve"> environment</w:t>
      </w:r>
      <w:r w:rsidRPr="0016463C">
        <w:t xml:space="preserve">. </w:t>
      </w:r>
      <w:r w:rsidR="00472E48" w:rsidRPr="0016463C">
        <w:t>Hence</w:t>
      </w:r>
      <w:r w:rsidR="0088156C" w:rsidRPr="0016463C">
        <w:t xml:space="preserve"> the interview process </w:t>
      </w:r>
      <w:r w:rsidR="00D50973">
        <w:t>needs to be</w:t>
      </w:r>
      <w:r w:rsidR="00D50973" w:rsidRPr="0016463C">
        <w:t xml:space="preserve"> </w:t>
      </w:r>
      <w:r w:rsidR="0088156C" w:rsidRPr="0016463C">
        <w:t>two-fold, as well as judging the suitability of the candidate for university education i</w:t>
      </w:r>
      <w:r w:rsidRPr="0016463C">
        <w:t xml:space="preserve">t </w:t>
      </w:r>
      <w:r w:rsidR="00D50973">
        <w:t>is also an</w:t>
      </w:r>
      <w:r w:rsidRPr="0016463C">
        <w:t xml:space="preserve"> initial vetting system for employers</w:t>
      </w:r>
      <w:r w:rsidR="0088156C" w:rsidRPr="0016463C">
        <w:t>.</w:t>
      </w:r>
      <w:r w:rsidRPr="0016463C">
        <w:t xml:space="preserve"> </w:t>
      </w:r>
      <w:r w:rsidR="00D50973">
        <w:t xml:space="preserve">In Ravensbourne’s </w:t>
      </w:r>
      <w:r w:rsidR="00D50973" w:rsidRPr="00D50973">
        <w:t>circumstance</w:t>
      </w:r>
      <w:r w:rsidR="00D50973">
        <w:t>, this</w:t>
      </w:r>
      <w:r w:rsidR="00D50973" w:rsidRPr="0016463C">
        <w:t xml:space="preserve"> </w:t>
      </w:r>
      <w:r w:rsidR="00472E48" w:rsidRPr="0016463C">
        <w:t>was made doubly pertinent, as students could not be informed of the outcome of the interview due to the course not being validated and crucially until the partnership employers had deemed them suitable employees.</w:t>
      </w:r>
      <w:r w:rsidR="00C74482" w:rsidRPr="0016463C">
        <w:t xml:space="preserve"> Of course an alternative route to student </w:t>
      </w:r>
      <w:r w:rsidR="00E467C7" w:rsidRPr="0016463C">
        <w:t>recruitment</w:t>
      </w:r>
      <w:r w:rsidR="00C74482" w:rsidRPr="0016463C">
        <w:t xml:space="preserve"> </w:t>
      </w:r>
      <w:r w:rsidR="00E467C7" w:rsidRPr="0016463C">
        <w:t>could be to invert the process.</w:t>
      </w:r>
      <w:r w:rsidR="00472E48" w:rsidRPr="0016463C">
        <w:t xml:space="preserve"> </w:t>
      </w:r>
      <w:r w:rsidR="00E467C7" w:rsidRPr="0016463C">
        <w:t xml:space="preserve">In this case the employer might identify someone within or associated with the company that would benefit from </w:t>
      </w:r>
      <w:r w:rsidR="00CC64B3" w:rsidRPr="0016463C">
        <w:t>a Degree Apprenticeship</w:t>
      </w:r>
      <w:r w:rsidR="00E467C7" w:rsidRPr="0016463C">
        <w:t xml:space="preserve"> and propose </w:t>
      </w:r>
      <w:r w:rsidR="00CC64B3" w:rsidRPr="0016463C">
        <w:t>him or her</w:t>
      </w:r>
      <w:r w:rsidR="00E467C7" w:rsidRPr="0016463C">
        <w:t xml:space="preserve"> to Ravensbourne</w:t>
      </w:r>
      <w:r w:rsidR="00CC64B3" w:rsidRPr="0016463C">
        <w:t>, needing only an ‘acade</w:t>
      </w:r>
      <w:r w:rsidR="005D4F03" w:rsidRPr="0016463C">
        <w:t>mic’ interview to gain a place.</w:t>
      </w:r>
    </w:p>
    <w:p w14:paraId="0A4660FE" w14:textId="63762F32" w:rsidR="000B7B7B" w:rsidRPr="0016463C" w:rsidRDefault="00FF62BC" w:rsidP="000B7B7B">
      <w:pPr>
        <w:pStyle w:val="Heading2"/>
      </w:pPr>
      <w:r w:rsidRPr="0016463C">
        <w:t>4</w:t>
      </w:r>
      <w:r w:rsidR="000B7B7B" w:rsidRPr="0016463C">
        <w:t>.</w:t>
      </w:r>
      <w:r w:rsidR="00966518" w:rsidRPr="0016463C">
        <w:t>3</w:t>
      </w:r>
      <w:r w:rsidR="000B7B7B" w:rsidRPr="0016463C">
        <w:t xml:space="preserve"> Engaging and recruiting employers</w:t>
      </w:r>
    </w:p>
    <w:p w14:paraId="51674B6E" w14:textId="42277E45" w:rsidR="000B7B7B" w:rsidRPr="0016463C" w:rsidRDefault="000B7B7B" w:rsidP="00DF378F">
      <w:r w:rsidRPr="0016463C">
        <w:t xml:space="preserve">Engaging and recruiting employers was institutionally challenging. Much of this may have been due to the new orientation and understanding of the needs of the course and the fast turnaround necessary to recruit partnership employers. </w:t>
      </w:r>
    </w:p>
    <w:p w14:paraId="2D7A2FA3" w14:textId="090AE31E" w:rsidR="009B60E1" w:rsidRPr="0016463C" w:rsidRDefault="000B7B7B" w:rsidP="00DF378F">
      <w:r w:rsidRPr="0016463C">
        <w:t xml:space="preserve">One of the main </w:t>
      </w:r>
      <w:r w:rsidR="00DF378F" w:rsidRPr="0016463C">
        <w:t>issue</w:t>
      </w:r>
      <w:r w:rsidRPr="0016463C">
        <w:t>s</w:t>
      </w:r>
      <w:r w:rsidR="00DF378F" w:rsidRPr="0016463C">
        <w:t xml:space="preserve"> </w:t>
      </w:r>
      <w:r w:rsidR="00944B11">
        <w:t>remains</w:t>
      </w:r>
      <w:r w:rsidR="00DF378F" w:rsidRPr="0016463C">
        <w:t xml:space="preserve"> the size and diversity of the </w:t>
      </w:r>
      <w:r w:rsidR="004E395C" w:rsidRPr="0016463C">
        <w:t>web and social media sectors</w:t>
      </w:r>
      <w:r w:rsidR="00DF378F" w:rsidRPr="0016463C">
        <w:t>.</w:t>
      </w:r>
      <w:r w:rsidR="004E395C" w:rsidRPr="0016463C">
        <w:t xml:space="preserve"> These sectors, while overlapping in skills sets,</w:t>
      </w:r>
      <w:r w:rsidR="00DF378F" w:rsidRPr="0016463C">
        <w:t xml:space="preserve"> </w:t>
      </w:r>
      <w:r w:rsidR="00944B11">
        <w:t>are</w:t>
      </w:r>
      <w:r w:rsidR="00944B11" w:rsidRPr="0016463C">
        <w:t xml:space="preserve"> </w:t>
      </w:r>
      <w:r w:rsidR="004E395C" w:rsidRPr="0016463C">
        <w:t xml:space="preserve">also diverse in the range of production and content. </w:t>
      </w:r>
      <w:r w:rsidR="00DF378F" w:rsidRPr="0016463C">
        <w:t xml:space="preserve">The growth of the web industry, while rapid, is still embryonic. Consequently many employers, particularly in social media, remain small </w:t>
      </w:r>
      <w:r w:rsidR="00944B11">
        <w:t>or</w:t>
      </w:r>
      <w:r w:rsidR="00944B11" w:rsidRPr="0016463C">
        <w:t xml:space="preserve"> </w:t>
      </w:r>
      <w:r w:rsidR="004E395C" w:rsidRPr="0016463C">
        <w:t xml:space="preserve">micro </w:t>
      </w:r>
      <w:r w:rsidR="009B60E1" w:rsidRPr="0016463C">
        <w:t xml:space="preserve">business. </w:t>
      </w:r>
      <w:r w:rsidR="004E395C" w:rsidRPr="0016463C">
        <w:t xml:space="preserve">The EU defines a micro business as less than 10 employees and turnover under £2 million </w:t>
      </w:r>
      <w:r w:rsidR="00CB5A9E" w:rsidRPr="0016463C">
        <w:fldChar w:fldCharType="begin"/>
      </w:r>
      <w:r w:rsidR="00CB5A9E" w:rsidRPr="0016463C">
        <w:instrText xml:space="preserve"> ADDIN EN.CITE &lt;EndNote&gt;&lt;Cite&gt;&lt;Author&gt;The Commission of the European Communities&lt;/Author&gt;&lt;Year&gt;2003&lt;/Year&gt;&lt;RecNum&gt;737&lt;/RecNum&gt;&lt;DisplayText&gt;(The Commission of the European Communities, 2003)&lt;/DisplayText&gt;&lt;record&gt;&lt;rec-number&gt;737&lt;/rec-number&gt;&lt;foreign-keys&gt;&lt;key app="EN" db-id="z55xttzezxev91ewsev55ad4apzsf2pwza0p" timestamp="1448631769"&gt;737&lt;/key&gt;&lt;/foreign-keys&gt;&lt;ref-type name="Web Page"&gt;12&lt;/ref-type&gt;&lt;contributors&gt;&lt;authors&gt;&lt;author&gt;The Commission of the European Communities,&lt;/author&gt;&lt;/authors&gt;&lt;/contributors&gt;&lt;titles&gt;&lt;title&gt;Commission Recommendation of 6 May 2003 concerning the definition of micro, small and medium-sized enterprises &lt;/title&gt;&lt;/titles&gt;&lt;volume&gt;2015&lt;/volume&gt;&lt;number&gt;23rd September&lt;/number&gt;&lt;dates&gt;&lt;year&gt;2003&lt;/year&gt;&lt;/dates&gt;&lt;publisher&gt;European Union&lt;/publisher&gt;&lt;urls&gt;&lt;related-urls&gt;&lt;url&gt;http://eur-lex.europa.eu/legal-content/EN/TXT/?uri=celex:32003H0361&lt;/url&gt;&lt;/related-urls&gt;&lt;/urls&gt;&lt;/record&gt;&lt;/Cite&gt;&lt;/EndNote&gt;</w:instrText>
      </w:r>
      <w:r w:rsidR="00CB5A9E" w:rsidRPr="0016463C">
        <w:fldChar w:fldCharType="separate"/>
      </w:r>
      <w:r w:rsidR="00CB5A9E" w:rsidRPr="0016463C">
        <w:rPr>
          <w:noProof/>
        </w:rPr>
        <w:t>(The Commission of the European Communities, 2003)</w:t>
      </w:r>
      <w:r w:rsidR="00CB5A9E" w:rsidRPr="0016463C">
        <w:fldChar w:fldCharType="end"/>
      </w:r>
      <w:r w:rsidR="009B60E1" w:rsidRPr="0016463C">
        <w:t xml:space="preserve">. </w:t>
      </w:r>
      <w:r w:rsidR="00BC4073" w:rsidRPr="0016463C">
        <w:t xml:space="preserve">Small and micro companies </w:t>
      </w:r>
      <w:r w:rsidR="00944B11">
        <w:t xml:space="preserve">we contacted </w:t>
      </w:r>
      <w:r w:rsidR="00BC4073" w:rsidRPr="0016463C">
        <w:t>were highly responsive to the concept of work-based learning and degree apprenticeships. One such exa</w:t>
      </w:r>
      <w:r w:rsidR="00B74B5E" w:rsidRPr="0016463C">
        <w:t xml:space="preserve">mple was a social media agency. The owners </w:t>
      </w:r>
      <w:r w:rsidR="006F3E03" w:rsidRPr="0016463C">
        <w:t>understood</w:t>
      </w:r>
      <w:r w:rsidR="00BC4073" w:rsidRPr="0016463C">
        <w:t xml:space="preserve"> the potential benefit to their business not only from a skills basis but </w:t>
      </w:r>
      <w:r w:rsidR="00B74B5E" w:rsidRPr="0016463C">
        <w:t xml:space="preserve">the </w:t>
      </w:r>
      <w:r w:rsidR="00BC4073" w:rsidRPr="0016463C">
        <w:t>theoretical knowledge</w:t>
      </w:r>
      <w:r w:rsidR="00B74B5E" w:rsidRPr="0016463C">
        <w:t xml:space="preserve"> gained from the university course work. They also saw it as solution to </w:t>
      </w:r>
      <w:r w:rsidR="00180F7C" w:rsidRPr="0016463C">
        <w:t>employee</w:t>
      </w:r>
      <w:r w:rsidR="00B74B5E" w:rsidRPr="0016463C">
        <w:t xml:space="preserve"> recruitment, which was </w:t>
      </w:r>
      <w:r w:rsidR="00180F7C" w:rsidRPr="0016463C">
        <w:t>difficult within a niche market, and</w:t>
      </w:r>
      <w:r w:rsidR="00BC4073" w:rsidRPr="0016463C">
        <w:t xml:space="preserve"> the value of shaping someone to the ethos and principles of their company. </w:t>
      </w:r>
    </w:p>
    <w:p w14:paraId="185DEEEC" w14:textId="18BC2D52" w:rsidR="009B60E1" w:rsidRPr="0016463C" w:rsidRDefault="00BC4073" w:rsidP="00DF378F">
      <w:r w:rsidRPr="0016463C">
        <w:t xml:space="preserve">However, </w:t>
      </w:r>
      <w:r w:rsidR="00B74B5E" w:rsidRPr="0016463C">
        <w:t xml:space="preserve">having predominantly micro businesses as the </w:t>
      </w:r>
      <w:r w:rsidR="00180F7C" w:rsidRPr="0016463C">
        <w:t>main partnership employers</w:t>
      </w:r>
      <w:r w:rsidR="00B74B5E" w:rsidRPr="0016463C">
        <w:t xml:space="preserve"> for the course</w:t>
      </w:r>
      <w:r w:rsidRPr="0016463C">
        <w:t xml:space="preserve"> </w:t>
      </w:r>
      <w:r w:rsidR="00944B11" w:rsidRPr="0016463C">
        <w:t>create</w:t>
      </w:r>
      <w:r w:rsidR="00944B11">
        <w:t>s</w:t>
      </w:r>
      <w:r w:rsidR="00944B11" w:rsidRPr="0016463C">
        <w:t xml:space="preserve"> </w:t>
      </w:r>
      <w:r w:rsidRPr="0016463C">
        <w:t>several accumulative and administrative challenges.</w:t>
      </w:r>
      <w:r w:rsidR="00B74B5E" w:rsidRPr="0016463C">
        <w:t xml:space="preserve"> </w:t>
      </w:r>
      <w:r w:rsidR="00DF378F" w:rsidRPr="0016463C">
        <w:t xml:space="preserve">Firstly, </w:t>
      </w:r>
      <w:r w:rsidR="009B60E1" w:rsidRPr="0016463C">
        <w:t xml:space="preserve">the size of the businesses </w:t>
      </w:r>
      <w:r w:rsidR="00944B11" w:rsidRPr="0016463C">
        <w:t>dictate</w:t>
      </w:r>
      <w:r w:rsidR="00944B11">
        <w:t>s</w:t>
      </w:r>
      <w:r w:rsidR="00944B11" w:rsidRPr="0016463C">
        <w:t xml:space="preserve"> </w:t>
      </w:r>
      <w:r w:rsidR="009B60E1" w:rsidRPr="0016463C">
        <w:t xml:space="preserve">that many employers </w:t>
      </w:r>
      <w:r w:rsidR="00944B11">
        <w:t>are</w:t>
      </w:r>
      <w:r w:rsidR="00944B11" w:rsidRPr="0016463C">
        <w:t xml:space="preserve"> </w:t>
      </w:r>
      <w:r w:rsidR="009B60E1" w:rsidRPr="0016463C">
        <w:t xml:space="preserve">capable of only employing one student. Therefore, </w:t>
      </w:r>
      <w:r w:rsidR="00944B11">
        <w:t>in Ravensbourne</w:t>
      </w:r>
      <w:r w:rsidR="00D02DF6">
        <w:t>’s</w:t>
      </w:r>
      <w:r w:rsidR="00944B11">
        <w:t xml:space="preserve"> pos</w:t>
      </w:r>
      <w:r w:rsidR="00D02DF6">
        <w:t>i</w:t>
      </w:r>
      <w:r w:rsidR="00944B11">
        <w:t xml:space="preserve">tion, it was </w:t>
      </w:r>
      <w:r w:rsidR="00DF378F" w:rsidRPr="0016463C">
        <w:t xml:space="preserve">necessary </w:t>
      </w:r>
      <w:r w:rsidR="00624431" w:rsidRPr="0016463C">
        <w:t xml:space="preserve">to </w:t>
      </w:r>
      <w:r w:rsidR="00DF378F" w:rsidRPr="0016463C">
        <w:t xml:space="preserve">create partnerships with at least fifteen employers </w:t>
      </w:r>
      <w:r w:rsidR="00180F7C" w:rsidRPr="0016463C">
        <w:t xml:space="preserve">to meet the student target </w:t>
      </w:r>
      <w:r w:rsidR="00DF378F" w:rsidRPr="0016463C">
        <w:t xml:space="preserve">in the period leading up to </w:t>
      </w:r>
      <w:r w:rsidR="00180F7C" w:rsidRPr="0016463C">
        <w:t>commencement</w:t>
      </w:r>
      <w:r w:rsidR="00DF378F" w:rsidRPr="0016463C">
        <w:t xml:space="preserve"> of the course, a difficult task in the time frame. </w:t>
      </w:r>
      <w:r w:rsidR="006F3E03" w:rsidRPr="0016463C">
        <w:t xml:space="preserve">As the course progresses </w:t>
      </w:r>
      <w:r w:rsidR="00E87D7F" w:rsidRPr="0016463C">
        <w:t xml:space="preserve">year-on-year </w:t>
      </w:r>
      <w:r w:rsidR="006F3E03" w:rsidRPr="0016463C">
        <w:t>t</w:t>
      </w:r>
      <w:r w:rsidR="00DF378F" w:rsidRPr="0016463C">
        <w:t>h</w:t>
      </w:r>
      <w:r w:rsidR="00B74B5E" w:rsidRPr="0016463C">
        <w:t xml:space="preserve">is process that </w:t>
      </w:r>
      <w:r w:rsidR="00944B11">
        <w:t>will</w:t>
      </w:r>
      <w:r w:rsidR="00944B11" w:rsidRPr="0016463C">
        <w:t xml:space="preserve"> </w:t>
      </w:r>
      <w:r w:rsidR="00B74B5E" w:rsidRPr="0016463C">
        <w:t>need</w:t>
      </w:r>
      <w:r w:rsidR="00DF378F" w:rsidRPr="0016463C">
        <w:t xml:space="preserve"> to be repeated every year</w:t>
      </w:r>
      <w:r w:rsidR="00E87D7F" w:rsidRPr="0016463C">
        <w:t>,</w:t>
      </w:r>
      <w:r w:rsidR="00DF378F" w:rsidRPr="0016463C">
        <w:t xml:space="preserve"> as it </w:t>
      </w:r>
      <w:r w:rsidR="00E87D7F" w:rsidRPr="0016463C">
        <w:t>is</w:t>
      </w:r>
      <w:r w:rsidR="00DF378F" w:rsidRPr="0016463C">
        <w:t xml:space="preserve"> </w:t>
      </w:r>
      <w:r w:rsidR="00E87D7F" w:rsidRPr="0016463C">
        <w:t>anticipated</w:t>
      </w:r>
      <w:r w:rsidR="00DF378F" w:rsidRPr="0016463C">
        <w:t xml:space="preserve"> that each </w:t>
      </w:r>
      <w:r w:rsidR="00E87D7F" w:rsidRPr="0016463C">
        <w:t xml:space="preserve">(micro) </w:t>
      </w:r>
      <w:r w:rsidR="00DF378F" w:rsidRPr="0016463C">
        <w:t xml:space="preserve">partnership employer </w:t>
      </w:r>
      <w:r w:rsidR="00944B11" w:rsidRPr="0016463C">
        <w:t>w</w:t>
      </w:r>
      <w:r w:rsidR="00944B11">
        <w:t>ill</w:t>
      </w:r>
      <w:r w:rsidR="00944B11" w:rsidRPr="0016463C">
        <w:t xml:space="preserve"> </w:t>
      </w:r>
      <w:r w:rsidR="00E87D7F" w:rsidRPr="0016463C">
        <w:t xml:space="preserve">not </w:t>
      </w:r>
      <w:r w:rsidR="00DF378F" w:rsidRPr="0016463C">
        <w:t xml:space="preserve">be </w:t>
      </w:r>
      <w:r w:rsidR="00E87D7F" w:rsidRPr="0016463C">
        <w:t>in a position to recruit a</w:t>
      </w:r>
      <w:r w:rsidR="00DF378F" w:rsidRPr="0016463C">
        <w:t xml:space="preserve"> new apprentice until the end of the two year course</w:t>
      </w:r>
      <w:r w:rsidR="00D055BE">
        <w:t xml:space="preserve"> cycle</w:t>
      </w:r>
      <w:r w:rsidR="00DF378F" w:rsidRPr="0016463C">
        <w:t xml:space="preserve">. </w:t>
      </w:r>
      <w:r w:rsidR="009B60E1" w:rsidRPr="0016463C">
        <w:t xml:space="preserve">Consequently, added administrative resources </w:t>
      </w:r>
      <w:r w:rsidR="00944B11">
        <w:t>will</w:t>
      </w:r>
      <w:r w:rsidR="00944B11" w:rsidRPr="0016463C">
        <w:t xml:space="preserve"> </w:t>
      </w:r>
      <w:r w:rsidR="009B60E1" w:rsidRPr="0016463C">
        <w:t xml:space="preserve">be necessary to oversee the communication </w:t>
      </w:r>
      <w:r w:rsidR="00F05FBA" w:rsidRPr="0016463C">
        <w:t>and organisation of students with multiple employers</w:t>
      </w:r>
      <w:r w:rsidR="00E87D7F" w:rsidRPr="0016463C">
        <w:t>.</w:t>
      </w:r>
      <w:r w:rsidR="00F05FBA" w:rsidRPr="0016463C">
        <w:t xml:space="preserve"> </w:t>
      </w:r>
      <w:r w:rsidR="00E87D7F" w:rsidRPr="0016463C">
        <w:t xml:space="preserve">Additionally, a </w:t>
      </w:r>
      <w:r w:rsidR="00F05FBA" w:rsidRPr="0016463C">
        <w:t xml:space="preserve">continuous </w:t>
      </w:r>
      <w:r w:rsidR="007D2AED" w:rsidRPr="007D2AED">
        <w:t>recruitment</w:t>
      </w:r>
      <w:r w:rsidR="00F05FBA" w:rsidRPr="0016463C">
        <w:t xml:space="preserve"> </w:t>
      </w:r>
      <w:r w:rsidR="00944B11" w:rsidRPr="0016463C">
        <w:t xml:space="preserve">process </w:t>
      </w:r>
      <w:r w:rsidR="00F05FBA" w:rsidRPr="0016463C">
        <w:t>of new partnership employers</w:t>
      </w:r>
      <w:r w:rsidR="00E87D7F" w:rsidRPr="0016463C">
        <w:t xml:space="preserve"> w</w:t>
      </w:r>
      <w:r w:rsidR="00944B11">
        <w:t>ill</w:t>
      </w:r>
      <w:r w:rsidR="00E87D7F" w:rsidRPr="0016463C">
        <w:t xml:space="preserve"> need to be initiated</w:t>
      </w:r>
      <w:r w:rsidR="00F05FBA" w:rsidRPr="0016463C">
        <w:t>.</w:t>
      </w:r>
    </w:p>
    <w:p w14:paraId="65E914B5" w14:textId="7D9158DB" w:rsidR="004E7A43" w:rsidRPr="0016463C" w:rsidRDefault="000C397C" w:rsidP="004E7A43">
      <w:r w:rsidRPr="0016463C">
        <w:t xml:space="preserve">One area of concern for a bourgeoning digital creative sector dominated by micro businesses </w:t>
      </w:r>
      <w:r w:rsidR="00C81549" w:rsidRPr="0016463C">
        <w:t>is</w:t>
      </w:r>
      <w:r w:rsidRPr="0016463C">
        <w:t xml:space="preserve"> the Trailblazer funding model</w:t>
      </w:r>
      <w:r w:rsidR="00C81549" w:rsidRPr="0016463C">
        <w:t>, which</w:t>
      </w:r>
      <w:r w:rsidRPr="0016463C">
        <w:t xml:space="preserve"> requires the employer to pay both the educational tuition fee and a wage to the student/apprentice</w:t>
      </w:r>
      <w:r w:rsidR="00C81549" w:rsidRPr="0016463C">
        <w:t xml:space="preserve">. This </w:t>
      </w:r>
      <w:r w:rsidR="002975A9">
        <w:t>is potentially an</w:t>
      </w:r>
      <w:r w:rsidR="00C81549" w:rsidRPr="0016463C">
        <w:t xml:space="preserve"> expensive outlay for a fledgling business even </w:t>
      </w:r>
      <w:r w:rsidR="004214EA" w:rsidRPr="0016463C">
        <w:t xml:space="preserve">after </w:t>
      </w:r>
      <w:r w:rsidR="00C81549" w:rsidRPr="0016463C">
        <w:t xml:space="preserve">taking into account </w:t>
      </w:r>
      <w:r w:rsidR="004214EA" w:rsidRPr="0016463C">
        <w:t xml:space="preserve">the </w:t>
      </w:r>
      <w:r w:rsidRPr="0016463C">
        <w:t xml:space="preserve">two-thirds </w:t>
      </w:r>
      <w:r w:rsidR="00C81549" w:rsidRPr="0016463C">
        <w:t xml:space="preserve">claimed </w:t>
      </w:r>
      <w:r w:rsidRPr="0016463C">
        <w:t>back from the government. While larger companies with financial means and res</w:t>
      </w:r>
      <w:r w:rsidR="00C81549" w:rsidRPr="0016463C">
        <w:t xml:space="preserve">ources to develop the </w:t>
      </w:r>
      <w:r w:rsidR="006F3E03" w:rsidRPr="0016463C">
        <w:t xml:space="preserve">Trailblazer </w:t>
      </w:r>
      <w:r w:rsidR="00C81549" w:rsidRPr="0016463C">
        <w:t xml:space="preserve">frameworks and standards can </w:t>
      </w:r>
      <w:r w:rsidR="004214EA" w:rsidRPr="0016463C">
        <w:t>absorb</w:t>
      </w:r>
      <w:r w:rsidR="00C81549" w:rsidRPr="0016463C">
        <w:t xml:space="preserve"> this investment</w:t>
      </w:r>
      <w:r w:rsidRPr="0016463C">
        <w:t xml:space="preserve">, </w:t>
      </w:r>
      <w:r w:rsidR="00C81549" w:rsidRPr="0016463C">
        <w:t>micro businesses</w:t>
      </w:r>
      <w:r w:rsidRPr="0016463C">
        <w:t xml:space="preserve"> find joining the programme resource intensive and unaffordable due to the outlay of the </w:t>
      </w:r>
      <w:r w:rsidR="00C81549" w:rsidRPr="0016463C">
        <w:t xml:space="preserve">learning </w:t>
      </w:r>
      <w:r w:rsidR="004214EA" w:rsidRPr="0016463C">
        <w:t>provider</w:t>
      </w:r>
      <w:r w:rsidRPr="0016463C">
        <w:t xml:space="preserve"> fee </w:t>
      </w:r>
      <w:r w:rsidR="004214EA" w:rsidRPr="0016463C">
        <w:t>and</w:t>
      </w:r>
      <w:r w:rsidRPr="0016463C">
        <w:t xml:space="preserve"> the </w:t>
      </w:r>
      <w:r w:rsidR="004214EA" w:rsidRPr="0016463C">
        <w:t xml:space="preserve">apprentice’s </w:t>
      </w:r>
      <w:r w:rsidRPr="0016463C">
        <w:t xml:space="preserve">salary. Additionally, </w:t>
      </w:r>
      <w:r w:rsidR="004214EA" w:rsidRPr="0016463C">
        <w:t>micro enterprises have to focus intensely on their core business</w:t>
      </w:r>
      <w:r w:rsidRPr="0016463C">
        <w:t xml:space="preserve"> </w:t>
      </w:r>
      <w:r w:rsidR="004214EA" w:rsidRPr="0016463C">
        <w:t xml:space="preserve">and </w:t>
      </w:r>
      <w:r w:rsidR="002975A9">
        <w:t>may be</w:t>
      </w:r>
      <w:r w:rsidR="004214EA" w:rsidRPr="0016463C">
        <w:t xml:space="preserve"> reluctant to spent time and resources</w:t>
      </w:r>
      <w:r w:rsidRPr="0016463C">
        <w:t xml:space="preserve"> developing and getting the course curriculum validated before they see a return</w:t>
      </w:r>
      <w:r w:rsidR="00352C07">
        <w:t xml:space="preserve"> on investment</w:t>
      </w:r>
      <w:r w:rsidR="002975A9">
        <w:t>. T</w:t>
      </w:r>
      <w:r w:rsidRPr="0016463C">
        <w:t xml:space="preserve">his is a disincentive to get involved. </w:t>
      </w:r>
      <w:r w:rsidR="004E7A43" w:rsidRPr="0016463C">
        <w:t>Alongside this</w:t>
      </w:r>
      <w:r w:rsidR="002975A9">
        <w:t xml:space="preserve">, the </w:t>
      </w:r>
      <w:r w:rsidR="004E7A43" w:rsidRPr="0016463C">
        <w:t xml:space="preserve">several micro businesses </w:t>
      </w:r>
      <w:r w:rsidR="002975A9">
        <w:t xml:space="preserve">we approached </w:t>
      </w:r>
      <w:r w:rsidR="004E7A43" w:rsidRPr="0016463C">
        <w:t xml:space="preserve">were opposed to entering into the comparatively lengthy Trailblazers application process due to uncertainty regarding the outcome of the forthcoming general election of 2015. As the process can be lengthy to complete this was deterrent to applicants in the last two years of an electoral cycle and by the apprehension that a change of government policy might change or </w:t>
      </w:r>
      <w:r w:rsidR="00E87D7F" w:rsidRPr="0016463C">
        <w:t>terminate</w:t>
      </w:r>
      <w:r w:rsidR="004E7A43" w:rsidRPr="0016463C">
        <w:t xml:space="preserve"> the </w:t>
      </w:r>
      <w:r w:rsidR="00E87D7F" w:rsidRPr="0016463C">
        <w:t>programme</w:t>
      </w:r>
      <w:r w:rsidR="004E7A43" w:rsidRPr="0016463C">
        <w:t xml:space="preserve">. </w:t>
      </w:r>
      <w:r w:rsidR="00E95A57" w:rsidRPr="0016463C">
        <w:t xml:space="preserve">Therefore, within this context and at this early stage of development, the Trailblazer initiative </w:t>
      </w:r>
      <w:r w:rsidR="002975A9">
        <w:t>is</w:t>
      </w:r>
      <w:r w:rsidR="002975A9" w:rsidRPr="0016463C">
        <w:t xml:space="preserve"> </w:t>
      </w:r>
      <w:r w:rsidR="00E87D7F" w:rsidRPr="0016463C">
        <w:t>judged to be</w:t>
      </w:r>
      <w:r w:rsidR="00E95A57" w:rsidRPr="0016463C">
        <w:t xml:space="preserve"> more suited to larger employers.</w:t>
      </w:r>
    </w:p>
    <w:p w14:paraId="68F515C6" w14:textId="4C0ACA83" w:rsidR="00DF378F" w:rsidRPr="0016463C" w:rsidRDefault="00DF378F" w:rsidP="00DF378F">
      <w:r w:rsidRPr="0016463C">
        <w:t>Secondly</w:t>
      </w:r>
      <w:r w:rsidR="00E85A51" w:rsidRPr="0016463C">
        <w:t>,</w:t>
      </w:r>
      <w:r w:rsidRPr="0016463C">
        <w:t xml:space="preserve"> </w:t>
      </w:r>
      <w:r w:rsidR="00311290" w:rsidRPr="0016463C">
        <w:t>this area of the digital creative industry is a sector where innovation and working practises change quickly</w:t>
      </w:r>
      <w:r w:rsidR="00027C1E" w:rsidRPr="0016463C">
        <w:t xml:space="preserve"> and </w:t>
      </w:r>
      <w:r w:rsidR="00311290" w:rsidRPr="0016463C">
        <w:t>where new job specifications are constantly being defined. D</w:t>
      </w:r>
      <w:r w:rsidRPr="0016463C">
        <w:t>ue to the diversity of skills</w:t>
      </w:r>
      <w:r w:rsidR="001B6AB2" w:rsidRPr="0016463C">
        <w:t xml:space="preserve"> </w:t>
      </w:r>
      <w:r w:rsidRPr="0016463C">
        <w:t xml:space="preserve">needed within the sector, some university units might not be appropriate and of value for some businesses. For example, a social media company might not need an apprentice to have advanced coding skills. </w:t>
      </w:r>
      <w:r w:rsidR="00F660ED" w:rsidRPr="0016463C">
        <w:t xml:space="preserve">This </w:t>
      </w:r>
      <w:r w:rsidR="002975A9">
        <w:t>is</w:t>
      </w:r>
      <w:r w:rsidR="002975A9" w:rsidRPr="0016463C">
        <w:t xml:space="preserve"> </w:t>
      </w:r>
      <w:r w:rsidR="00F660ED" w:rsidRPr="0016463C">
        <w:t>addressed</w:t>
      </w:r>
      <w:r w:rsidRPr="0016463C">
        <w:t xml:space="preserve"> through group projects that enabled a student to be involved with a </w:t>
      </w:r>
      <w:r w:rsidR="00027C1E" w:rsidRPr="0016463C">
        <w:t xml:space="preserve">group </w:t>
      </w:r>
      <w:r w:rsidRPr="0016463C">
        <w:t xml:space="preserve">project but specialise in his or her employer’s </w:t>
      </w:r>
      <w:r w:rsidR="00F660ED" w:rsidRPr="0016463C">
        <w:t xml:space="preserve">specialist </w:t>
      </w:r>
      <w:r w:rsidRPr="0016463C">
        <w:t>area.</w:t>
      </w:r>
      <w:r w:rsidR="00027C1E" w:rsidRPr="0016463C">
        <w:t xml:space="preserve"> However, empirical evidence is need to access effectiveness of this approach.</w:t>
      </w:r>
    </w:p>
    <w:p w14:paraId="70007BA2" w14:textId="14A488DA" w:rsidR="005713E2" w:rsidRPr="0016463C" w:rsidRDefault="00DF378F" w:rsidP="00573BEB">
      <w:r w:rsidRPr="0016463C">
        <w:t xml:space="preserve">The third issue </w:t>
      </w:r>
      <w:r w:rsidR="00CC64B3" w:rsidRPr="0016463C">
        <w:t xml:space="preserve">concerns the loss of work-based learning provision </w:t>
      </w:r>
      <w:r w:rsidR="00A42E86" w:rsidRPr="0016463C">
        <w:t>while a student/apprentice is engaged at a partnership</w:t>
      </w:r>
      <w:r w:rsidR="00CC64B3" w:rsidRPr="0016463C">
        <w:t xml:space="preserve"> employer. </w:t>
      </w:r>
      <w:r w:rsidR="00E22917" w:rsidRPr="0016463C">
        <w:t xml:space="preserve">While contract agreement </w:t>
      </w:r>
      <w:r w:rsidR="00A42E86" w:rsidRPr="0016463C">
        <w:t>are</w:t>
      </w:r>
      <w:r w:rsidR="00E22917" w:rsidRPr="0016463C">
        <w:t xml:space="preserve"> undertaken between learning institution, student a</w:t>
      </w:r>
      <w:r w:rsidR="001815E5" w:rsidRPr="0016463C">
        <w:t>nd partnership employer, loss of</w:t>
      </w:r>
      <w:r w:rsidR="00E22917" w:rsidRPr="0016463C">
        <w:t xml:space="preserve"> provision could occur for</w:t>
      </w:r>
      <w:r w:rsidR="00CC64B3" w:rsidRPr="0016463C">
        <w:t xml:space="preserve"> a number of reasons, such as </w:t>
      </w:r>
      <w:r w:rsidR="00E22917" w:rsidRPr="0016463C">
        <w:t>a dispute with the apprentice, lack of work or business failure</w:t>
      </w:r>
      <w:r w:rsidR="00A42E86" w:rsidRPr="0016463C">
        <w:t>. T</w:t>
      </w:r>
      <w:r w:rsidR="00F05FBA" w:rsidRPr="0016463C">
        <w:t xml:space="preserve">he latter </w:t>
      </w:r>
      <w:r w:rsidR="00A42E86" w:rsidRPr="0016463C">
        <w:t xml:space="preserve">probability is a </w:t>
      </w:r>
      <w:r w:rsidR="00F05FBA" w:rsidRPr="0016463C">
        <w:t xml:space="preserve">particularly </w:t>
      </w:r>
      <w:r w:rsidR="00A42E86" w:rsidRPr="0016463C">
        <w:t>concern for</w:t>
      </w:r>
      <w:r w:rsidR="00F05FBA" w:rsidRPr="0016463C">
        <w:t xml:space="preserve"> micro </w:t>
      </w:r>
      <w:r w:rsidR="00A42E86" w:rsidRPr="0016463C">
        <w:t xml:space="preserve">business </w:t>
      </w:r>
      <w:r w:rsidR="00F05FBA" w:rsidRPr="0016463C">
        <w:t>employers</w:t>
      </w:r>
      <w:r w:rsidR="00E22917" w:rsidRPr="0016463C">
        <w:t xml:space="preserve">. </w:t>
      </w:r>
      <w:r w:rsidR="00851E93" w:rsidRPr="0016463C">
        <w:t xml:space="preserve">In the event of an employer no longer </w:t>
      </w:r>
      <w:r w:rsidR="00331FA8">
        <w:t xml:space="preserve">being </w:t>
      </w:r>
      <w:r w:rsidR="00851E93" w:rsidRPr="0016463C">
        <w:t xml:space="preserve">able to </w:t>
      </w:r>
      <w:r w:rsidR="001815E5" w:rsidRPr="0016463C">
        <w:t>offer</w:t>
      </w:r>
      <w:r w:rsidR="00851E93" w:rsidRPr="0016463C">
        <w:t xml:space="preserve"> the</w:t>
      </w:r>
      <w:r w:rsidR="001815E5" w:rsidRPr="0016463C">
        <w:t xml:space="preserve"> student/apprentice</w:t>
      </w:r>
      <w:r w:rsidR="00851E93" w:rsidRPr="0016463C">
        <w:t xml:space="preserve"> work-based le</w:t>
      </w:r>
      <w:r w:rsidR="001815E5" w:rsidRPr="0016463C">
        <w:t>arning provision</w:t>
      </w:r>
      <w:r w:rsidR="00851E93" w:rsidRPr="0016463C">
        <w:t xml:space="preserve">, attempts </w:t>
      </w:r>
      <w:r w:rsidR="00E22917" w:rsidRPr="0016463C">
        <w:t xml:space="preserve">would </w:t>
      </w:r>
      <w:r w:rsidR="00ED6542" w:rsidRPr="0016463C">
        <w:t>be</w:t>
      </w:r>
      <w:r w:rsidR="00851E93" w:rsidRPr="0016463C">
        <w:t xml:space="preserve"> made to recruit another or an existing employer. During this period a simulated </w:t>
      </w:r>
      <w:r w:rsidR="00712832" w:rsidRPr="0016463C">
        <w:t xml:space="preserve">work </w:t>
      </w:r>
      <w:r w:rsidR="00851E93" w:rsidRPr="0016463C">
        <w:t>environment w</w:t>
      </w:r>
      <w:r w:rsidR="00E22917" w:rsidRPr="0016463C">
        <w:t>ould</w:t>
      </w:r>
      <w:r w:rsidR="00851E93" w:rsidRPr="0016463C">
        <w:t xml:space="preserve"> be activated, where a work-based environment </w:t>
      </w:r>
      <w:r w:rsidR="00ED6542" w:rsidRPr="0016463C">
        <w:t>is</w:t>
      </w:r>
      <w:r w:rsidR="00E22917" w:rsidRPr="0016463C">
        <w:t xml:space="preserve"> created using </w:t>
      </w:r>
      <w:r w:rsidR="00851E93" w:rsidRPr="0016463C">
        <w:t>Ravensbourne</w:t>
      </w:r>
      <w:r w:rsidR="00E22917" w:rsidRPr="0016463C">
        <w:t>’s</w:t>
      </w:r>
      <w:r w:rsidR="00851E93" w:rsidRPr="0016463C">
        <w:t xml:space="preserve"> facilities. Alternatively, </w:t>
      </w:r>
      <w:r w:rsidR="00E22917" w:rsidRPr="0016463C">
        <w:t>if no long-term solution c</w:t>
      </w:r>
      <w:r w:rsidR="00712832" w:rsidRPr="0016463C">
        <w:t>ould</w:t>
      </w:r>
      <w:r w:rsidR="00E22917" w:rsidRPr="0016463C">
        <w:t xml:space="preserve"> be found, </w:t>
      </w:r>
      <w:r w:rsidR="00851E93" w:rsidRPr="0016463C">
        <w:t xml:space="preserve">the student </w:t>
      </w:r>
      <w:r w:rsidR="00E22917" w:rsidRPr="0016463C">
        <w:t>would</w:t>
      </w:r>
      <w:r w:rsidR="00851E93" w:rsidRPr="0016463C">
        <w:t xml:space="preserve"> be offered a </w:t>
      </w:r>
      <w:r w:rsidR="00E22917" w:rsidRPr="0016463C">
        <w:t>transfer to</w:t>
      </w:r>
      <w:r w:rsidR="00851E93" w:rsidRPr="0016463C">
        <w:t xml:space="preserve"> the </w:t>
      </w:r>
      <w:r w:rsidR="00ED6542" w:rsidRPr="0016463C">
        <w:t xml:space="preserve">(non-WBL, three year) </w:t>
      </w:r>
      <w:r w:rsidR="00851E93" w:rsidRPr="0016463C">
        <w:t xml:space="preserve">Web Media Production course, where they can also transfer their accrued unit credits. </w:t>
      </w:r>
      <w:r w:rsidR="00F05FBA" w:rsidRPr="0016463C">
        <w:t>However, this might not be agreeable to the student who has expected a work-based, paid element to their learning.</w:t>
      </w:r>
    </w:p>
    <w:p w14:paraId="389405BE" w14:textId="33C535CA" w:rsidR="006F37EA" w:rsidRPr="0016463C" w:rsidRDefault="009A75F7" w:rsidP="009A75F7">
      <w:r w:rsidRPr="0016463C">
        <w:t xml:space="preserve">The message from the industry advisory board, which was approached for feedback on this course, </w:t>
      </w:r>
      <w:r w:rsidR="00180F7C" w:rsidRPr="0016463C">
        <w:t xml:space="preserve">confirmed that there </w:t>
      </w:r>
      <w:r w:rsidR="002975A9">
        <w:t>is</w:t>
      </w:r>
      <w:r w:rsidR="002975A9" w:rsidRPr="0016463C">
        <w:t xml:space="preserve"> </w:t>
      </w:r>
      <w:r w:rsidR="00180F7C" w:rsidRPr="0016463C">
        <w:t>an urgent need to address the widening</w:t>
      </w:r>
      <w:r w:rsidRPr="0016463C">
        <w:t xml:space="preserve"> skills gap in this </w:t>
      </w:r>
      <w:r w:rsidR="00180F7C" w:rsidRPr="0016463C">
        <w:t>area of digital creative industries</w:t>
      </w:r>
      <w:r w:rsidRPr="0016463C">
        <w:t xml:space="preserve">, and that jobs are appearing now that did not exist three years ago. </w:t>
      </w:r>
      <w:r w:rsidR="00A0147A" w:rsidRPr="0016463C">
        <w:t>Several employers suggested that individuals that came straight out of FE colleges did not have the skills they need, so they value the concept of the course more for the direct learning students get within a subject, rather than the degree</w:t>
      </w:r>
      <w:r w:rsidR="00DB69AF">
        <w:t>,</w:t>
      </w:r>
      <w:r w:rsidR="00A0147A" w:rsidRPr="0016463C">
        <w:t xml:space="preserve"> </w:t>
      </w:r>
      <w:r w:rsidR="002975A9" w:rsidRPr="0016463C">
        <w:t>alon</w:t>
      </w:r>
      <w:r w:rsidR="002975A9">
        <w:t>g</w:t>
      </w:r>
      <w:r w:rsidR="002975A9" w:rsidRPr="0016463C">
        <w:t xml:space="preserve"> </w:t>
      </w:r>
      <w:r w:rsidRPr="0016463C">
        <w:t xml:space="preserve">as </w:t>
      </w:r>
      <w:r w:rsidR="0053398C" w:rsidRPr="0016463C">
        <w:t>the curriculum can remain</w:t>
      </w:r>
      <w:r w:rsidRPr="0016463C">
        <w:t xml:space="preserve"> relevant and up-to-date</w:t>
      </w:r>
      <w:r w:rsidR="00FD4E94" w:rsidRPr="0016463C">
        <w:t>. However</w:t>
      </w:r>
      <w:r w:rsidR="00AB33D6" w:rsidRPr="0016463C">
        <w:t>,</w:t>
      </w:r>
      <w:r w:rsidR="00FD4E94" w:rsidRPr="0016463C">
        <w:t xml:space="preserve"> the</w:t>
      </w:r>
      <w:r w:rsidR="00311290" w:rsidRPr="0016463C">
        <w:t xml:space="preserve"> </w:t>
      </w:r>
      <w:r w:rsidR="00A0147A" w:rsidRPr="0016463C">
        <w:t xml:space="preserve">issue of finding small and micro </w:t>
      </w:r>
      <w:r w:rsidR="0053398C" w:rsidRPr="0016463C">
        <w:t xml:space="preserve">business partnerships </w:t>
      </w:r>
      <w:r w:rsidR="00A0147A" w:rsidRPr="0016463C">
        <w:t>remains a challenge</w:t>
      </w:r>
      <w:r w:rsidRPr="0016463C">
        <w:t xml:space="preserve">. </w:t>
      </w:r>
    </w:p>
    <w:p w14:paraId="585E03B7" w14:textId="77777777" w:rsidR="006349DF" w:rsidRPr="0016463C" w:rsidRDefault="006349DF" w:rsidP="006349DF"/>
    <w:p w14:paraId="3E8F890D" w14:textId="17384DDE" w:rsidR="005473FF" w:rsidRPr="0016463C" w:rsidRDefault="00616C11" w:rsidP="00E719A5">
      <w:pPr>
        <w:pStyle w:val="Heading1"/>
      </w:pPr>
      <w:bookmarkStart w:id="20" w:name="_Toc307223443"/>
      <w:r w:rsidRPr="0016463C">
        <w:t>5</w:t>
      </w:r>
      <w:r w:rsidR="00586B03" w:rsidRPr="0016463C">
        <w:t>.</w:t>
      </w:r>
      <w:r w:rsidR="00E06981" w:rsidRPr="0016463C">
        <w:t>0</w:t>
      </w:r>
      <w:r w:rsidR="00586B03" w:rsidRPr="0016463C">
        <w:t xml:space="preserve"> </w:t>
      </w:r>
      <w:r w:rsidR="005428C4" w:rsidRPr="0016463C">
        <w:t xml:space="preserve">Conclusion and </w:t>
      </w:r>
      <w:bookmarkEnd w:id="20"/>
      <w:r w:rsidR="000D2396" w:rsidRPr="0016463C">
        <w:t>discussion</w:t>
      </w:r>
    </w:p>
    <w:p w14:paraId="30018E24" w14:textId="57ADC87A" w:rsidR="005F007C" w:rsidRPr="0016463C" w:rsidRDefault="009D1F59" w:rsidP="00C22EF5">
      <w:r w:rsidRPr="0016463C">
        <w:t xml:space="preserve">While the </w:t>
      </w:r>
      <w:r w:rsidR="00773945" w:rsidRPr="0016463C">
        <w:t xml:space="preserve">UK </w:t>
      </w:r>
      <w:r w:rsidRPr="0016463C">
        <w:t>education sector has seen significant transformation over the last two decades, t</w:t>
      </w:r>
      <w:r w:rsidR="00510757" w:rsidRPr="0016463C">
        <w:t xml:space="preserve">he higher education landscape </w:t>
      </w:r>
      <w:r w:rsidRPr="0016463C">
        <w:t xml:space="preserve">has been </w:t>
      </w:r>
      <w:r w:rsidR="00B341A4" w:rsidRPr="0016463C">
        <w:t>subjected to</w:t>
      </w:r>
      <w:r w:rsidR="00510757" w:rsidRPr="0016463C">
        <w:t xml:space="preserve"> consid</w:t>
      </w:r>
      <w:r w:rsidR="007E2382" w:rsidRPr="0016463C">
        <w:t>erab</w:t>
      </w:r>
      <w:r w:rsidRPr="0016463C">
        <w:t>le change</w:t>
      </w:r>
      <w:r w:rsidR="007E2382" w:rsidRPr="0016463C">
        <w:t xml:space="preserve"> over the last five years. The main contributing factors </w:t>
      </w:r>
      <w:r w:rsidR="00577F4B" w:rsidRPr="0016463C">
        <w:t xml:space="preserve">have been </w:t>
      </w:r>
      <w:r w:rsidR="00B341A4" w:rsidRPr="0016463C">
        <w:t>the way</w:t>
      </w:r>
      <w:r w:rsidR="007E2382" w:rsidRPr="0016463C">
        <w:t xml:space="preserve"> universities are financed</w:t>
      </w:r>
      <w:r w:rsidR="00DA0E73" w:rsidRPr="0016463C">
        <w:t xml:space="preserve">. </w:t>
      </w:r>
      <w:r w:rsidR="00C22EF5" w:rsidRPr="0016463C">
        <w:t xml:space="preserve">In addition there has </w:t>
      </w:r>
      <w:r w:rsidRPr="0016463C">
        <w:t xml:space="preserve">been a </w:t>
      </w:r>
      <w:r w:rsidR="00375E43" w:rsidRPr="0016463C">
        <w:t>move towards market-</w:t>
      </w:r>
      <w:r w:rsidR="00C22EF5" w:rsidRPr="0016463C">
        <w:t xml:space="preserve">driven solutions </w:t>
      </w:r>
      <w:r w:rsidR="00375E43" w:rsidRPr="0016463C">
        <w:t xml:space="preserve">that have </w:t>
      </w:r>
      <w:r w:rsidR="00C22EF5" w:rsidRPr="0016463C">
        <w:t>open</w:t>
      </w:r>
      <w:r w:rsidR="00375E43" w:rsidRPr="0016463C">
        <w:t>ed</w:t>
      </w:r>
      <w:r w:rsidR="00C22EF5" w:rsidRPr="0016463C">
        <w:t xml:space="preserve"> the </w:t>
      </w:r>
      <w:r w:rsidRPr="0016463C">
        <w:t xml:space="preserve">higher </w:t>
      </w:r>
      <w:r w:rsidR="00C22EF5" w:rsidRPr="0016463C">
        <w:t xml:space="preserve">education sector to </w:t>
      </w:r>
      <w:r w:rsidRPr="0016463C">
        <w:t>private companies, commercial stakeholders and institutions</w:t>
      </w:r>
      <w:r w:rsidR="005F007C" w:rsidRPr="0016463C">
        <w:t xml:space="preserve">. This has brought greater competition </w:t>
      </w:r>
      <w:r w:rsidR="00375E43" w:rsidRPr="0016463C">
        <w:t>and introduced marketisation</w:t>
      </w:r>
      <w:r w:rsidR="005F007C" w:rsidRPr="0016463C">
        <w:t xml:space="preserve"> </w:t>
      </w:r>
      <w:r w:rsidR="0075078A" w:rsidRPr="0016463C">
        <w:t>to the</w:t>
      </w:r>
      <w:r w:rsidR="005F007C" w:rsidRPr="0016463C">
        <w:t xml:space="preserve"> sector </w:t>
      </w:r>
      <w:r w:rsidR="00074A34" w:rsidRPr="0016463C">
        <w:fldChar w:fldCharType="begin"/>
      </w:r>
      <w:r w:rsidR="00074A34" w:rsidRPr="0016463C">
        <w:instrText xml:space="preserve"> ADDIN EN.CITE &lt;EndNote&gt;&lt;Cite&gt;&lt;Author&gt;Brown&lt;/Author&gt;&lt;Year&gt;2013&lt;/Year&gt;&lt;RecNum&gt;680&lt;/RecNum&gt;&lt;DisplayText&gt;(Brown, 2013; McGettigan, 2013)&lt;/DisplayText&gt;&lt;record&gt;&lt;rec-number&gt;680&lt;/rec-number&gt;&lt;foreign-keys&gt;&lt;key app="EN" db-id="z55xttzezxev91ewsev55ad4apzsf2pwza0p" timestamp="1437385464"&gt;680&lt;/key&gt;&lt;/foreign-keys&gt;&lt;ref-type name="Book"&gt;6&lt;/ref-type&gt;&lt;contributors&gt;&lt;authors&gt;&lt;author&gt;Brown, Roger&lt;/author&gt;&lt;/authors&gt;&lt;/contributors&gt;&lt;titles&gt;&lt;title&gt;Everything for Sale? The Marketisation of UK Higher Education (Research into Higher Education)&lt;/title&gt;&lt;/titles&gt;&lt;dates&gt;&lt;year&gt;2013&lt;/year&gt;&lt;/dates&gt;&lt;pub-location&gt;London&lt;/pub-location&gt;&lt;publisher&gt;Routledge&lt;/publisher&gt;&lt;urls&gt;&lt;/urls&gt;&lt;/record&gt;&lt;/Cite&gt;&lt;Cite&gt;&lt;Author&gt;McGettigan&lt;/Author&gt;&lt;Year&gt;2013&lt;/Year&gt;&lt;RecNum&gt;693&lt;/RecNum&gt;&lt;record&gt;&lt;rec-number&gt;693&lt;/rec-number&gt;&lt;foreign-keys&gt;&lt;key app="EN" db-id="z55xttzezxev91ewsev55ad4apzsf2pwza0p" timestamp="1439299355"&gt;693&lt;/key&gt;&lt;/foreign-keys&gt;&lt;ref-type name="Book"&gt;6&lt;/ref-type&gt;&lt;contributors&gt;&lt;authors&gt;&lt;author&gt;Andrew McGettigan&lt;/author&gt;&lt;/authors&gt;&lt;/contributors&gt;&lt;titles&gt;&lt;title&gt;The Great University Gamble: Money, Markets &amp;amp; the Future of Higher Education&lt;/title&gt;&lt;/titles&gt;&lt;dates&gt;&lt;year&gt;2013&lt;/year&gt;&lt;/dates&gt;&lt;pub-location&gt;London&lt;/pub-location&gt;&lt;publisher&gt;Pluto Press&lt;/publisher&gt;&lt;urls&gt;&lt;/urls&gt;&lt;/record&gt;&lt;/Cite&gt;&lt;/EndNote&gt;</w:instrText>
      </w:r>
      <w:r w:rsidR="00074A34" w:rsidRPr="0016463C">
        <w:fldChar w:fldCharType="separate"/>
      </w:r>
      <w:r w:rsidR="00074A34" w:rsidRPr="0016463C">
        <w:rPr>
          <w:noProof/>
        </w:rPr>
        <w:t>(Brown, 2013; McGettigan, 2013)</w:t>
      </w:r>
      <w:r w:rsidR="00074A34" w:rsidRPr="0016463C">
        <w:fldChar w:fldCharType="end"/>
      </w:r>
      <w:r w:rsidR="00074A34" w:rsidRPr="0016463C">
        <w:t>.</w:t>
      </w:r>
    </w:p>
    <w:p w14:paraId="32070614" w14:textId="065590B3" w:rsidR="007E2764" w:rsidRPr="0016463C" w:rsidRDefault="008F4410" w:rsidP="00886D15">
      <w:r w:rsidRPr="0016463C">
        <w:t>Many employers (</w:t>
      </w:r>
      <w:r w:rsidR="00E51620" w:rsidRPr="0016463C">
        <w:t xml:space="preserve">particularly in the digital </w:t>
      </w:r>
      <w:r w:rsidRPr="0016463C">
        <w:t>sector),</w:t>
      </w:r>
      <w:r w:rsidR="00190C1A" w:rsidRPr="0016463C">
        <w:t xml:space="preserve"> </w:t>
      </w:r>
      <w:r w:rsidR="00E51620" w:rsidRPr="0016463C">
        <w:t>government departments and agencies have expressed concern about an emerging digita</w:t>
      </w:r>
      <w:r w:rsidRPr="0016463C">
        <w:t xml:space="preserve">l skills gap. Evidence from </w:t>
      </w:r>
      <w:r w:rsidR="00526A9B" w:rsidRPr="0016463C">
        <w:t xml:space="preserve">government </w:t>
      </w:r>
      <w:r w:rsidR="00E51620" w:rsidRPr="0016463C">
        <w:t xml:space="preserve">education policies and </w:t>
      </w:r>
      <w:r w:rsidRPr="0016463C">
        <w:t xml:space="preserve">projected future </w:t>
      </w:r>
      <w:r w:rsidR="00E51620" w:rsidRPr="0016463C">
        <w:t>spending</w:t>
      </w:r>
      <w:r w:rsidR="00E42739" w:rsidRPr="0016463C">
        <w:t xml:space="preserve"> </w:t>
      </w:r>
      <w:r w:rsidR="00E51620" w:rsidRPr="0016463C">
        <w:t xml:space="preserve">indicate that funding is being </w:t>
      </w:r>
      <w:r w:rsidR="00AD4342" w:rsidRPr="0016463C">
        <w:t xml:space="preserve">prioritised and </w:t>
      </w:r>
      <w:r w:rsidR="00753B71" w:rsidRPr="0016463C">
        <w:t>allocated</w:t>
      </w:r>
      <w:r w:rsidR="00E269F0" w:rsidRPr="0016463C">
        <w:t xml:space="preserve"> to encourage employer partnerships.</w:t>
      </w:r>
      <w:r w:rsidR="00E51620" w:rsidRPr="0016463C">
        <w:t xml:space="preserve"> </w:t>
      </w:r>
      <w:r w:rsidR="005C47F7" w:rsidRPr="0016463C">
        <w:t xml:space="preserve">This could have grave implications for many less established or under-funded universities </w:t>
      </w:r>
      <w:r w:rsidR="00E44C53" w:rsidRPr="0016463C">
        <w:t xml:space="preserve">and further education colleges </w:t>
      </w:r>
      <w:r w:rsidR="005C47F7" w:rsidRPr="0016463C">
        <w:t xml:space="preserve">in the future, particularly if measures are not taken </w:t>
      </w:r>
      <w:r w:rsidR="005565C8" w:rsidRPr="0016463C">
        <w:t xml:space="preserve">by these institutions </w:t>
      </w:r>
      <w:r w:rsidR="005C47F7" w:rsidRPr="0016463C">
        <w:t xml:space="preserve">to embrace the new apprenticeship </w:t>
      </w:r>
      <w:r w:rsidR="005565C8" w:rsidRPr="0016463C">
        <w:t>model of funding.</w:t>
      </w:r>
      <w:r w:rsidR="007F08E5" w:rsidRPr="0016463C">
        <w:t xml:space="preserve"> </w:t>
      </w:r>
    </w:p>
    <w:p w14:paraId="26328727" w14:textId="0C456A66" w:rsidR="00D22A3E" w:rsidRPr="0016463C" w:rsidRDefault="006C3249" w:rsidP="004F67C5">
      <w:r w:rsidRPr="0016463C">
        <w:t xml:space="preserve">From the background research and development </w:t>
      </w:r>
      <w:r w:rsidR="00D32EFE" w:rsidRPr="0016463C">
        <w:t>of the BA (Hons) Web Design and Social M</w:t>
      </w:r>
      <w:r w:rsidR="00737401" w:rsidRPr="0016463C">
        <w:t>edia work-based learning course</w:t>
      </w:r>
      <w:r w:rsidRPr="0016463C">
        <w:t xml:space="preserve">, </w:t>
      </w:r>
      <w:r w:rsidR="00D32EFE" w:rsidRPr="0016463C">
        <w:t xml:space="preserve">substantiated by the </w:t>
      </w:r>
      <w:r w:rsidR="000803EB" w:rsidRPr="0016463C">
        <w:t>case study</w:t>
      </w:r>
      <w:r w:rsidR="00D32EFE" w:rsidRPr="0016463C">
        <w:t>,</w:t>
      </w:r>
      <w:r w:rsidR="00101AA6" w:rsidRPr="0016463C">
        <w:t xml:space="preserve"> </w:t>
      </w:r>
      <w:r w:rsidRPr="0016463C">
        <w:t xml:space="preserve">this model of WBL, from an engagement and participation perspective, </w:t>
      </w:r>
      <w:r w:rsidR="000803EB" w:rsidRPr="0016463C">
        <w:t>is</w:t>
      </w:r>
      <w:r w:rsidR="004F67C5" w:rsidRPr="0016463C">
        <w:t xml:space="preserve"> appealing to </w:t>
      </w:r>
      <w:r w:rsidR="00B31EBD" w:rsidRPr="0016463C">
        <w:t xml:space="preserve">students and </w:t>
      </w:r>
      <w:r w:rsidR="00035AB4" w:rsidRPr="0016463C">
        <w:t>small and micro business</w:t>
      </w:r>
      <w:r w:rsidR="00B31EBD" w:rsidRPr="0016463C">
        <w:t xml:space="preserve"> </w:t>
      </w:r>
      <w:r w:rsidR="004F67C5" w:rsidRPr="0016463C">
        <w:t xml:space="preserve">employers </w:t>
      </w:r>
      <w:r w:rsidR="00B31EBD" w:rsidRPr="0016463C">
        <w:t>within the subject area</w:t>
      </w:r>
      <w:r w:rsidR="004F67C5" w:rsidRPr="0016463C">
        <w:t xml:space="preserve">. From </w:t>
      </w:r>
      <w:r w:rsidR="00E94D0A" w:rsidRPr="0016463C">
        <w:t>an</w:t>
      </w:r>
      <w:r w:rsidR="004F67C5" w:rsidRPr="0016463C">
        <w:t xml:space="preserve"> employers’ perspective, many considered a skills gap as one of the most challenging areas of recruitment and were positive about a WBL initiative. From a students’ standpoint the advantages are </w:t>
      </w:r>
      <w:r w:rsidR="00EE5361" w:rsidRPr="0016463C">
        <w:t>many</w:t>
      </w:r>
      <w:r w:rsidR="004F67C5" w:rsidRPr="0016463C">
        <w:t xml:space="preserve">: they can learn their chosen subject while gaining industry experience in the workplace and earn </w:t>
      </w:r>
      <w:r w:rsidR="000E24E0" w:rsidRPr="0016463C">
        <w:t>a wage</w:t>
      </w:r>
      <w:r w:rsidR="004F67C5" w:rsidRPr="0016463C">
        <w:t xml:space="preserve"> while doing so. </w:t>
      </w:r>
      <w:r w:rsidR="00E411A0" w:rsidRPr="0016463C">
        <w:t>Additionally</w:t>
      </w:r>
      <w:r w:rsidR="004F67C5" w:rsidRPr="0016463C">
        <w:t xml:space="preserve"> they have a portfolio of work that includes </w:t>
      </w:r>
      <w:r w:rsidR="000E24E0" w:rsidRPr="0016463C">
        <w:t>‘</w:t>
      </w:r>
      <w:r w:rsidR="004F67C5" w:rsidRPr="0016463C">
        <w:t>real li</w:t>
      </w:r>
      <w:r w:rsidR="005428C4" w:rsidRPr="0016463C">
        <w:t>fe</w:t>
      </w:r>
      <w:r w:rsidR="000E24E0" w:rsidRPr="0016463C">
        <w:t>’</w:t>
      </w:r>
      <w:r w:rsidR="005428C4" w:rsidRPr="0016463C">
        <w:t xml:space="preserve"> projects when they graduate</w:t>
      </w:r>
      <w:r w:rsidR="00E411A0" w:rsidRPr="0016463C">
        <w:t>. T</w:t>
      </w:r>
      <w:r w:rsidR="005428C4" w:rsidRPr="0016463C">
        <w:t xml:space="preserve">hey may, indeed, remain employed and </w:t>
      </w:r>
      <w:r w:rsidR="00E411A0" w:rsidRPr="0016463C">
        <w:t xml:space="preserve">gain </w:t>
      </w:r>
      <w:r w:rsidR="005428C4" w:rsidRPr="0016463C">
        <w:t>promot</w:t>
      </w:r>
      <w:r w:rsidR="00E411A0" w:rsidRPr="0016463C">
        <w:t>ion</w:t>
      </w:r>
      <w:r w:rsidR="005428C4" w:rsidRPr="0016463C">
        <w:t xml:space="preserve"> at their partnership employer</w:t>
      </w:r>
      <w:r w:rsidR="000E24E0" w:rsidRPr="0016463C">
        <w:t xml:space="preserve"> after graduation</w:t>
      </w:r>
      <w:r w:rsidR="00BA53F6" w:rsidRPr="0016463C">
        <w:t>.</w:t>
      </w:r>
      <w:r w:rsidR="00886D15" w:rsidRPr="0016463C">
        <w:t xml:space="preserve"> </w:t>
      </w:r>
    </w:p>
    <w:p w14:paraId="5AA2BE96" w14:textId="607ED57C" w:rsidR="00264D0B" w:rsidRPr="0016463C" w:rsidRDefault="00346416" w:rsidP="004F67C5">
      <w:r w:rsidRPr="0016463C">
        <w:t>From an integration viewpoint, t</w:t>
      </w:r>
      <w:r w:rsidR="00CC52BF" w:rsidRPr="0016463C">
        <w:t xml:space="preserve">he structure of WBL courses, and the use of boot camps, means that courses could be delivered without adding excessive pressure on </w:t>
      </w:r>
      <w:r w:rsidR="00E42739" w:rsidRPr="0016463C">
        <w:t>University</w:t>
      </w:r>
      <w:r w:rsidR="00CC52BF" w:rsidRPr="0016463C">
        <w:t xml:space="preserve"> facilities, particularly demands</w:t>
      </w:r>
      <w:r w:rsidR="009D4334" w:rsidRPr="0016463C">
        <w:t xml:space="preserve"> for teaching space and limitations of timetabling</w:t>
      </w:r>
      <w:r w:rsidR="00B24EA5" w:rsidRPr="0016463C">
        <w:t>. T</w:t>
      </w:r>
      <w:r w:rsidR="00CC52BF" w:rsidRPr="0016463C">
        <w:t xml:space="preserve">he benefit </w:t>
      </w:r>
      <w:r w:rsidR="00B24EA5" w:rsidRPr="0016463C">
        <w:t>is that</w:t>
      </w:r>
      <w:r w:rsidR="00CC52BF" w:rsidRPr="0016463C">
        <w:t xml:space="preserve"> resources </w:t>
      </w:r>
      <w:r w:rsidR="00E35453" w:rsidRPr="0016463C">
        <w:t xml:space="preserve">can </w:t>
      </w:r>
      <w:r w:rsidR="00B24EA5" w:rsidRPr="0016463C">
        <w:t xml:space="preserve">be used </w:t>
      </w:r>
      <w:r w:rsidR="00CC52BF" w:rsidRPr="0016463C">
        <w:t xml:space="preserve">in ‘downtime’ when not used by other </w:t>
      </w:r>
      <w:r w:rsidR="00B24EA5" w:rsidRPr="0016463C">
        <w:t xml:space="preserve">non-WBL </w:t>
      </w:r>
      <w:r w:rsidR="00CC52BF" w:rsidRPr="0016463C">
        <w:t>courses, particularly over the summer period, for example. It would also</w:t>
      </w:r>
      <w:r w:rsidR="009D4334" w:rsidRPr="0016463C">
        <w:t xml:space="preserve"> assist</w:t>
      </w:r>
      <w:r w:rsidR="00BA53F6" w:rsidRPr="0016463C">
        <w:t xml:space="preserve"> </w:t>
      </w:r>
      <w:r w:rsidR="009D4334" w:rsidRPr="0016463C">
        <w:t>in optimising</w:t>
      </w:r>
      <w:r w:rsidR="00BA53F6" w:rsidRPr="0016463C">
        <w:t xml:space="preserve"> and maximis</w:t>
      </w:r>
      <w:r w:rsidR="009D4334" w:rsidRPr="0016463C">
        <w:t>ing</w:t>
      </w:r>
      <w:r w:rsidR="00BA53F6" w:rsidRPr="0016463C">
        <w:t xml:space="preserve"> student intake</w:t>
      </w:r>
      <w:r w:rsidR="009D4334" w:rsidRPr="0016463C">
        <w:t>,</w:t>
      </w:r>
      <w:r w:rsidR="00BA53F6" w:rsidRPr="0016463C">
        <w:t xml:space="preserve"> </w:t>
      </w:r>
      <w:r w:rsidR="009D4334" w:rsidRPr="0016463C">
        <w:t xml:space="preserve">particularly important since </w:t>
      </w:r>
      <w:r w:rsidR="00BA53F6" w:rsidRPr="0016463C">
        <w:t xml:space="preserve">lifting </w:t>
      </w:r>
      <w:r w:rsidR="009D4334" w:rsidRPr="0016463C">
        <w:t xml:space="preserve">of </w:t>
      </w:r>
      <w:r w:rsidR="00BA53F6" w:rsidRPr="0016463C">
        <w:t xml:space="preserve">the cap on full-time </w:t>
      </w:r>
      <w:r w:rsidR="00167D00" w:rsidRPr="0016463C">
        <w:t xml:space="preserve">UK </w:t>
      </w:r>
      <w:r w:rsidR="00BA53F6" w:rsidRPr="0016463C">
        <w:t>undergradu</w:t>
      </w:r>
      <w:r w:rsidR="00E60A19" w:rsidRPr="0016463C">
        <w:t>ate numbers implemented by the g</w:t>
      </w:r>
      <w:r w:rsidR="00BA53F6" w:rsidRPr="0016463C">
        <w:t xml:space="preserve">overnment in 2015 </w:t>
      </w:r>
      <w:r w:rsidR="00074A34" w:rsidRPr="0016463C">
        <w:fldChar w:fldCharType="begin"/>
      </w:r>
      <w:r w:rsidR="00074A34" w:rsidRPr="0016463C">
        <w:instrText xml:space="preserve"> ADDIN EN.CITE &lt;EndNote&gt;&lt;Cite&gt;&lt;Author&gt;Hillman&lt;/Author&gt;&lt;Year&gt;2014&lt;/Year&gt;&lt;RecNum&gt;719&lt;/RecNum&gt;&lt;DisplayText&gt;(Hillman, 2014)&lt;/DisplayText&gt;&lt;record&gt;&lt;rec-number&gt;719&lt;/rec-number&gt;&lt;foreign-keys&gt;&lt;key app="EN" db-id="z55xttzezxev91ewsev55ad4apzsf2pwza0p" timestamp="1442313786"&gt;719&lt;/key&gt;&lt;/foreign-keys&gt;&lt;ref-type name="Web Page"&gt;12&lt;/ref-type&gt;&lt;contributors&gt;&lt;authors&gt;&lt;author&gt;Nick Hillman&lt;/author&gt;&lt;/authors&gt;&lt;/contributors&gt;&lt;titles&gt;&lt;title&gt;A guide to the removal of student number controls&lt;/title&gt;&lt;secondary-title&gt;HEPI Report 69&lt;/secondary-title&gt;&lt;/titles&gt;&lt;volume&gt;2015&lt;/volume&gt;&lt;number&gt;15th September&lt;/number&gt;&lt;dates&gt;&lt;year&gt;2014&lt;/year&gt;&lt;/dates&gt;&lt;publisher&gt;Higher Education Policy Institute&lt;/publisher&gt;&lt;urls&gt;&lt;related-urls&gt;&lt;url&gt;http://www.hepi.ac.uk/wp-content/uploads/2014/09/Clean-copy-of-SNC-paper1.pdf&lt;/url&gt;&lt;/related-urls&gt;&lt;/urls&gt;&lt;/record&gt;&lt;/Cite&gt;&lt;/EndNote&gt;</w:instrText>
      </w:r>
      <w:r w:rsidR="00074A34" w:rsidRPr="0016463C">
        <w:fldChar w:fldCharType="separate"/>
      </w:r>
      <w:r w:rsidR="00074A34" w:rsidRPr="0016463C">
        <w:rPr>
          <w:noProof/>
        </w:rPr>
        <w:t>(Hillman, 2014)</w:t>
      </w:r>
      <w:r w:rsidR="00074A34" w:rsidRPr="0016463C">
        <w:fldChar w:fldCharType="end"/>
      </w:r>
      <w:r w:rsidR="00074A34" w:rsidRPr="0016463C">
        <w:t>.</w:t>
      </w:r>
    </w:p>
    <w:p w14:paraId="591CEC2D" w14:textId="2A53F0BE" w:rsidR="00EE5361" w:rsidRPr="0016463C" w:rsidRDefault="003A65BE" w:rsidP="00542E38">
      <w:r w:rsidRPr="0016463C">
        <w:t xml:space="preserve">During the </w:t>
      </w:r>
      <w:r w:rsidR="003F0969" w:rsidRPr="0016463C">
        <w:t>exploration</w:t>
      </w:r>
      <w:r w:rsidRPr="0016463C">
        <w:t xml:space="preserve"> and development </w:t>
      </w:r>
      <w:r w:rsidR="00751E71" w:rsidRPr="0016463C">
        <w:t xml:space="preserve">of the course a number of issues were identified, which need </w:t>
      </w:r>
      <w:r w:rsidR="003F0969" w:rsidRPr="0016463C">
        <w:t>further investigation</w:t>
      </w:r>
      <w:r w:rsidR="002D73AD" w:rsidRPr="0016463C">
        <w:t>.</w:t>
      </w:r>
      <w:r w:rsidR="003F0969" w:rsidRPr="0016463C">
        <w:t xml:space="preserve"> </w:t>
      </w:r>
      <w:r w:rsidR="000D2396" w:rsidRPr="0016463C">
        <w:t xml:space="preserve">One of the </w:t>
      </w:r>
      <w:r w:rsidR="00751E71" w:rsidRPr="0016463C">
        <w:t xml:space="preserve">primary </w:t>
      </w:r>
      <w:r w:rsidR="000D2396" w:rsidRPr="0016463C">
        <w:t>issues</w:t>
      </w:r>
      <w:r w:rsidR="0037709F" w:rsidRPr="0016463C">
        <w:t xml:space="preserve"> </w:t>
      </w:r>
      <w:r w:rsidR="00CA0F72" w:rsidRPr="0016463C">
        <w:t xml:space="preserve">encountered </w:t>
      </w:r>
      <w:r w:rsidR="00751E71" w:rsidRPr="0016463C">
        <w:t>during</w:t>
      </w:r>
      <w:r w:rsidR="00CA0F72" w:rsidRPr="0016463C">
        <w:t xml:space="preserve"> development </w:t>
      </w:r>
      <w:r w:rsidR="0037709F" w:rsidRPr="0016463C">
        <w:t>was that Government initiatives</w:t>
      </w:r>
      <w:r w:rsidR="00CA0F72" w:rsidRPr="0016463C">
        <w:t>,</w:t>
      </w:r>
      <w:r w:rsidR="0037709F" w:rsidRPr="0016463C">
        <w:t xml:space="preserve"> </w:t>
      </w:r>
      <w:r w:rsidR="00CA0F72" w:rsidRPr="0016463C">
        <w:t xml:space="preserve">such as Trailblazers, </w:t>
      </w:r>
      <w:r w:rsidR="0037709F" w:rsidRPr="0016463C">
        <w:t xml:space="preserve">rely </w:t>
      </w:r>
      <w:r w:rsidR="00CA0F72" w:rsidRPr="0016463C">
        <w:t xml:space="preserve">predominantly </w:t>
      </w:r>
      <w:r w:rsidR="0037709F" w:rsidRPr="0016463C">
        <w:t xml:space="preserve">on </w:t>
      </w:r>
      <w:r w:rsidR="00CA0F72" w:rsidRPr="0016463C">
        <w:t>the involvement of large industry players.</w:t>
      </w:r>
      <w:r w:rsidR="00542E38" w:rsidRPr="0016463C">
        <w:t xml:space="preserve"> </w:t>
      </w:r>
      <w:r w:rsidR="00150427" w:rsidRPr="0016463C">
        <w:t>While this could be addressed with the adoption of a more focus approached targeting companies with large web and/or social media departments in need of front-end designers to enhance their online presence, t</w:t>
      </w:r>
      <w:r w:rsidR="00542E38" w:rsidRPr="0016463C">
        <w:t>his presents potential limitations of the Trailblazer model. While this model works well for the construction or aerospace sector where there are several large sized industry employers in need of a high volume of employees with precise knowledge and skills</w:t>
      </w:r>
      <w:r w:rsidR="00063276" w:rsidRPr="0016463C">
        <w:t xml:space="preserve">, it is less effective for </w:t>
      </w:r>
      <w:r w:rsidR="00035AB4" w:rsidRPr="0016463C">
        <w:t>small and</w:t>
      </w:r>
      <w:r w:rsidR="000C397C" w:rsidRPr="0016463C">
        <w:t xml:space="preserve"> </w:t>
      </w:r>
      <w:r w:rsidR="00035AB4" w:rsidRPr="0016463C">
        <w:t>micro business</w:t>
      </w:r>
      <w:r w:rsidR="002D73AD" w:rsidRPr="0016463C">
        <w:t>, particularly within web and social media</w:t>
      </w:r>
      <w:r w:rsidR="00542E38" w:rsidRPr="0016463C">
        <w:t xml:space="preserve">. </w:t>
      </w:r>
      <w:r w:rsidR="00E77446" w:rsidRPr="0016463C">
        <w:t xml:space="preserve">However, this could be mitigated by structuring curricula to embedding creative orientated students in non-creative sector apprenticeships, as identified by Cunningham (2014) and Ashton (2015). </w:t>
      </w:r>
    </w:p>
    <w:p w14:paraId="2907B240" w14:textId="278B0EC3" w:rsidR="00751E71" w:rsidRPr="0016463C" w:rsidRDefault="008A58BB" w:rsidP="00542E38">
      <w:r w:rsidRPr="0016463C">
        <w:t>From a higher education perspective, t</w:t>
      </w:r>
      <w:r w:rsidR="00751E71" w:rsidRPr="0016463C">
        <w:t xml:space="preserve">here were also concerns over the ‘cannibalisation’ of traditional courses. For example, how does the learning institution maintain equilibrium between two similar courses, where one is traditional and one is WBL, without creating an unhealthy internal market that might become competitive and self-defeating? </w:t>
      </w:r>
    </w:p>
    <w:p w14:paraId="636E11ED" w14:textId="714768C9" w:rsidR="00CA0F72" w:rsidRPr="0016463C" w:rsidRDefault="00542E38" w:rsidP="00CA0F72">
      <w:r w:rsidRPr="0016463C">
        <w:t>Although</w:t>
      </w:r>
      <w:r w:rsidR="00CA0F72" w:rsidRPr="0016463C">
        <w:t xml:space="preserve"> web and social media </w:t>
      </w:r>
      <w:r w:rsidR="004067BC" w:rsidRPr="0016463C">
        <w:t xml:space="preserve">knowledge and </w:t>
      </w:r>
      <w:r w:rsidR="00CA0F72" w:rsidRPr="0016463C">
        <w:t xml:space="preserve">skills </w:t>
      </w:r>
      <w:r w:rsidR="00B6216B" w:rsidRPr="0016463C">
        <w:t xml:space="preserve">are </w:t>
      </w:r>
      <w:r w:rsidR="007B78F2" w:rsidRPr="0016463C">
        <w:t>in-</w:t>
      </w:r>
      <w:r w:rsidR="00CA0F72" w:rsidRPr="0016463C">
        <w:t xml:space="preserve">demand </w:t>
      </w:r>
      <w:r w:rsidR="005713E2" w:rsidRPr="0016463C">
        <w:t>across</w:t>
      </w:r>
      <w:r w:rsidR="00CA0F72" w:rsidRPr="0016463C">
        <w:t xml:space="preserve"> most modern companies, </w:t>
      </w:r>
      <w:r w:rsidRPr="0016463C">
        <w:t xml:space="preserve">the case study </w:t>
      </w:r>
      <w:r w:rsidR="00E41AE9" w:rsidRPr="0016463C">
        <w:t xml:space="preserve">reveals </w:t>
      </w:r>
      <w:r w:rsidR="00063276" w:rsidRPr="0016463C">
        <w:t xml:space="preserve">the web and social media sector </w:t>
      </w:r>
      <w:r w:rsidRPr="0016463C">
        <w:t xml:space="preserve">to be a small but rapidly expanding market </w:t>
      </w:r>
      <w:r w:rsidR="00A81187" w:rsidRPr="0016463C">
        <w:t xml:space="preserve">within the creative industries </w:t>
      </w:r>
      <w:r w:rsidRPr="0016463C">
        <w:t>containing diverse variety of niche markets</w:t>
      </w:r>
      <w:r w:rsidR="000C397C" w:rsidRPr="0016463C">
        <w:t xml:space="preserve"> and micro businesses</w:t>
      </w:r>
      <w:r w:rsidRPr="0016463C">
        <w:t xml:space="preserve">. </w:t>
      </w:r>
      <w:r w:rsidR="007B78F2" w:rsidRPr="0016463C">
        <w:t>Therefore</w:t>
      </w:r>
      <w:r w:rsidR="00FF6B1B" w:rsidRPr="0016463C">
        <w:t>,</w:t>
      </w:r>
      <w:r w:rsidR="007B78F2" w:rsidRPr="0016463C">
        <w:t xml:space="preserve"> </w:t>
      </w:r>
      <w:r w:rsidR="00873067" w:rsidRPr="0016463C">
        <w:t xml:space="preserve">a framework or strategy for addressing issues of multiple </w:t>
      </w:r>
      <w:r w:rsidR="008A58BB" w:rsidRPr="0016463C">
        <w:t xml:space="preserve">and diverse </w:t>
      </w:r>
      <w:r w:rsidR="00873067" w:rsidRPr="0016463C">
        <w:t xml:space="preserve">employers </w:t>
      </w:r>
      <w:r w:rsidR="008A58BB" w:rsidRPr="0016463C">
        <w:t xml:space="preserve">within one sector </w:t>
      </w:r>
      <w:r w:rsidR="001A0E24" w:rsidRPr="0016463C">
        <w:t xml:space="preserve">each employing one student on the </w:t>
      </w:r>
      <w:r w:rsidR="00873067" w:rsidRPr="0016463C">
        <w:t>WBL course</w:t>
      </w:r>
      <w:r w:rsidR="007B78F2" w:rsidRPr="0016463C">
        <w:t xml:space="preserve"> in needed</w:t>
      </w:r>
      <w:r w:rsidR="00873067" w:rsidRPr="0016463C">
        <w:t>.</w:t>
      </w:r>
      <w:r w:rsidR="001A0E24" w:rsidRPr="0016463C">
        <w:t xml:space="preserve"> This could amount to </w:t>
      </w:r>
      <w:r w:rsidR="00063276" w:rsidRPr="0016463C">
        <w:t xml:space="preserve">the involvement of </w:t>
      </w:r>
      <w:r w:rsidR="001A0E24" w:rsidRPr="0016463C">
        <w:t>15 to 20 partnership employers</w:t>
      </w:r>
      <w:r w:rsidR="008A58BB" w:rsidRPr="0016463C">
        <w:t xml:space="preserve"> each with their own niche employment and training needs</w:t>
      </w:r>
      <w:r w:rsidR="006C3249" w:rsidRPr="0016463C">
        <w:t xml:space="preserve"> and could extend beyond the creative sector, as previously stated</w:t>
      </w:r>
      <w:r w:rsidR="001A0E24" w:rsidRPr="0016463C">
        <w:t>.</w:t>
      </w:r>
      <w:r w:rsidR="00873067" w:rsidRPr="0016463C">
        <w:t xml:space="preserve"> </w:t>
      </w:r>
      <w:r w:rsidR="00953A89" w:rsidRPr="0016463C">
        <w:t xml:space="preserve">The challenge for universities is to develop curricula that are commensurate with all skills and development needs of all employers signed up to the programme. This might </w:t>
      </w:r>
      <w:r w:rsidR="00FF6B1B" w:rsidRPr="0016463C">
        <w:t xml:space="preserve">prove problematic </w:t>
      </w:r>
      <w:r w:rsidR="00953A89" w:rsidRPr="0016463C">
        <w:t>given Robert Dalitz et al., (2011)</w:t>
      </w:r>
      <w:r w:rsidR="00663839" w:rsidRPr="0016463C">
        <w:t xml:space="preserve"> argument that</w:t>
      </w:r>
      <w:r w:rsidR="00953A89" w:rsidRPr="0016463C">
        <w:t xml:space="preserve"> industry collaboration </w:t>
      </w:r>
      <w:r w:rsidR="00663839" w:rsidRPr="0016463C">
        <w:t>needs to</w:t>
      </w:r>
      <w:r w:rsidR="00953A89" w:rsidRPr="0016463C">
        <w:t xml:space="preserve"> </w:t>
      </w:r>
      <w:r w:rsidR="00E41AE9">
        <w:t xml:space="preserve">be </w:t>
      </w:r>
      <w:r w:rsidR="00953A89" w:rsidRPr="0016463C">
        <w:t xml:space="preserve">defined by changing structure of </w:t>
      </w:r>
      <w:r w:rsidR="00FF6B1B" w:rsidRPr="0016463C">
        <w:t>businesses</w:t>
      </w:r>
      <w:r w:rsidR="00953A89" w:rsidRPr="0016463C">
        <w:t>.</w:t>
      </w:r>
    </w:p>
    <w:p w14:paraId="2D0376CA" w14:textId="5B8BD6F6" w:rsidR="00D02753" w:rsidRPr="0016463C" w:rsidRDefault="00FF6B1B" w:rsidP="00D02753">
      <w:r w:rsidRPr="0016463C">
        <w:t>Consequently,</w:t>
      </w:r>
      <w:r w:rsidR="005C2E9C" w:rsidRPr="0016463C">
        <w:t xml:space="preserve"> consulting with employers on how to improve the skills gap within their sector and their businesses</w:t>
      </w:r>
      <w:r w:rsidRPr="0016463C">
        <w:t xml:space="preserve"> is crucial</w:t>
      </w:r>
      <w:r w:rsidR="007B73E8" w:rsidRPr="0016463C">
        <w:t xml:space="preserve">. </w:t>
      </w:r>
      <w:r w:rsidR="00561BBD" w:rsidRPr="0016463C">
        <w:t xml:space="preserve">The development of and uses of digital </w:t>
      </w:r>
      <w:r w:rsidR="00092A0E" w:rsidRPr="0016463C">
        <w:t>technolog</w:t>
      </w:r>
      <w:r w:rsidR="00092A0E">
        <w:t>ies</w:t>
      </w:r>
      <w:r w:rsidR="00092A0E" w:rsidRPr="0016463C">
        <w:t xml:space="preserve"> </w:t>
      </w:r>
      <w:r w:rsidR="00561BBD" w:rsidRPr="0016463C">
        <w:t>continue</w:t>
      </w:r>
      <w:r w:rsidR="00092A0E">
        <w:t>s</w:t>
      </w:r>
      <w:r w:rsidR="00561BBD" w:rsidRPr="0016463C">
        <w:t xml:space="preserve"> to </w:t>
      </w:r>
      <w:r w:rsidR="003E697E" w:rsidRPr="0016463C">
        <w:t>grow</w:t>
      </w:r>
      <w:r w:rsidR="00561BBD" w:rsidRPr="0016463C">
        <w:t xml:space="preserve"> exponentially and this is set to continue. Employers, particularly in the creative industries</w:t>
      </w:r>
      <w:r w:rsidR="003E697E" w:rsidRPr="0016463C">
        <w:t>,</w:t>
      </w:r>
      <w:r w:rsidR="00561BBD" w:rsidRPr="0016463C">
        <w:t xml:space="preserve"> exploit these changes commercially and swiftly</w:t>
      </w:r>
      <w:r w:rsidR="000D2396" w:rsidRPr="0016463C">
        <w:t xml:space="preserve"> and, for educators, developing courses that remain current</w:t>
      </w:r>
      <w:r w:rsidR="00613429" w:rsidRPr="0016463C">
        <w:t>, relevant</w:t>
      </w:r>
      <w:r w:rsidR="000D2396" w:rsidRPr="0016463C">
        <w:t xml:space="preserve"> and up-to-date is a constant challenge</w:t>
      </w:r>
      <w:r w:rsidR="00561BBD" w:rsidRPr="0016463C">
        <w:t xml:space="preserve">. </w:t>
      </w:r>
      <w:r w:rsidR="007B73E8" w:rsidRPr="0016463C">
        <w:t>Consultation</w:t>
      </w:r>
      <w:r w:rsidR="00561BBD" w:rsidRPr="0016463C">
        <w:t>, therefore,</w:t>
      </w:r>
      <w:r w:rsidR="007B73E8" w:rsidRPr="0016463C">
        <w:t xml:space="preserve"> should also identify </w:t>
      </w:r>
      <w:r w:rsidR="00561BBD" w:rsidRPr="0016463C">
        <w:t xml:space="preserve">and keep abreast of </w:t>
      </w:r>
      <w:r w:rsidR="007B73E8" w:rsidRPr="0016463C">
        <w:t xml:space="preserve">emerging employment </w:t>
      </w:r>
      <w:r w:rsidR="003E697E" w:rsidRPr="0016463C">
        <w:t>requirements for skills</w:t>
      </w:r>
      <w:r w:rsidR="007B73E8" w:rsidRPr="0016463C">
        <w:t xml:space="preserve"> and knowledge that could be incorporated into courses. </w:t>
      </w:r>
    </w:p>
    <w:p w14:paraId="0B96CB3E" w14:textId="3D651F7F" w:rsidR="002F2B00" w:rsidRPr="0016463C" w:rsidRDefault="00AA106E" w:rsidP="002F2B00">
      <w:r w:rsidRPr="0016463C">
        <w:t>At the time</w:t>
      </w:r>
      <w:r w:rsidR="00726E0C" w:rsidRPr="0016463C">
        <w:t xml:space="preserve"> of writing the course remains </w:t>
      </w:r>
      <w:r w:rsidRPr="0016463C">
        <w:t>in development</w:t>
      </w:r>
      <w:r w:rsidR="00DB69AF">
        <w:t>.</w:t>
      </w:r>
      <w:r w:rsidRPr="0016463C">
        <w:t xml:space="preserve"> </w:t>
      </w:r>
      <w:r w:rsidR="00DB69AF">
        <w:t>D</w:t>
      </w:r>
      <w:r w:rsidR="006A5670" w:rsidRPr="0016463C">
        <w:t>esigns and concepts are evolving to</w:t>
      </w:r>
      <w:r w:rsidR="00E61AB6" w:rsidRPr="0016463C">
        <w:t xml:space="preserve"> increasing </w:t>
      </w:r>
      <w:r w:rsidR="006A5670" w:rsidRPr="0016463C">
        <w:t>engagement</w:t>
      </w:r>
      <w:r w:rsidR="00E61AB6" w:rsidRPr="0016463C">
        <w:t xml:space="preserve"> </w:t>
      </w:r>
      <w:r w:rsidR="006A5670" w:rsidRPr="0016463C">
        <w:t xml:space="preserve">and build employment partnerships </w:t>
      </w:r>
      <w:r w:rsidR="00E61AB6" w:rsidRPr="0016463C">
        <w:t>with small and micro businesses that are in need of skills offered by our web and social media orientated course</w:t>
      </w:r>
      <w:r w:rsidR="006A5670" w:rsidRPr="0016463C">
        <w:t xml:space="preserve">s. </w:t>
      </w:r>
      <w:r w:rsidR="00D644EB" w:rsidRPr="0016463C">
        <w:t xml:space="preserve">Involvement in the HEFCE Catalyst Fund and the </w:t>
      </w:r>
      <w:r w:rsidR="00D644EB" w:rsidRPr="0016463C">
        <w:rPr>
          <w:i/>
        </w:rPr>
        <w:t>Exploring Higher Apprenticeships in HE</w:t>
      </w:r>
      <w:r w:rsidR="00D644EB" w:rsidRPr="0016463C">
        <w:t xml:space="preserve"> project has been a valuable experience and has provided a great deal of knowledge and </w:t>
      </w:r>
      <w:r w:rsidR="005503D7" w:rsidRPr="0016463C">
        <w:t>insight</w:t>
      </w:r>
      <w:r w:rsidR="00D644EB" w:rsidRPr="0016463C">
        <w:t xml:space="preserve">, which I have endeavoured to convey in this </w:t>
      </w:r>
      <w:r w:rsidR="00CA7BD0" w:rsidRPr="0016463C">
        <w:t>article</w:t>
      </w:r>
      <w:r w:rsidR="00454D01" w:rsidRPr="0016463C">
        <w:t xml:space="preserve">. </w:t>
      </w:r>
      <w:bookmarkStart w:id="21" w:name="_GoBack"/>
      <w:bookmarkEnd w:id="21"/>
    </w:p>
    <w:p w14:paraId="25C89866" w14:textId="77777777" w:rsidR="0095664B" w:rsidRPr="0016463C" w:rsidRDefault="0095664B" w:rsidP="002F2B00"/>
    <w:p w14:paraId="0F4D1469" w14:textId="77777777" w:rsidR="008E3033" w:rsidRPr="00240464" w:rsidRDefault="008E3033" w:rsidP="00F50E07">
      <w:pPr>
        <w:pStyle w:val="EndNoteBibliographyTitle"/>
        <w:jc w:val="both"/>
        <w:rPr>
          <w:lang w:val="en-GB"/>
        </w:rPr>
      </w:pPr>
    </w:p>
    <w:p w14:paraId="00C999B3" w14:textId="77777777" w:rsidR="006A189A" w:rsidRPr="00240464" w:rsidRDefault="006A189A" w:rsidP="00F50E07">
      <w:pPr>
        <w:pStyle w:val="EndNoteBibliographyTitle"/>
        <w:jc w:val="both"/>
        <w:rPr>
          <w:lang w:val="en-GB"/>
        </w:rPr>
      </w:pPr>
    </w:p>
    <w:p w14:paraId="3893D7C9" w14:textId="77777777" w:rsidR="00CB5A9E" w:rsidRPr="00240464" w:rsidRDefault="006A6B43" w:rsidP="00CB5A9E">
      <w:pPr>
        <w:pStyle w:val="EndNoteBibliographyTitle"/>
        <w:rPr>
          <w:noProof/>
          <w:lang w:val="en-GB"/>
        </w:rPr>
      </w:pPr>
      <w:r w:rsidRPr="0016463C">
        <w:rPr>
          <w:bCs/>
          <w:noProof/>
          <w:sz w:val="28"/>
          <w:szCs w:val="32"/>
          <w:lang w:val="en-GB"/>
        </w:rPr>
        <w:fldChar w:fldCharType="begin"/>
      </w:r>
      <w:r w:rsidRPr="00240464">
        <w:rPr>
          <w:lang w:val="en-GB"/>
        </w:rPr>
        <w:instrText xml:space="preserve"> ADDIN EN.REFLIST </w:instrText>
      </w:r>
      <w:r w:rsidRPr="0016463C">
        <w:rPr>
          <w:bCs/>
          <w:noProof/>
          <w:sz w:val="28"/>
          <w:szCs w:val="32"/>
          <w:lang w:val="en-GB"/>
        </w:rPr>
        <w:fldChar w:fldCharType="separate"/>
      </w:r>
      <w:r w:rsidR="00CB5A9E" w:rsidRPr="00240464">
        <w:rPr>
          <w:noProof/>
          <w:lang w:val="en-GB"/>
        </w:rPr>
        <w:t>References</w:t>
      </w:r>
    </w:p>
    <w:p w14:paraId="56F27EE0" w14:textId="77777777" w:rsidR="00CB5A9E" w:rsidRPr="00240464" w:rsidRDefault="00CB5A9E" w:rsidP="00CB5A9E">
      <w:pPr>
        <w:pStyle w:val="EndNoteBibliographyTitle"/>
        <w:rPr>
          <w:noProof/>
          <w:lang w:val="en-GB"/>
        </w:rPr>
      </w:pPr>
    </w:p>
    <w:p w14:paraId="3E083CEB" w14:textId="77777777" w:rsidR="00CB5A9E" w:rsidRPr="00240464" w:rsidRDefault="00CB5A9E" w:rsidP="00CB5A9E">
      <w:pPr>
        <w:pStyle w:val="EndNoteBibliography"/>
        <w:spacing w:after="0"/>
        <w:ind w:left="720" w:hanging="720"/>
        <w:rPr>
          <w:noProof/>
          <w:lang w:val="en-GB"/>
        </w:rPr>
      </w:pPr>
      <w:r w:rsidRPr="00240464">
        <w:rPr>
          <w:noProof/>
          <w:lang w:val="en-GB"/>
        </w:rPr>
        <w:t xml:space="preserve">Anderson, A., Bravenboer, D. &amp; Hemsworth, D. (2012), </w:t>
      </w:r>
      <w:r w:rsidRPr="00240464">
        <w:rPr>
          <w:i/>
          <w:noProof/>
          <w:lang w:val="en-GB"/>
        </w:rPr>
        <w:t>The role of universities in higher apprenticeship development</w:t>
      </w:r>
      <w:r w:rsidRPr="00240464">
        <w:rPr>
          <w:noProof/>
          <w:lang w:val="en-GB"/>
        </w:rPr>
        <w:t>. Higher Education, Skills and Work-based Learning, Media and Technology</w:t>
      </w:r>
      <w:r w:rsidRPr="00240464">
        <w:rPr>
          <w:i/>
          <w:noProof/>
          <w:lang w:val="en-GB"/>
        </w:rPr>
        <w:t>,</w:t>
      </w:r>
      <w:r w:rsidRPr="00240464">
        <w:rPr>
          <w:noProof/>
          <w:lang w:val="en-GB"/>
        </w:rPr>
        <w:t xml:space="preserve"> 2</w:t>
      </w:r>
      <w:r w:rsidRPr="00240464">
        <w:rPr>
          <w:b/>
          <w:noProof/>
          <w:lang w:val="en-GB"/>
        </w:rPr>
        <w:t>:</w:t>
      </w:r>
      <w:r w:rsidRPr="00240464">
        <w:rPr>
          <w:noProof/>
          <w:lang w:val="en-GB"/>
        </w:rPr>
        <w:t>3,</w:t>
      </w:r>
      <w:r w:rsidRPr="00240464">
        <w:rPr>
          <w:b/>
          <w:noProof/>
          <w:lang w:val="en-GB"/>
        </w:rPr>
        <w:t xml:space="preserve"> </w:t>
      </w:r>
      <w:r w:rsidRPr="00240464">
        <w:rPr>
          <w:noProof/>
          <w:lang w:val="en-GB"/>
        </w:rPr>
        <w:t xml:space="preserve"> pp. 240-255.</w:t>
      </w:r>
    </w:p>
    <w:p w14:paraId="21C04FCE" w14:textId="77777777" w:rsidR="00CB5A9E" w:rsidRPr="00240464" w:rsidRDefault="00CB5A9E" w:rsidP="00CB5A9E">
      <w:pPr>
        <w:pStyle w:val="EndNoteBibliography"/>
        <w:spacing w:after="0"/>
        <w:ind w:left="720" w:hanging="720"/>
        <w:rPr>
          <w:noProof/>
          <w:lang w:val="en-GB"/>
        </w:rPr>
      </w:pPr>
      <w:r w:rsidRPr="00240464">
        <w:rPr>
          <w:noProof/>
          <w:lang w:val="en-GB"/>
        </w:rPr>
        <w:t xml:space="preserve">Ashton, D. (2015), </w:t>
      </w:r>
      <w:r w:rsidRPr="00240464">
        <w:rPr>
          <w:i/>
          <w:noProof/>
          <w:lang w:val="en-GB"/>
        </w:rPr>
        <w:t>Creative work careers: pathways and portfolios for the creative economy</w:t>
      </w:r>
      <w:r w:rsidRPr="00240464">
        <w:rPr>
          <w:noProof/>
          <w:lang w:val="en-GB"/>
        </w:rPr>
        <w:t>. Journal of Education and Work</w:t>
      </w:r>
      <w:r w:rsidRPr="00240464">
        <w:rPr>
          <w:i/>
          <w:noProof/>
          <w:lang w:val="en-GB"/>
        </w:rPr>
        <w:t>,</w:t>
      </w:r>
      <w:r w:rsidRPr="00240464">
        <w:rPr>
          <w:noProof/>
          <w:lang w:val="en-GB"/>
        </w:rPr>
        <w:t xml:space="preserve"> 28</w:t>
      </w:r>
      <w:r w:rsidRPr="00240464">
        <w:rPr>
          <w:b/>
          <w:noProof/>
          <w:lang w:val="en-GB"/>
        </w:rPr>
        <w:t>:</w:t>
      </w:r>
      <w:r w:rsidRPr="00240464">
        <w:rPr>
          <w:noProof/>
          <w:lang w:val="en-GB"/>
        </w:rPr>
        <w:t>4,</w:t>
      </w:r>
      <w:r w:rsidRPr="00240464">
        <w:rPr>
          <w:b/>
          <w:noProof/>
          <w:lang w:val="en-GB"/>
        </w:rPr>
        <w:t xml:space="preserve"> </w:t>
      </w:r>
      <w:r w:rsidRPr="00240464">
        <w:rPr>
          <w:noProof/>
          <w:lang w:val="en-GB"/>
        </w:rPr>
        <w:t xml:space="preserve"> pp. 388–406.</w:t>
      </w:r>
    </w:p>
    <w:p w14:paraId="3429BF4F" w14:textId="0F1FFF9E" w:rsidR="00CB5A9E" w:rsidRPr="00240464" w:rsidRDefault="00CB5A9E" w:rsidP="00CB5A9E">
      <w:pPr>
        <w:pStyle w:val="EndNoteBibliography"/>
        <w:spacing w:after="0"/>
        <w:ind w:left="720" w:hanging="720"/>
        <w:rPr>
          <w:noProof/>
          <w:lang w:val="en-GB"/>
        </w:rPr>
      </w:pPr>
      <w:r w:rsidRPr="00240464">
        <w:rPr>
          <w:noProof/>
          <w:lang w:val="en-GB"/>
        </w:rPr>
        <w:t xml:space="preserve">BCC (2014), </w:t>
      </w:r>
      <w:r w:rsidRPr="00240464">
        <w:rPr>
          <w:i/>
          <w:noProof/>
          <w:lang w:val="en-GB"/>
        </w:rPr>
        <w:t xml:space="preserve">Young people need more support to make transition from education to work </w:t>
      </w:r>
      <w:r w:rsidRPr="00240464">
        <w:rPr>
          <w:noProof/>
          <w:lang w:val="en-GB"/>
        </w:rPr>
        <w:t xml:space="preserve">[Online]. British Chamber of Commerce. Available: </w:t>
      </w:r>
      <w:hyperlink r:id="rId10" w:history="1">
        <w:r w:rsidRPr="0016463C">
          <w:rPr>
            <w:rStyle w:val="Hyperlink"/>
            <w:noProof/>
            <w:lang w:val="en-GB"/>
          </w:rPr>
          <w:t>http://www.britishchambers.org.uk/press-office/press-releases/young-people-need-more-support-to-make-transition-from-education-to-work,-says-bcc.html</w:t>
        </w:r>
      </w:hyperlink>
      <w:r w:rsidRPr="00240464">
        <w:rPr>
          <w:noProof/>
          <w:lang w:val="en-GB"/>
        </w:rPr>
        <w:t xml:space="preserve"> Accessed 17th August 2015.</w:t>
      </w:r>
    </w:p>
    <w:p w14:paraId="0821E238" w14:textId="77777777" w:rsidR="00CB5A9E" w:rsidRPr="00240464" w:rsidRDefault="00CB5A9E" w:rsidP="00CB5A9E">
      <w:pPr>
        <w:pStyle w:val="EndNoteBibliography"/>
        <w:spacing w:after="0"/>
        <w:ind w:left="720" w:hanging="720"/>
        <w:rPr>
          <w:noProof/>
          <w:lang w:val="en-GB"/>
        </w:rPr>
      </w:pPr>
      <w:r w:rsidRPr="00240464">
        <w:rPr>
          <w:noProof/>
          <w:lang w:val="en-GB"/>
        </w:rPr>
        <w:t xml:space="preserve">Boud, D. &amp; Solomon, N. (eds.) (2001), </w:t>
      </w:r>
      <w:r w:rsidRPr="00240464">
        <w:rPr>
          <w:i/>
          <w:noProof/>
          <w:lang w:val="en-GB"/>
        </w:rPr>
        <w:t xml:space="preserve">Work-based Learning – A New Higher Education?, </w:t>
      </w:r>
      <w:r w:rsidRPr="00240464">
        <w:rPr>
          <w:noProof/>
          <w:lang w:val="en-GB"/>
        </w:rPr>
        <w:t>Buckingham, UK: Open University Press.</w:t>
      </w:r>
    </w:p>
    <w:p w14:paraId="18D669E7" w14:textId="77777777" w:rsidR="00CB5A9E" w:rsidRPr="00240464" w:rsidRDefault="00CB5A9E" w:rsidP="00CB5A9E">
      <w:pPr>
        <w:pStyle w:val="EndNoteBibliography"/>
        <w:spacing w:after="0"/>
        <w:ind w:left="720" w:hanging="720"/>
        <w:rPr>
          <w:noProof/>
          <w:lang w:val="en-GB"/>
        </w:rPr>
      </w:pPr>
      <w:r w:rsidRPr="00240464">
        <w:rPr>
          <w:noProof/>
          <w:lang w:val="en-GB"/>
        </w:rPr>
        <w:t xml:space="preserve">Brown, R. (2013), </w:t>
      </w:r>
      <w:r w:rsidRPr="00240464">
        <w:rPr>
          <w:i/>
          <w:noProof/>
          <w:lang w:val="en-GB"/>
        </w:rPr>
        <w:t xml:space="preserve">Everything for Sale? The Marketisation of UK Higher Education (Research into Higher Education), </w:t>
      </w:r>
      <w:r w:rsidRPr="00240464">
        <w:rPr>
          <w:noProof/>
          <w:lang w:val="en-GB"/>
        </w:rPr>
        <w:t>London, Routledge.</w:t>
      </w:r>
    </w:p>
    <w:p w14:paraId="6F2D717C" w14:textId="7D3AAAD3" w:rsidR="00CB5A9E" w:rsidRPr="00240464" w:rsidRDefault="00CB5A9E" w:rsidP="00CB5A9E">
      <w:pPr>
        <w:pStyle w:val="EndNoteBibliography"/>
        <w:spacing w:after="0"/>
        <w:ind w:left="720" w:hanging="720"/>
        <w:rPr>
          <w:noProof/>
          <w:lang w:val="en-GB"/>
        </w:rPr>
      </w:pPr>
      <w:r w:rsidRPr="00240464">
        <w:rPr>
          <w:noProof/>
          <w:lang w:val="en-GB"/>
        </w:rPr>
        <w:t xml:space="preserve">Coughlan, S. (2010), </w:t>
      </w:r>
      <w:r w:rsidRPr="00240464">
        <w:rPr>
          <w:i/>
          <w:noProof/>
          <w:lang w:val="en-GB"/>
        </w:rPr>
        <w:t xml:space="preserve">Students stage day of protests over tuition fee rises </w:t>
      </w:r>
      <w:r w:rsidRPr="00240464">
        <w:rPr>
          <w:noProof/>
          <w:lang w:val="en-GB"/>
        </w:rPr>
        <w:t xml:space="preserve">[Online]. BBC News. Available: </w:t>
      </w:r>
      <w:hyperlink r:id="rId11" w:history="1">
        <w:r w:rsidRPr="0016463C">
          <w:rPr>
            <w:rStyle w:val="Hyperlink"/>
            <w:noProof/>
            <w:lang w:val="en-GB"/>
          </w:rPr>
          <w:t>http://www.bbc.co.uk/news/education-11829102</w:t>
        </w:r>
      </w:hyperlink>
      <w:r w:rsidRPr="00240464">
        <w:rPr>
          <w:noProof/>
          <w:lang w:val="en-GB"/>
        </w:rPr>
        <w:t xml:space="preserve"> Accessed 21st October 2015.</w:t>
      </w:r>
    </w:p>
    <w:p w14:paraId="067F9B13" w14:textId="77777777" w:rsidR="00CB5A9E" w:rsidRPr="00240464" w:rsidRDefault="00CB5A9E" w:rsidP="00CB5A9E">
      <w:pPr>
        <w:pStyle w:val="EndNoteBibliography"/>
        <w:spacing w:after="0"/>
        <w:ind w:left="720" w:hanging="720"/>
        <w:rPr>
          <w:noProof/>
          <w:lang w:val="en-GB"/>
        </w:rPr>
      </w:pPr>
      <w:r w:rsidRPr="00240464">
        <w:rPr>
          <w:noProof/>
          <w:lang w:val="en-GB"/>
        </w:rPr>
        <w:t xml:space="preserve">Cunningham, S. (2014), </w:t>
      </w:r>
      <w:r w:rsidRPr="00240464">
        <w:rPr>
          <w:i/>
          <w:noProof/>
          <w:lang w:val="en-GB"/>
        </w:rPr>
        <w:t>Creative Labour and Its Discontents: A Reappraisal</w:t>
      </w:r>
      <w:r w:rsidRPr="00240464">
        <w:rPr>
          <w:noProof/>
          <w:lang w:val="en-GB"/>
        </w:rPr>
        <w:t xml:space="preserve">. </w:t>
      </w:r>
      <w:r w:rsidRPr="00240464">
        <w:rPr>
          <w:i/>
          <w:noProof/>
          <w:lang w:val="en-GB"/>
        </w:rPr>
        <w:t>In:</w:t>
      </w:r>
      <w:r w:rsidRPr="00240464">
        <w:rPr>
          <w:noProof/>
          <w:lang w:val="en-GB"/>
        </w:rPr>
        <w:t xml:space="preserve"> Hearn, G., Bridgstock, R., Goldsmith, B. &amp; Rodgers, J. (eds.) </w:t>
      </w:r>
      <w:r w:rsidRPr="00240464">
        <w:rPr>
          <w:i/>
          <w:noProof/>
          <w:lang w:val="en-GB"/>
        </w:rPr>
        <w:t>Creative Work Beyond the Creative Industries: Innovation, Employment and Education.</w:t>
      </w:r>
      <w:r w:rsidRPr="00240464">
        <w:rPr>
          <w:noProof/>
          <w:lang w:val="en-GB"/>
        </w:rPr>
        <w:t xml:space="preserve"> Cheltenham: Edward Elgar.</w:t>
      </w:r>
    </w:p>
    <w:p w14:paraId="6978EDBE" w14:textId="1D4534A5" w:rsidR="00CB5A9E" w:rsidRPr="00240464" w:rsidRDefault="00CB5A9E" w:rsidP="00CB5A9E">
      <w:pPr>
        <w:pStyle w:val="EndNoteBibliography"/>
        <w:spacing w:after="0"/>
        <w:ind w:left="720" w:hanging="720"/>
        <w:rPr>
          <w:noProof/>
          <w:lang w:val="en-GB"/>
        </w:rPr>
      </w:pPr>
      <w:r w:rsidRPr="00240464">
        <w:rPr>
          <w:noProof/>
          <w:lang w:val="en-GB"/>
        </w:rPr>
        <w:t xml:space="preserve">Department for Culture Media &amp; Sport (2015), </w:t>
      </w:r>
      <w:r w:rsidRPr="00240464">
        <w:rPr>
          <w:i/>
          <w:noProof/>
          <w:lang w:val="en-GB"/>
        </w:rPr>
        <w:t xml:space="preserve">Creative Industries now worth £8.8 million an hour to UK economy </w:t>
      </w:r>
      <w:r w:rsidRPr="00240464">
        <w:rPr>
          <w:noProof/>
          <w:lang w:val="en-GB"/>
        </w:rPr>
        <w:t xml:space="preserve">[Online]. Gov.uk. Available: </w:t>
      </w:r>
      <w:hyperlink r:id="rId12" w:history="1">
        <w:r w:rsidRPr="0016463C">
          <w:rPr>
            <w:rStyle w:val="Hyperlink"/>
            <w:noProof/>
            <w:lang w:val="en-GB"/>
          </w:rPr>
          <w:t>https://www.gov.uk/government/news/creative-industries-now-worth-88-million-an-hour-to-uk-economy</w:t>
        </w:r>
      </w:hyperlink>
      <w:r w:rsidRPr="00240464">
        <w:rPr>
          <w:noProof/>
          <w:lang w:val="en-GB"/>
        </w:rPr>
        <w:t xml:space="preserve"> Accessed 22nd October 2015.</w:t>
      </w:r>
    </w:p>
    <w:p w14:paraId="4DE538F3" w14:textId="77777777" w:rsidR="00CB5A9E" w:rsidRPr="00240464" w:rsidRDefault="00CB5A9E" w:rsidP="00CB5A9E">
      <w:pPr>
        <w:pStyle w:val="EndNoteBibliography"/>
        <w:spacing w:after="0"/>
        <w:ind w:left="720" w:hanging="720"/>
        <w:rPr>
          <w:noProof/>
          <w:lang w:val="en-GB"/>
        </w:rPr>
      </w:pPr>
      <w:r w:rsidRPr="00240464">
        <w:rPr>
          <w:noProof/>
          <w:lang w:val="en-GB"/>
        </w:rPr>
        <w:t xml:space="preserve">Guile, D. (2009), </w:t>
      </w:r>
      <w:r w:rsidRPr="00240464">
        <w:rPr>
          <w:i/>
          <w:noProof/>
          <w:lang w:val="en-GB"/>
        </w:rPr>
        <w:t>Conceptualizing the transition from education to work as vocational practice: Lessons from the UK's creative and cultural sector</w:t>
      </w:r>
      <w:r w:rsidRPr="00240464">
        <w:rPr>
          <w:noProof/>
          <w:lang w:val="en-GB"/>
        </w:rPr>
        <w:t>. British Educational Research Journal</w:t>
      </w:r>
      <w:r w:rsidRPr="00240464">
        <w:rPr>
          <w:i/>
          <w:noProof/>
          <w:lang w:val="en-GB"/>
        </w:rPr>
        <w:t>,</w:t>
      </w:r>
      <w:r w:rsidRPr="00240464">
        <w:rPr>
          <w:noProof/>
          <w:lang w:val="en-GB"/>
        </w:rPr>
        <w:t xml:space="preserve"> 35</w:t>
      </w:r>
      <w:r w:rsidRPr="00240464">
        <w:rPr>
          <w:b/>
          <w:noProof/>
          <w:lang w:val="en-GB"/>
        </w:rPr>
        <w:t>:</w:t>
      </w:r>
      <w:r w:rsidRPr="00240464">
        <w:rPr>
          <w:noProof/>
          <w:lang w:val="en-GB"/>
        </w:rPr>
        <w:t>5,</w:t>
      </w:r>
      <w:r w:rsidRPr="00240464">
        <w:rPr>
          <w:b/>
          <w:noProof/>
          <w:lang w:val="en-GB"/>
        </w:rPr>
        <w:t xml:space="preserve"> </w:t>
      </w:r>
      <w:r w:rsidRPr="00240464">
        <w:rPr>
          <w:noProof/>
          <w:lang w:val="en-GB"/>
        </w:rPr>
        <w:t xml:space="preserve"> pp. 761-779.</w:t>
      </w:r>
    </w:p>
    <w:p w14:paraId="783A72BD" w14:textId="77777777" w:rsidR="00CB5A9E" w:rsidRPr="00240464" w:rsidRDefault="00CB5A9E" w:rsidP="00CB5A9E">
      <w:pPr>
        <w:pStyle w:val="EndNoteBibliography"/>
        <w:spacing w:after="0"/>
        <w:ind w:left="720" w:hanging="720"/>
        <w:rPr>
          <w:noProof/>
          <w:lang w:val="en-GB"/>
        </w:rPr>
      </w:pPr>
      <w:r w:rsidRPr="00240464">
        <w:rPr>
          <w:noProof/>
          <w:lang w:val="en-GB"/>
        </w:rPr>
        <w:t xml:space="preserve">Guile, D. (2010), </w:t>
      </w:r>
      <w:r w:rsidRPr="00240464">
        <w:rPr>
          <w:i/>
          <w:noProof/>
          <w:lang w:val="en-GB"/>
        </w:rPr>
        <w:t>Learning to Work in the Creative and Cultural Sector: New Spaces, Pedagogies and Expertise</w:t>
      </w:r>
      <w:r w:rsidRPr="00240464">
        <w:rPr>
          <w:noProof/>
          <w:lang w:val="en-GB"/>
        </w:rPr>
        <w:t>. Journal of Education Policy</w:t>
      </w:r>
      <w:r w:rsidRPr="00240464">
        <w:rPr>
          <w:i/>
          <w:noProof/>
          <w:lang w:val="en-GB"/>
        </w:rPr>
        <w:t>,</w:t>
      </w:r>
      <w:r w:rsidRPr="00240464">
        <w:rPr>
          <w:noProof/>
          <w:lang w:val="en-GB"/>
        </w:rPr>
        <w:t xml:space="preserve"> 24</w:t>
      </w:r>
      <w:r w:rsidRPr="00240464">
        <w:rPr>
          <w:b/>
          <w:noProof/>
          <w:lang w:val="en-GB"/>
        </w:rPr>
        <w:t>:</w:t>
      </w:r>
      <w:r w:rsidRPr="00240464">
        <w:rPr>
          <w:noProof/>
          <w:lang w:val="en-GB"/>
        </w:rPr>
        <w:t>4,</w:t>
      </w:r>
      <w:r w:rsidRPr="00240464">
        <w:rPr>
          <w:b/>
          <w:noProof/>
          <w:lang w:val="en-GB"/>
        </w:rPr>
        <w:t xml:space="preserve"> </w:t>
      </w:r>
      <w:r w:rsidRPr="00240464">
        <w:rPr>
          <w:noProof/>
          <w:lang w:val="en-GB"/>
        </w:rPr>
        <w:t xml:space="preserve"> pp. 465–484.</w:t>
      </w:r>
    </w:p>
    <w:p w14:paraId="06824BD7" w14:textId="708A1310" w:rsidR="00CB5A9E" w:rsidRPr="00240464" w:rsidRDefault="00CB5A9E" w:rsidP="00CB5A9E">
      <w:pPr>
        <w:pStyle w:val="EndNoteBibliography"/>
        <w:spacing w:after="0"/>
        <w:ind w:left="720" w:hanging="720"/>
        <w:rPr>
          <w:noProof/>
          <w:lang w:val="en-GB"/>
        </w:rPr>
      </w:pPr>
      <w:r w:rsidRPr="00240464">
        <w:rPr>
          <w:noProof/>
          <w:lang w:val="en-GB"/>
        </w:rPr>
        <w:t xml:space="preserve">Guile, D. &amp; Evans, K. (2010), </w:t>
      </w:r>
      <w:r w:rsidRPr="00240464">
        <w:rPr>
          <w:i/>
          <w:noProof/>
          <w:lang w:val="en-GB"/>
        </w:rPr>
        <w:t xml:space="preserve">Putting Knowledge to Work: Re-Contextualising Knowledge through the Design and Implementation of Work-Based Learning at Higher Education Level </w:t>
      </w:r>
      <w:r w:rsidRPr="00240464">
        <w:rPr>
          <w:noProof/>
          <w:lang w:val="en-GB"/>
        </w:rPr>
        <w:t xml:space="preserve">[Online]. Foundation Degree Forward (FDF). Available: </w:t>
      </w:r>
      <w:hyperlink r:id="rId13" w:history="1">
        <w:r w:rsidRPr="0016463C">
          <w:rPr>
            <w:rStyle w:val="Hyperlink"/>
            <w:noProof/>
            <w:lang w:val="en-GB"/>
          </w:rPr>
          <w:t>https://www.heacademy.ac.uk/sites/default/files/putting-knowledge-to-work.pdf</w:t>
        </w:r>
      </w:hyperlink>
      <w:r w:rsidRPr="00240464">
        <w:rPr>
          <w:noProof/>
          <w:lang w:val="en-GB"/>
        </w:rPr>
        <w:t xml:space="preserve"> Accessed 25th July 2015.</w:t>
      </w:r>
    </w:p>
    <w:p w14:paraId="65C94168" w14:textId="6A3AA1C7" w:rsidR="00CB5A9E" w:rsidRPr="00240464" w:rsidRDefault="00CB5A9E" w:rsidP="00CB5A9E">
      <w:pPr>
        <w:pStyle w:val="EndNoteBibliography"/>
        <w:spacing w:after="0"/>
        <w:ind w:left="720" w:hanging="720"/>
        <w:rPr>
          <w:noProof/>
          <w:lang w:val="en-GB"/>
        </w:rPr>
      </w:pPr>
      <w:r w:rsidRPr="00240464">
        <w:rPr>
          <w:noProof/>
          <w:lang w:val="en-GB"/>
        </w:rPr>
        <w:t xml:space="preserve">HEFCE (2014a), </w:t>
      </w:r>
      <w:r w:rsidRPr="00240464">
        <w:rPr>
          <w:i/>
          <w:noProof/>
          <w:lang w:val="en-GB"/>
        </w:rPr>
        <w:t xml:space="preserve">Catalyst Fund </w:t>
      </w:r>
      <w:r w:rsidRPr="00240464">
        <w:rPr>
          <w:noProof/>
          <w:lang w:val="en-GB"/>
        </w:rPr>
        <w:t xml:space="preserve">[Online]. Available: </w:t>
      </w:r>
      <w:hyperlink r:id="rId14" w:history="1">
        <w:r w:rsidRPr="0016463C">
          <w:rPr>
            <w:rStyle w:val="Hyperlink"/>
            <w:noProof/>
            <w:lang w:val="en-GB"/>
          </w:rPr>
          <w:t>http://www.hefce.ac.uk/funding/catalyst/</w:t>
        </w:r>
      </w:hyperlink>
      <w:r w:rsidRPr="00240464">
        <w:rPr>
          <w:noProof/>
          <w:lang w:val="en-GB"/>
        </w:rPr>
        <w:t xml:space="preserve"> Accessed 17th August 2015.</w:t>
      </w:r>
    </w:p>
    <w:p w14:paraId="2736726F" w14:textId="06A285F9" w:rsidR="00CB5A9E" w:rsidRPr="00240464" w:rsidRDefault="00CB5A9E" w:rsidP="00CB5A9E">
      <w:pPr>
        <w:pStyle w:val="EndNoteBibliography"/>
        <w:spacing w:after="0"/>
        <w:ind w:left="720" w:hanging="720"/>
        <w:rPr>
          <w:noProof/>
          <w:lang w:val="en-GB"/>
        </w:rPr>
      </w:pPr>
      <w:r w:rsidRPr="00240464">
        <w:rPr>
          <w:noProof/>
          <w:lang w:val="en-GB"/>
        </w:rPr>
        <w:t xml:space="preserve">HEFCE (2014b), </w:t>
      </w:r>
      <w:r w:rsidRPr="00240464">
        <w:rPr>
          <w:i/>
          <w:noProof/>
          <w:lang w:val="en-GB"/>
        </w:rPr>
        <w:t xml:space="preserve">Southampton Solent University </w:t>
      </w:r>
      <w:r w:rsidRPr="00240464">
        <w:rPr>
          <w:noProof/>
          <w:lang w:val="en-GB"/>
        </w:rPr>
        <w:t xml:space="preserve">[Online]. Available: </w:t>
      </w:r>
      <w:hyperlink r:id="rId15" w:history="1">
        <w:r w:rsidRPr="0016463C">
          <w:rPr>
            <w:rStyle w:val="Hyperlink"/>
            <w:noProof/>
            <w:lang w:val="en-GB"/>
          </w:rPr>
          <w:t>http://www.hefce.ac.uk/funding/catalyst/projects/southamptonsolent/</w:t>
        </w:r>
      </w:hyperlink>
      <w:r w:rsidRPr="00240464">
        <w:rPr>
          <w:noProof/>
          <w:lang w:val="en-GB"/>
        </w:rPr>
        <w:t xml:space="preserve"> Accessed 17th August 2015.</w:t>
      </w:r>
    </w:p>
    <w:p w14:paraId="2B848856" w14:textId="45DCC592" w:rsidR="00CB5A9E" w:rsidRPr="00240464" w:rsidRDefault="00CB5A9E" w:rsidP="00CB5A9E">
      <w:pPr>
        <w:pStyle w:val="EndNoteBibliography"/>
        <w:spacing w:after="0"/>
        <w:ind w:left="720" w:hanging="720"/>
        <w:rPr>
          <w:noProof/>
          <w:lang w:val="en-GB"/>
        </w:rPr>
      </w:pPr>
      <w:r w:rsidRPr="00240464">
        <w:rPr>
          <w:noProof/>
          <w:lang w:val="en-GB"/>
        </w:rPr>
        <w:t xml:space="preserve">Hillman, N. (2014), </w:t>
      </w:r>
      <w:r w:rsidRPr="00240464">
        <w:rPr>
          <w:i/>
          <w:noProof/>
          <w:lang w:val="en-GB"/>
        </w:rPr>
        <w:t xml:space="preserve">A guide to the removal of student number controls </w:t>
      </w:r>
      <w:r w:rsidRPr="00240464">
        <w:rPr>
          <w:noProof/>
          <w:lang w:val="en-GB"/>
        </w:rPr>
        <w:t xml:space="preserve">[Online]. Higher Education Policy Institute. Available: </w:t>
      </w:r>
      <w:hyperlink r:id="rId16" w:history="1">
        <w:r w:rsidRPr="0016463C">
          <w:rPr>
            <w:rStyle w:val="Hyperlink"/>
            <w:noProof/>
            <w:lang w:val="en-GB"/>
          </w:rPr>
          <w:t>http://www.hepi.ac.uk/wp-content/uploads/2014/09/Clean-copy-of-SNC-paper1.pdf</w:t>
        </w:r>
      </w:hyperlink>
      <w:r w:rsidRPr="00240464">
        <w:rPr>
          <w:noProof/>
          <w:lang w:val="en-GB"/>
        </w:rPr>
        <w:t xml:space="preserve"> Accessed 15th September 2015.</w:t>
      </w:r>
    </w:p>
    <w:p w14:paraId="4E9B2A3F" w14:textId="7425A847" w:rsidR="00CB5A9E" w:rsidRPr="00240464" w:rsidRDefault="00CB5A9E" w:rsidP="00CB5A9E">
      <w:pPr>
        <w:pStyle w:val="EndNoteBibliography"/>
        <w:spacing w:after="0"/>
        <w:ind w:left="720" w:hanging="720"/>
        <w:rPr>
          <w:noProof/>
          <w:lang w:val="en-GB"/>
        </w:rPr>
      </w:pPr>
      <w:r w:rsidRPr="00240464">
        <w:rPr>
          <w:noProof/>
          <w:lang w:val="en-GB"/>
        </w:rPr>
        <w:t xml:space="preserve">HM Government (2013), </w:t>
      </w:r>
      <w:r w:rsidRPr="00240464">
        <w:rPr>
          <w:i/>
          <w:noProof/>
          <w:lang w:val="en-GB"/>
        </w:rPr>
        <w:t xml:space="preserve">The Future of Apprenticeships in England: Implementation Plan </w:t>
      </w:r>
      <w:r w:rsidRPr="00240464">
        <w:rPr>
          <w:noProof/>
          <w:lang w:val="en-GB"/>
        </w:rPr>
        <w:t xml:space="preserve">[Online]. HM Government. Available: </w:t>
      </w:r>
      <w:hyperlink r:id="rId17" w:history="1">
        <w:r w:rsidRPr="0016463C">
          <w:rPr>
            <w:rStyle w:val="Hyperlink"/>
            <w:noProof/>
            <w:lang w:val="en-GB"/>
          </w:rPr>
          <w:t>https://www.gov.uk/government/uploads/system/uploads/attachment_data/file/253073/bis-13-1175-future-of-apprenticeships-in-england-implementation-plan.pdf</w:t>
        </w:r>
      </w:hyperlink>
      <w:r w:rsidRPr="00240464">
        <w:rPr>
          <w:noProof/>
          <w:lang w:val="en-GB"/>
        </w:rPr>
        <w:t xml:space="preserve"> Accessed 25th August 2015.</w:t>
      </w:r>
    </w:p>
    <w:p w14:paraId="4676CA51" w14:textId="23D962EF" w:rsidR="00CB5A9E" w:rsidRPr="00240464" w:rsidRDefault="00CB5A9E" w:rsidP="00CB5A9E">
      <w:pPr>
        <w:pStyle w:val="EndNoteBibliography"/>
        <w:spacing w:after="0"/>
        <w:ind w:left="720" w:hanging="720"/>
        <w:rPr>
          <w:noProof/>
          <w:lang w:val="en-GB"/>
        </w:rPr>
      </w:pPr>
      <w:r w:rsidRPr="00240464">
        <w:rPr>
          <w:noProof/>
          <w:lang w:val="en-GB"/>
        </w:rPr>
        <w:t xml:space="preserve">HM Treasury (2015), </w:t>
      </w:r>
      <w:r w:rsidRPr="00240464">
        <w:rPr>
          <w:i/>
          <w:noProof/>
          <w:lang w:val="en-GB"/>
        </w:rPr>
        <w:t xml:space="preserve">Spending review and autumn statement 2015 </w:t>
      </w:r>
      <w:r w:rsidRPr="00240464">
        <w:rPr>
          <w:noProof/>
          <w:lang w:val="en-GB"/>
        </w:rPr>
        <w:t xml:space="preserve">[Online]. Available: </w:t>
      </w:r>
      <w:hyperlink r:id="rId18" w:history="1">
        <w:r w:rsidRPr="0016463C">
          <w:rPr>
            <w:rStyle w:val="Hyperlink"/>
            <w:noProof/>
            <w:lang w:val="en-GB"/>
          </w:rPr>
          <w:t>https://www.gov.uk/government/uploads/system/uploads/attachment_data/file/479749/52229_Blue_Book_PU1865_Web_Accessible.pdf</w:t>
        </w:r>
      </w:hyperlink>
      <w:r w:rsidRPr="00240464">
        <w:rPr>
          <w:noProof/>
          <w:lang w:val="en-GB"/>
        </w:rPr>
        <w:t xml:space="preserve"> Accessed 27th November 2015.</w:t>
      </w:r>
    </w:p>
    <w:p w14:paraId="644DAED0" w14:textId="77777777" w:rsidR="00CB5A9E" w:rsidRPr="00240464" w:rsidRDefault="00CB5A9E" w:rsidP="00CB5A9E">
      <w:pPr>
        <w:pStyle w:val="EndNoteBibliography"/>
        <w:spacing w:after="0"/>
        <w:ind w:left="720" w:hanging="720"/>
        <w:rPr>
          <w:noProof/>
          <w:lang w:val="en-GB"/>
        </w:rPr>
      </w:pPr>
      <w:r w:rsidRPr="00240464">
        <w:rPr>
          <w:noProof/>
          <w:lang w:val="en-GB"/>
        </w:rPr>
        <w:t xml:space="preserve">House of Lords Select Committee on Digital Skills (2015), </w:t>
      </w:r>
      <w:r w:rsidRPr="00240464">
        <w:rPr>
          <w:i/>
          <w:noProof/>
          <w:lang w:val="en-GB"/>
        </w:rPr>
        <w:t>Make or Break: The UK’s Digital Future – Report of Session 2014–15</w:t>
      </w:r>
      <w:r w:rsidRPr="00240464">
        <w:rPr>
          <w:noProof/>
          <w:lang w:val="en-GB"/>
        </w:rPr>
        <w:t>. Authority of the House of Lords.</w:t>
      </w:r>
    </w:p>
    <w:p w14:paraId="684502EF" w14:textId="133C18AA" w:rsidR="00CB5A9E" w:rsidRPr="00240464" w:rsidRDefault="00CB5A9E" w:rsidP="00CB5A9E">
      <w:pPr>
        <w:pStyle w:val="EndNoteBibliography"/>
        <w:spacing w:after="0"/>
        <w:ind w:left="720" w:hanging="720"/>
        <w:rPr>
          <w:noProof/>
          <w:lang w:val="en-GB"/>
        </w:rPr>
      </w:pPr>
      <w:r w:rsidRPr="00240464">
        <w:rPr>
          <w:noProof/>
          <w:lang w:val="en-GB"/>
        </w:rPr>
        <w:t xml:space="preserve">Jamieson, S. (2015), </w:t>
      </w:r>
      <w:r w:rsidRPr="00240464">
        <w:rPr>
          <w:i/>
          <w:noProof/>
          <w:lang w:val="en-GB"/>
        </w:rPr>
        <w:t xml:space="preserve">Sir Michael Wilshaw: End apprenticeships for making coffee and cleaning floors </w:t>
      </w:r>
      <w:r w:rsidRPr="00240464">
        <w:rPr>
          <w:noProof/>
          <w:lang w:val="en-GB"/>
        </w:rPr>
        <w:t xml:space="preserve">[Online]. Telegraph Media Group Limited. Available: </w:t>
      </w:r>
      <w:hyperlink r:id="rId19" w:history="1">
        <w:r w:rsidRPr="0016463C">
          <w:rPr>
            <w:rStyle w:val="Hyperlink"/>
            <w:noProof/>
            <w:lang w:val="en-GB"/>
          </w:rPr>
          <w:t>http://www.telegraph.co.uk/journalists/sophie-jamieson/11938409/Sir-Michael-Wilshaw-End-apprenticeships-for-making-coffee-and-cleaning-floors.html</w:t>
        </w:r>
      </w:hyperlink>
      <w:r w:rsidRPr="00240464">
        <w:rPr>
          <w:noProof/>
          <w:lang w:val="en-GB"/>
        </w:rPr>
        <w:t xml:space="preserve"> Accessed 18th October 2015.</w:t>
      </w:r>
    </w:p>
    <w:p w14:paraId="095E7E62" w14:textId="77777777" w:rsidR="00CB5A9E" w:rsidRPr="00240464" w:rsidRDefault="00CB5A9E" w:rsidP="00CB5A9E">
      <w:pPr>
        <w:pStyle w:val="EndNoteBibliography"/>
        <w:spacing w:after="0"/>
        <w:ind w:left="720" w:hanging="720"/>
        <w:rPr>
          <w:noProof/>
          <w:lang w:val="en-GB"/>
        </w:rPr>
      </w:pPr>
      <w:r w:rsidRPr="00240464">
        <w:rPr>
          <w:noProof/>
          <w:lang w:val="en-GB"/>
        </w:rPr>
        <w:t xml:space="preserve">McGettigan, A. (2013), </w:t>
      </w:r>
      <w:r w:rsidRPr="00240464">
        <w:rPr>
          <w:i/>
          <w:noProof/>
          <w:lang w:val="en-GB"/>
        </w:rPr>
        <w:t xml:space="preserve">The Great University Gamble: Money, Markets &amp; the Future of Higher Education, </w:t>
      </w:r>
      <w:r w:rsidRPr="00240464">
        <w:rPr>
          <w:noProof/>
          <w:lang w:val="en-GB"/>
        </w:rPr>
        <w:t>London, Pluto Press.</w:t>
      </w:r>
    </w:p>
    <w:p w14:paraId="195C0E18" w14:textId="28C5CE87" w:rsidR="00CB5A9E" w:rsidRPr="00240464" w:rsidRDefault="00CB5A9E" w:rsidP="00CB5A9E">
      <w:pPr>
        <w:pStyle w:val="EndNoteBibliography"/>
        <w:spacing w:after="0"/>
        <w:ind w:left="720" w:hanging="720"/>
        <w:rPr>
          <w:noProof/>
          <w:lang w:val="en-GB"/>
        </w:rPr>
      </w:pPr>
      <w:r w:rsidRPr="00240464">
        <w:rPr>
          <w:noProof/>
          <w:lang w:val="en-GB"/>
        </w:rPr>
        <w:t xml:space="preserve">OECD (2015), </w:t>
      </w:r>
      <w:r w:rsidRPr="00240464">
        <w:rPr>
          <w:i/>
          <w:noProof/>
          <w:lang w:val="en-GB"/>
        </w:rPr>
        <w:t xml:space="preserve">OECD Skills Outlook 2015: Youth, Skills and Employability </w:t>
      </w:r>
      <w:r w:rsidRPr="00240464">
        <w:rPr>
          <w:noProof/>
          <w:lang w:val="en-GB"/>
        </w:rPr>
        <w:t xml:space="preserve">[Online]. Organisation for Economic Co-operation and Development. Available: </w:t>
      </w:r>
      <w:hyperlink r:id="rId20" w:history="1">
        <w:r w:rsidRPr="0016463C">
          <w:rPr>
            <w:rStyle w:val="Hyperlink"/>
            <w:noProof/>
            <w:lang w:val="en-GB"/>
          </w:rPr>
          <w:t>http://www.oecd.org/edu/oecd-skills-outlook-2015-9789264234178-en.htm</w:t>
        </w:r>
      </w:hyperlink>
      <w:r w:rsidRPr="00240464">
        <w:rPr>
          <w:noProof/>
          <w:lang w:val="en-GB"/>
        </w:rPr>
        <w:t xml:space="preserve"> Accessed 17th August 2015.</w:t>
      </w:r>
    </w:p>
    <w:p w14:paraId="237BA9AD" w14:textId="675D3F0C" w:rsidR="00CB5A9E" w:rsidRPr="00240464" w:rsidRDefault="00CB5A9E" w:rsidP="00CB5A9E">
      <w:pPr>
        <w:pStyle w:val="EndNoteBibliography"/>
        <w:spacing w:after="0"/>
        <w:ind w:left="720" w:hanging="720"/>
        <w:rPr>
          <w:noProof/>
          <w:lang w:val="en-GB"/>
        </w:rPr>
      </w:pPr>
      <w:r w:rsidRPr="00240464">
        <w:rPr>
          <w:noProof/>
          <w:lang w:val="en-GB"/>
        </w:rPr>
        <w:t xml:space="preserve">Office for Fair Access (2014), </w:t>
      </w:r>
      <w:r w:rsidRPr="00240464">
        <w:rPr>
          <w:i/>
          <w:noProof/>
          <w:lang w:val="en-GB"/>
        </w:rPr>
        <w:t xml:space="preserve">Access agreements for 2015-16: key statistics and analysis </w:t>
      </w:r>
      <w:r w:rsidRPr="00240464">
        <w:rPr>
          <w:noProof/>
          <w:lang w:val="en-GB"/>
        </w:rPr>
        <w:t xml:space="preserve">[Online]. Office for Fair Access. Available: </w:t>
      </w:r>
      <w:hyperlink r:id="rId21" w:history="1">
        <w:r w:rsidRPr="0016463C">
          <w:rPr>
            <w:rStyle w:val="Hyperlink"/>
            <w:noProof/>
            <w:lang w:val="en-GB"/>
          </w:rPr>
          <w:t>https://www.offa.org.uk/wp-content/uploads/2014/07/Access-agreements-for-2015-16-key-statistics-and-analysis.pdf</w:t>
        </w:r>
      </w:hyperlink>
      <w:r w:rsidRPr="00240464">
        <w:rPr>
          <w:noProof/>
          <w:lang w:val="en-GB"/>
        </w:rPr>
        <w:t xml:space="preserve"> Accessed 12th July 2016.</w:t>
      </w:r>
    </w:p>
    <w:p w14:paraId="5B6BD4A7" w14:textId="065138CA" w:rsidR="00CB5A9E" w:rsidRPr="00240464" w:rsidRDefault="00CB5A9E" w:rsidP="00CB5A9E">
      <w:pPr>
        <w:pStyle w:val="EndNoteBibliography"/>
        <w:spacing w:after="0"/>
        <w:ind w:left="720" w:hanging="720"/>
        <w:rPr>
          <w:noProof/>
          <w:lang w:val="en-GB"/>
        </w:rPr>
      </w:pPr>
      <w:r w:rsidRPr="00240464">
        <w:rPr>
          <w:noProof/>
          <w:lang w:val="en-GB"/>
        </w:rPr>
        <w:t xml:space="preserve">Richard, D. (2012), </w:t>
      </w:r>
      <w:r w:rsidRPr="00240464">
        <w:rPr>
          <w:i/>
          <w:noProof/>
          <w:lang w:val="en-GB"/>
        </w:rPr>
        <w:t xml:space="preserve">The Richard Review of Apprenticships </w:t>
      </w:r>
      <w:r w:rsidRPr="00240464">
        <w:rPr>
          <w:noProof/>
          <w:lang w:val="en-GB"/>
        </w:rPr>
        <w:t xml:space="preserve">[Online]. School for Start Ups. Available: </w:t>
      </w:r>
      <w:hyperlink r:id="rId22" w:history="1">
        <w:r w:rsidRPr="0016463C">
          <w:rPr>
            <w:rStyle w:val="Hyperlink"/>
            <w:noProof/>
            <w:lang w:val="en-GB"/>
          </w:rPr>
          <w:t>http://www.schoolforstartups.co.uk/richard-review/richard-review-full.pdf</w:t>
        </w:r>
      </w:hyperlink>
      <w:r w:rsidRPr="00240464">
        <w:rPr>
          <w:noProof/>
          <w:lang w:val="en-GB"/>
        </w:rPr>
        <w:t xml:space="preserve"> Accessed 25th August 2015.</w:t>
      </w:r>
    </w:p>
    <w:p w14:paraId="6B0AF0F1" w14:textId="77777777" w:rsidR="00CB5A9E" w:rsidRPr="00240464" w:rsidRDefault="00CB5A9E" w:rsidP="00CB5A9E">
      <w:pPr>
        <w:pStyle w:val="EndNoteBibliography"/>
        <w:spacing w:after="0"/>
        <w:ind w:left="720" w:hanging="720"/>
        <w:rPr>
          <w:noProof/>
          <w:lang w:val="en-GB"/>
        </w:rPr>
      </w:pPr>
      <w:r w:rsidRPr="00240464">
        <w:rPr>
          <w:noProof/>
          <w:lang w:val="en-GB"/>
        </w:rPr>
        <w:t xml:space="preserve">Robert Dalitz, Toner, P. &amp; Turpin, T. (2011), </w:t>
      </w:r>
      <w:r w:rsidRPr="00240464">
        <w:rPr>
          <w:i/>
          <w:noProof/>
          <w:lang w:val="en-GB"/>
        </w:rPr>
        <w:t>VET and the diffusion and implementation of innovation in the mining, solar energy and computer games sectors</w:t>
      </w:r>
      <w:r w:rsidRPr="00240464">
        <w:rPr>
          <w:noProof/>
          <w:lang w:val="en-GB"/>
        </w:rPr>
        <w:t xml:space="preserve">. </w:t>
      </w:r>
      <w:r w:rsidRPr="00240464">
        <w:rPr>
          <w:i/>
          <w:noProof/>
          <w:lang w:val="en-GB"/>
        </w:rPr>
        <w:t>In:</w:t>
      </w:r>
      <w:r w:rsidRPr="00240464">
        <w:rPr>
          <w:noProof/>
          <w:lang w:val="en-GB"/>
        </w:rPr>
        <w:t xml:space="preserve"> Curtin, P., Stanwick, J. &amp; Beddie, F. (eds.) </w:t>
      </w:r>
      <w:r w:rsidRPr="00240464">
        <w:rPr>
          <w:i/>
          <w:noProof/>
          <w:lang w:val="en-GB"/>
        </w:rPr>
        <w:t>Fostering enterprise: the innovation and skills nexus – research readings.</w:t>
      </w:r>
      <w:r w:rsidRPr="00240464">
        <w:rPr>
          <w:noProof/>
          <w:lang w:val="en-GB"/>
        </w:rPr>
        <w:t xml:space="preserve"> Adelaide, Australia: National Centre for Vocational Reseach.</w:t>
      </w:r>
    </w:p>
    <w:p w14:paraId="186FF95C" w14:textId="6B21A360" w:rsidR="00CB5A9E" w:rsidRPr="00240464" w:rsidRDefault="00CB5A9E" w:rsidP="00CB5A9E">
      <w:pPr>
        <w:pStyle w:val="EndNoteBibliography"/>
        <w:spacing w:after="0"/>
        <w:ind w:left="720" w:hanging="720"/>
        <w:rPr>
          <w:noProof/>
          <w:lang w:val="en-GB"/>
        </w:rPr>
      </w:pPr>
      <w:r w:rsidRPr="00240464">
        <w:rPr>
          <w:noProof/>
          <w:lang w:val="en-GB"/>
        </w:rPr>
        <w:t xml:space="preserve">Skills Funding Agency (2014), </w:t>
      </w:r>
      <w:r w:rsidRPr="00240464">
        <w:rPr>
          <w:i/>
          <w:noProof/>
          <w:lang w:val="en-GB"/>
        </w:rPr>
        <w:t xml:space="preserve">Professional development for work-based learning practitioners apprenticeships </w:t>
      </w:r>
      <w:r w:rsidRPr="00240464">
        <w:rPr>
          <w:noProof/>
          <w:lang w:val="en-GB"/>
        </w:rPr>
        <w:t xml:space="preserve">[Online]. HM Goverment. Available: </w:t>
      </w:r>
      <w:hyperlink r:id="rId23" w:history="1">
        <w:r w:rsidRPr="0016463C">
          <w:rPr>
            <w:rStyle w:val="Hyperlink"/>
            <w:noProof/>
            <w:lang w:val="en-GB"/>
          </w:rPr>
          <w:t>https://www.gov.uk/guidance/professional-development-for-work-based-learning-practitioners-apprenticeships</w:t>
        </w:r>
      </w:hyperlink>
      <w:r w:rsidRPr="00240464">
        <w:rPr>
          <w:noProof/>
          <w:lang w:val="en-GB"/>
        </w:rPr>
        <w:t xml:space="preserve"> Accessed 24th October 2015.</w:t>
      </w:r>
    </w:p>
    <w:p w14:paraId="260EB88F" w14:textId="0AF761FA" w:rsidR="00CB5A9E" w:rsidRPr="00240464" w:rsidRDefault="00CB5A9E" w:rsidP="00CB5A9E">
      <w:pPr>
        <w:pStyle w:val="EndNoteBibliography"/>
        <w:spacing w:after="0"/>
        <w:ind w:left="720" w:hanging="720"/>
        <w:rPr>
          <w:noProof/>
          <w:lang w:val="en-GB"/>
        </w:rPr>
      </w:pPr>
      <w:r w:rsidRPr="00240464">
        <w:rPr>
          <w:noProof/>
          <w:lang w:val="en-GB"/>
        </w:rPr>
        <w:t xml:space="preserve">Skills Funding Agency (2015a), </w:t>
      </w:r>
      <w:r w:rsidRPr="00240464">
        <w:rPr>
          <w:i/>
          <w:noProof/>
          <w:lang w:val="en-GB"/>
        </w:rPr>
        <w:t xml:space="preserve">Higher Apprenticeship and Degree Apprenticeship Delivery from April 2015 to April 2016. Higher Education Institutions Fact Sheet March 2015 Version 1 – Revision Date 1 June 2015 </w:t>
      </w:r>
      <w:r w:rsidRPr="00240464">
        <w:rPr>
          <w:noProof/>
          <w:lang w:val="en-GB"/>
        </w:rPr>
        <w:t xml:space="preserve">[Online]. Government UK. Available: </w:t>
      </w:r>
      <w:hyperlink r:id="rId24" w:history="1">
        <w:r w:rsidRPr="0016463C">
          <w:rPr>
            <w:rStyle w:val="Hyperlink"/>
            <w:noProof/>
            <w:lang w:val="en-GB"/>
          </w:rPr>
          <w:t>https://www.gov.uk/government/uploads/system/uploads/attachment_data/file/412019/Higher_Apprenticeship_and_Degree_Apprenticeship_Delivery_from_April_2015_to_April_2016.pdf</w:t>
        </w:r>
      </w:hyperlink>
      <w:r w:rsidRPr="00240464">
        <w:rPr>
          <w:noProof/>
          <w:lang w:val="en-GB"/>
        </w:rPr>
        <w:t xml:space="preserve"> Accessed 24th July 2015.</w:t>
      </w:r>
    </w:p>
    <w:p w14:paraId="39309689" w14:textId="52884EE9" w:rsidR="00CB5A9E" w:rsidRPr="00240464" w:rsidRDefault="00CB5A9E" w:rsidP="00CB5A9E">
      <w:pPr>
        <w:pStyle w:val="EndNoteBibliography"/>
        <w:spacing w:after="0"/>
        <w:ind w:left="720" w:hanging="720"/>
        <w:rPr>
          <w:noProof/>
          <w:lang w:val="en-GB"/>
        </w:rPr>
      </w:pPr>
      <w:r w:rsidRPr="00240464">
        <w:rPr>
          <w:noProof/>
          <w:lang w:val="en-GB"/>
        </w:rPr>
        <w:t xml:space="preserve">Skills Funding Agency (2015b), </w:t>
      </w:r>
      <w:r w:rsidRPr="00240464">
        <w:rPr>
          <w:i/>
          <w:noProof/>
          <w:lang w:val="en-GB"/>
        </w:rPr>
        <w:t xml:space="preserve">Trailblazer Apprenticeship Funding 2014 to 2015 Requirements for Employers - Version 2 </w:t>
      </w:r>
      <w:r w:rsidRPr="00240464">
        <w:rPr>
          <w:noProof/>
          <w:lang w:val="en-GB"/>
        </w:rPr>
        <w:t xml:space="preserve">[Online]. Available: </w:t>
      </w:r>
      <w:hyperlink r:id="rId25" w:history="1">
        <w:r w:rsidRPr="0016463C">
          <w:rPr>
            <w:rStyle w:val="Hyperlink"/>
            <w:noProof/>
            <w:lang w:val="en-GB"/>
          </w:rPr>
          <w:t>https://www.gov.uk/government/uploads/system/uploads/attachment_data/file/412179/Trailblazer_Apprenticeship_Funding_2014_to_2015_Requirements_for_Employers.pdf</w:t>
        </w:r>
      </w:hyperlink>
      <w:r w:rsidRPr="00240464">
        <w:rPr>
          <w:noProof/>
          <w:lang w:val="en-GB"/>
        </w:rPr>
        <w:t xml:space="preserve"> Accessed 25th August 2015.</w:t>
      </w:r>
    </w:p>
    <w:p w14:paraId="7E4CAF9E" w14:textId="1C743A57" w:rsidR="00CB5A9E" w:rsidRPr="00240464" w:rsidRDefault="00CB5A9E" w:rsidP="00CB5A9E">
      <w:pPr>
        <w:pStyle w:val="EndNoteBibliography"/>
        <w:spacing w:after="0"/>
        <w:ind w:left="720" w:hanging="720"/>
        <w:rPr>
          <w:noProof/>
          <w:lang w:val="en-GB"/>
        </w:rPr>
      </w:pPr>
      <w:r w:rsidRPr="00240464">
        <w:rPr>
          <w:noProof/>
          <w:lang w:val="en-GB"/>
        </w:rPr>
        <w:t xml:space="preserve">Southworth, B. (2015), </w:t>
      </w:r>
      <w:r w:rsidRPr="00240464">
        <w:rPr>
          <w:i/>
          <w:noProof/>
          <w:lang w:val="en-GB"/>
        </w:rPr>
        <w:t xml:space="preserve">A UK digital skills gap looms </w:t>
      </w:r>
      <w:r w:rsidRPr="00240464">
        <w:rPr>
          <w:noProof/>
          <w:lang w:val="en-GB"/>
        </w:rPr>
        <w:t xml:space="preserve">[Online]. Guardian News and Media Limited Available: </w:t>
      </w:r>
      <w:hyperlink r:id="rId26" w:history="1">
        <w:r w:rsidRPr="0016463C">
          <w:rPr>
            <w:rStyle w:val="Hyperlink"/>
            <w:noProof/>
            <w:lang w:val="en-GB"/>
          </w:rPr>
          <w:t>http://www.theguardian.com/media-network/media-network-blog/2014/aug/18/uk-youth-shortage-digital-skills</w:t>
        </w:r>
      </w:hyperlink>
      <w:r w:rsidRPr="00240464">
        <w:rPr>
          <w:noProof/>
          <w:lang w:val="en-GB"/>
        </w:rPr>
        <w:t xml:space="preserve"> Accessed 27th September 2015.</w:t>
      </w:r>
    </w:p>
    <w:p w14:paraId="4F767CEF" w14:textId="77777777" w:rsidR="00CB5A9E" w:rsidRPr="00240464" w:rsidRDefault="00CB5A9E" w:rsidP="00CB5A9E">
      <w:pPr>
        <w:pStyle w:val="EndNoteBibliography"/>
        <w:spacing w:after="0"/>
        <w:ind w:left="720" w:hanging="720"/>
        <w:rPr>
          <w:noProof/>
          <w:lang w:val="en-GB"/>
        </w:rPr>
      </w:pPr>
      <w:r w:rsidRPr="00240464">
        <w:rPr>
          <w:noProof/>
          <w:lang w:val="en-GB"/>
        </w:rPr>
        <w:t xml:space="preserve">Tech Partnership (2015), </w:t>
      </w:r>
      <w:r w:rsidRPr="00240464">
        <w:rPr>
          <w:i/>
          <w:noProof/>
          <w:lang w:val="en-GB"/>
        </w:rPr>
        <w:t xml:space="preserve">More Digital Apprentices essential to ensuring Britain’s growth </w:t>
      </w:r>
      <w:r w:rsidRPr="00240464">
        <w:rPr>
          <w:noProof/>
          <w:lang w:val="en-GB"/>
        </w:rPr>
        <w:t>[Online].  Accessed 18th August 2015.</w:t>
      </w:r>
    </w:p>
    <w:p w14:paraId="6CAA67B9" w14:textId="37285746" w:rsidR="00CB5A9E" w:rsidRPr="00240464" w:rsidRDefault="00CB5A9E" w:rsidP="00CB5A9E">
      <w:pPr>
        <w:pStyle w:val="EndNoteBibliography"/>
        <w:spacing w:after="0"/>
        <w:ind w:left="720" w:hanging="720"/>
        <w:rPr>
          <w:noProof/>
          <w:lang w:val="en-GB"/>
        </w:rPr>
      </w:pPr>
      <w:r w:rsidRPr="00240464">
        <w:rPr>
          <w:noProof/>
          <w:lang w:val="en-GB"/>
        </w:rPr>
        <w:t xml:space="preserve">The Commission of the European Communities (2003), </w:t>
      </w:r>
      <w:r w:rsidRPr="00240464">
        <w:rPr>
          <w:i/>
          <w:noProof/>
          <w:lang w:val="en-GB"/>
        </w:rPr>
        <w:t xml:space="preserve">Commission Recommendation of 6 May 2003 concerning the definition of micro, small and medium-sized enterprises </w:t>
      </w:r>
      <w:r w:rsidRPr="00240464">
        <w:rPr>
          <w:noProof/>
          <w:lang w:val="en-GB"/>
        </w:rPr>
        <w:t xml:space="preserve">[Online]. European Union. Available: </w:t>
      </w:r>
      <w:hyperlink r:id="rId27" w:history="1">
        <w:r w:rsidRPr="0016463C">
          <w:rPr>
            <w:rStyle w:val="Hyperlink"/>
            <w:noProof/>
            <w:lang w:val="en-GB"/>
          </w:rPr>
          <w:t>http://eur-lex.europa.eu/legal-content/EN/TXT/?uri=celex:32003H0361</w:t>
        </w:r>
      </w:hyperlink>
      <w:r w:rsidRPr="00240464">
        <w:rPr>
          <w:noProof/>
          <w:lang w:val="en-GB"/>
        </w:rPr>
        <w:t xml:space="preserve"> Accessed 23rd September 2015.</w:t>
      </w:r>
    </w:p>
    <w:p w14:paraId="2D332E25" w14:textId="6B6271E6" w:rsidR="00CB5A9E" w:rsidRPr="00240464" w:rsidRDefault="00CB5A9E" w:rsidP="00CB5A9E">
      <w:pPr>
        <w:pStyle w:val="EndNoteBibliography"/>
        <w:ind w:left="720" w:hanging="720"/>
        <w:rPr>
          <w:noProof/>
          <w:lang w:val="en-GB"/>
        </w:rPr>
      </w:pPr>
      <w:r w:rsidRPr="00240464">
        <w:rPr>
          <w:noProof/>
          <w:lang w:val="en-GB"/>
        </w:rPr>
        <w:t xml:space="preserve">Universities UK (2010), </w:t>
      </w:r>
      <w:r w:rsidRPr="00240464">
        <w:rPr>
          <w:i/>
          <w:noProof/>
          <w:lang w:val="en-GB"/>
        </w:rPr>
        <w:t xml:space="preserve">Creating Prosperity: the role of higher education in driving the UK’s creative economy </w:t>
      </w:r>
      <w:r w:rsidRPr="00240464">
        <w:rPr>
          <w:noProof/>
          <w:lang w:val="en-GB"/>
        </w:rPr>
        <w:t xml:space="preserve">[Online]. Universities UK. Available: </w:t>
      </w:r>
      <w:hyperlink r:id="rId28" w:history="1">
        <w:r w:rsidRPr="0016463C">
          <w:rPr>
            <w:rStyle w:val="Hyperlink"/>
            <w:noProof/>
            <w:lang w:val="en-GB"/>
          </w:rPr>
          <w:t>http://www.universitiesuk.ac.uk/policy-and-analysis/reports/Documents/2010/creating-prosperity-the-role-of-higher-education.pdf</w:t>
        </w:r>
      </w:hyperlink>
      <w:r w:rsidRPr="00240464">
        <w:rPr>
          <w:noProof/>
          <w:lang w:val="en-GB"/>
        </w:rPr>
        <w:t xml:space="preserve"> Accessed 12th July 2016.</w:t>
      </w:r>
    </w:p>
    <w:p w14:paraId="186EBAD6" w14:textId="339740E2" w:rsidR="004307A8" w:rsidRPr="0016463C" w:rsidRDefault="006A6B43" w:rsidP="006A0B06">
      <w:pPr>
        <w:jc w:val="left"/>
      </w:pPr>
      <w:r w:rsidRPr="0016463C">
        <w:fldChar w:fldCharType="end"/>
      </w:r>
    </w:p>
    <w:sectPr w:rsidR="004307A8" w:rsidRPr="0016463C" w:rsidSect="00586820">
      <w:footerReference w:type="even" r:id="rId29"/>
      <w:footerReference w:type="default" r:id="rId30"/>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047C3" w14:textId="77777777" w:rsidR="005A799F" w:rsidRDefault="005A799F" w:rsidP="00C74482">
      <w:pPr>
        <w:spacing w:after="0"/>
      </w:pPr>
      <w:r>
        <w:separator/>
      </w:r>
    </w:p>
  </w:endnote>
  <w:endnote w:type="continuationSeparator" w:id="0">
    <w:p w14:paraId="0CF2583E" w14:textId="77777777" w:rsidR="005A799F" w:rsidRDefault="005A799F" w:rsidP="00C744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54CFA" w14:textId="77777777" w:rsidR="005A799F" w:rsidRDefault="005A799F" w:rsidP="005868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C6A3C3" w14:textId="77777777" w:rsidR="005A799F" w:rsidRDefault="005A799F" w:rsidP="00C7448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F64FF" w14:textId="77777777" w:rsidR="005A799F" w:rsidRDefault="005A799F" w:rsidP="005868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8BE">
      <w:rPr>
        <w:rStyle w:val="PageNumber"/>
        <w:noProof/>
      </w:rPr>
      <w:t>19</w:t>
    </w:r>
    <w:r>
      <w:rPr>
        <w:rStyle w:val="PageNumber"/>
      </w:rPr>
      <w:fldChar w:fldCharType="end"/>
    </w:r>
  </w:p>
  <w:p w14:paraId="29CD0FAF" w14:textId="77777777" w:rsidR="005A799F" w:rsidRDefault="005A799F" w:rsidP="00C7448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367B7" w14:textId="77777777" w:rsidR="005A799F" w:rsidRDefault="005A799F" w:rsidP="00C74482">
      <w:pPr>
        <w:spacing w:after="0"/>
      </w:pPr>
      <w:r>
        <w:separator/>
      </w:r>
    </w:p>
  </w:footnote>
  <w:footnote w:type="continuationSeparator" w:id="0">
    <w:p w14:paraId="02F4E37A" w14:textId="77777777" w:rsidR="005A799F" w:rsidRDefault="005A799F" w:rsidP="00C74482">
      <w:pPr>
        <w:spacing w:after="0"/>
      </w:pPr>
      <w:r>
        <w:continuationSeparator/>
      </w:r>
    </w:p>
  </w:footnote>
  <w:footnote w:id="1">
    <w:p w14:paraId="640C777E" w14:textId="48C357B0" w:rsidR="005A799F" w:rsidRPr="00626ED4" w:rsidRDefault="005A799F" w:rsidP="00D701D5">
      <w:r>
        <w:rPr>
          <w:rStyle w:val="FootnoteReference"/>
        </w:rPr>
        <w:footnoteRef/>
      </w:r>
      <w:r>
        <w:t xml:space="preserve"> </w:t>
      </w:r>
      <w:r w:rsidRPr="00D701D5">
        <w:rPr>
          <w:rStyle w:val="FootnoteTextChar"/>
        </w:rPr>
        <w:t>Since 2005 Scotland has adopted a different funding model through The Scottish Further and Higher Education Funding Council (SFC).</w:t>
      </w:r>
    </w:p>
    <w:p w14:paraId="213A13FC" w14:textId="1E9B731F" w:rsidR="005A799F" w:rsidRPr="00D701D5" w:rsidRDefault="005A799F">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507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206B6E0"/>
    <w:lvl w:ilvl="0">
      <w:start w:val="1"/>
      <w:numFmt w:val="decimal"/>
      <w:lvlText w:val="%1."/>
      <w:lvlJc w:val="left"/>
      <w:pPr>
        <w:tabs>
          <w:tab w:val="num" w:pos="1492"/>
        </w:tabs>
        <w:ind w:left="1492" w:hanging="360"/>
      </w:pPr>
    </w:lvl>
  </w:abstractNum>
  <w:abstractNum w:abstractNumId="2">
    <w:nsid w:val="FFFFFF7D"/>
    <w:multiLevelType w:val="singleLevel"/>
    <w:tmpl w:val="7666B9FA"/>
    <w:lvl w:ilvl="0">
      <w:start w:val="1"/>
      <w:numFmt w:val="decimal"/>
      <w:lvlText w:val="%1."/>
      <w:lvlJc w:val="left"/>
      <w:pPr>
        <w:tabs>
          <w:tab w:val="num" w:pos="1209"/>
        </w:tabs>
        <w:ind w:left="1209" w:hanging="360"/>
      </w:pPr>
    </w:lvl>
  </w:abstractNum>
  <w:abstractNum w:abstractNumId="3">
    <w:nsid w:val="FFFFFF7E"/>
    <w:multiLevelType w:val="singleLevel"/>
    <w:tmpl w:val="0122D49E"/>
    <w:lvl w:ilvl="0">
      <w:start w:val="1"/>
      <w:numFmt w:val="decimal"/>
      <w:lvlText w:val="%1."/>
      <w:lvlJc w:val="left"/>
      <w:pPr>
        <w:tabs>
          <w:tab w:val="num" w:pos="926"/>
        </w:tabs>
        <w:ind w:left="926" w:hanging="360"/>
      </w:pPr>
    </w:lvl>
  </w:abstractNum>
  <w:abstractNum w:abstractNumId="4">
    <w:nsid w:val="FFFFFF7F"/>
    <w:multiLevelType w:val="singleLevel"/>
    <w:tmpl w:val="73FAC526"/>
    <w:lvl w:ilvl="0">
      <w:start w:val="1"/>
      <w:numFmt w:val="decimal"/>
      <w:lvlText w:val="%1."/>
      <w:lvlJc w:val="left"/>
      <w:pPr>
        <w:tabs>
          <w:tab w:val="num" w:pos="643"/>
        </w:tabs>
        <w:ind w:left="643" w:hanging="360"/>
      </w:pPr>
    </w:lvl>
  </w:abstractNum>
  <w:abstractNum w:abstractNumId="5">
    <w:nsid w:val="FFFFFF80"/>
    <w:multiLevelType w:val="singleLevel"/>
    <w:tmpl w:val="E55A46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ADEB2A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ADEE1A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5D8001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07A35A0"/>
    <w:lvl w:ilvl="0">
      <w:start w:val="1"/>
      <w:numFmt w:val="decimal"/>
      <w:lvlText w:val="%1."/>
      <w:lvlJc w:val="left"/>
      <w:pPr>
        <w:tabs>
          <w:tab w:val="num" w:pos="360"/>
        </w:tabs>
        <w:ind w:left="360" w:hanging="360"/>
      </w:pPr>
    </w:lvl>
  </w:abstractNum>
  <w:abstractNum w:abstractNumId="10">
    <w:nsid w:val="FFFFFF89"/>
    <w:multiLevelType w:val="singleLevel"/>
    <w:tmpl w:val="BFB045F0"/>
    <w:lvl w:ilvl="0">
      <w:start w:val="1"/>
      <w:numFmt w:val="bullet"/>
      <w:lvlText w:val=""/>
      <w:lvlJc w:val="left"/>
      <w:pPr>
        <w:tabs>
          <w:tab w:val="num" w:pos="360"/>
        </w:tabs>
        <w:ind w:left="360" w:hanging="360"/>
      </w:pPr>
      <w:rPr>
        <w:rFonts w:ascii="Symbol" w:hAnsi="Symbol" w:hint="default"/>
      </w:rPr>
    </w:lvl>
  </w:abstractNum>
  <w:abstractNum w:abstractNumId="11">
    <w:nsid w:val="002C4F29"/>
    <w:multiLevelType w:val="hybridMultilevel"/>
    <w:tmpl w:val="A79EDBB8"/>
    <w:lvl w:ilvl="0" w:tplc="08090001">
      <w:start w:val="1"/>
      <w:numFmt w:val="bullet"/>
      <w:lvlText w:val=""/>
      <w:lvlJc w:val="left"/>
      <w:pPr>
        <w:ind w:left="1080" w:hanging="360"/>
      </w:pPr>
      <w:rPr>
        <w:rFonts w:ascii="Symbol" w:hAnsi="Symbol" w:hint="default"/>
      </w:rPr>
    </w:lvl>
    <w:lvl w:ilvl="1" w:tplc="C8C23A68">
      <w:numFmt w:val="bullet"/>
      <w:lvlText w:val="•"/>
      <w:lvlJc w:val="left"/>
      <w:pPr>
        <w:ind w:left="2160" w:hanging="72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00E92507"/>
    <w:multiLevelType w:val="hybridMultilevel"/>
    <w:tmpl w:val="E370D6D0"/>
    <w:lvl w:ilvl="0" w:tplc="6E1E11A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F0159A"/>
    <w:multiLevelType w:val="hybridMultilevel"/>
    <w:tmpl w:val="C5027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2D83E38"/>
    <w:multiLevelType w:val="hybridMultilevel"/>
    <w:tmpl w:val="3104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420E8B"/>
    <w:multiLevelType w:val="hybridMultilevel"/>
    <w:tmpl w:val="08B8BE56"/>
    <w:lvl w:ilvl="0" w:tplc="270EC94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D412EAA"/>
    <w:multiLevelType w:val="hybridMultilevel"/>
    <w:tmpl w:val="C81C4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02755FF"/>
    <w:multiLevelType w:val="hybridMultilevel"/>
    <w:tmpl w:val="BB4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614F8A"/>
    <w:multiLevelType w:val="hybridMultilevel"/>
    <w:tmpl w:val="C3AA0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F35A08"/>
    <w:multiLevelType w:val="multilevel"/>
    <w:tmpl w:val="3F283A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1AF564E6"/>
    <w:multiLevelType w:val="hybridMultilevel"/>
    <w:tmpl w:val="CF6887D2"/>
    <w:lvl w:ilvl="0" w:tplc="2B4E9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42638D"/>
    <w:multiLevelType w:val="hybridMultilevel"/>
    <w:tmpl w:val="A806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C6384A"/>
    <w:multiLevelType w:val="hybridMultilevel"/>
    <w:tmpl w:val="0952F9A6"/>
    <w:lvl w:ilvl="0" w:tplc="F5568A3A">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280E65F6"/>
    <w:multiLevelType w:val="hybridMultilevel"/>
    <w:tmpl w:val="CC66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101465"/>
    <w:multiLevelType w:val="hybridMultilevel"/>
    <w:tmpl w:val="3B62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F776D9"/>
    <w:multiLevelType w:val="hybridMultilevel"/>
    <w:tmpl w:val="8F6C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970837"/>
    <w:multiLevelType w:val="hybridMultilevel"/>
    <w:tmpl w:val="C362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065214"/>
    <w:multiLevelType w:val="hybridMultilevel"/>
    <w:tmpl w:val="031CB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5443B72"/>
    <w:multiLevelType w:val="hybridMultilevel"/>
    <w:tmpl w:val="6B0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C217A02"/>
    <w:multiLevelType w:val="hybridMultilevel"/>
    <w:tmpl w:val="CD3C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2D2132"/>
    <w:multiLevelType w:val="hybridMultilevel"/>
    <w:tmpl w:val="41082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5616971"/>
    <w:multiLevelType w:val="hybridMultilevel"/>
    <w:tmpl w:val="CD4A0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65F5F14"/>
    <w:multiLevelType w:val="hybridMultilevel"/>
    <w:tmpl w:val="95DA3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76407F1"/>
    <w:multiLevelType w:val="hybridMultilevel"/>
    <w:tmpl w:val="B5C4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EE2529"/>
    <w:multiLevelType w:val="hybridMultilevel"/>
    <w:tmpl w:val="7CA2F1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661FEB"/>
    <w:multiLevelType w:val="hybridMultilevel"/>
    <w:tmpl w:val="8030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AB05DE"/>
    <w:multiLevelType w:val="hybridMultilevel"/>
    <w:tmpl w:val="AD564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BE02ED"/>
    <w:multiLevelType w:val="hybridMultilevel"/>
    <w:tmpl w:val="D0DC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E53998"/>
    <w:multiLevelType w:val="hybridMultilevel"/>
    <w:tmpl w:val="802E0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827052"/>
    <w:multiLevelType w:val="hybridMultilevel"/>
    <w:tmpl w:val="A2ECC0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4A3026"/>
    <w:multiLevelType w:val="hybridMultilevel"/>
    <w:tmpl w:val="B93836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85844F4"/>
    <w:multiLevelType w:val="hybridMultilevel"/>
    <w:tmpl w:val="2FECC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5F0A1D"/>
    <w:multiLevelType w:val="hybridMultilevel"/>
    <w:tmpl w:val="5FEA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91587C"/>
    <w:multiLevelType w:val="hybridMultilevel"/>
    <w:tmpl w:val="A5482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E94221"/>
    <w:multiLevelType w:val="hybridMultilevel"/>
    <w:tmpl w:val="566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3C15C7"/>
    <w:multiLevelType w:val="hybridMultilevel"/>
    <w:tmpl w:val="7D72DBBC"/>
    <w:lvl w:ilvl="0" w:tplc="41F81E18">
      <w:start w:val="1"/>
      <w:numFmt w:val="bullet"/>
      <w:pStyle w:val="EndNoteBibliograph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E01E74"/>
    <w:multiLevelType w:val="hybridMultilevel"/>
    <w:tmpl w:val="FD8E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8"/>
  </w:num>
  <w:num w:numId="4">
    <w:abstractNumId w:val="12"/>
  </w:num>
  <w:num w:numId="5">
    <w:abstractNumId w:val="45"/>
  </w:num>
  <w:num w:numId="6">
    <w:abstractNumId w:val="23"/>
  </w:num>
  <w:num w:numId="7">
    <w:abstractNumId w:val="41"/>
  </w:num>
  <w:num w:numId="8">
    <w:abstractNumId w:val="25"/>
  </w:num>
  <w:num w:numId="9">
    <w:abstractNumId w:val="17"/>
  </w:num>
  <w:num w:numId="10">
    <w:abstractNumId w:val="15"/>
  </w:num>
  <w:num w:numId="11">
    <w:abstractNumId w:val="39"/>
  </w:num>
  <w:num w:numId="12">
    <w:abstractNumId w:val="46"/>
  </w:num>
  <w:num w:numId="13">
    <w:abstractNumId w:val="37"/>
  </w:num>
  <w:num w:numId="14">
    <w:abstractNumId w:val="19"/>
  </w:num>
  <w:num w:numId="15">
    <w:abstractNumId w:val="21"/>
  </w:num>
  <w:num w:numId="16">
    <w:abstractNumId w:val="38"/>
  </w:num>
  <w:num w:numId="17">
    <w:abstractNumId w:val="28"/>
  </w:num>
  <w:num w:numId="18">
    <w:abstractNumId w:val="11"/>
  </w:num>
  <w:num w:numId="19">
    <w:abstractNumId w:val="22"/>
  </w:num>
  <w:num w:numId="20">
    <w:abstractNumId w:val="35"/>
  </w:num>
  <w:num w:numId="21">
    <w:abstractNumId w:val="32"/>
  </w:num>
  <w:num w:numId="22">
    <w:abstractNumId w:val="16"/>
  </w:num>
  <w:num w:numId="23">
    <w:abstractNumId w:val="30"/>
  </w:num>
  <w:num w:numId="24">
    <w:abstractNumId w:val="14"/>
  </w:num>
  <w:num w:numId="25">
    <w:abstractNumId w:val="31"/>
  </w:num>
  <w:num w:numId="26">
    <w:abstractNumId w:val="13"/>
  </w:num>
  <w:num w:numId="27">
    <w:abstractNumId w:val="20"/>
  </w:num>
  <w:num w:numId="28">
    <w:abstractNumId w:val="33"/>
  </w:num>
  <w:num w:numId="29">
    <w:abstractNumId w:val="42"/>
  </w:num>
  <w:num w:numId="30">
    <w:abstractNumId w:val="24"/>
  </w:num>
  <w:num w:numId="31">
    <w:abstractNumId w:val="44"/>
  </w:num>
  <w:num w:numId="32">
    <w:abstractNumId w:val="43"/>
  </w:num>
  <w:num w:numId="33">
    <w:abstractNumId w:val="29"/>
  </w:num>
  <w:num w:numId="34">
    <w:abstractNumId w:val="26"/>
  </w:num>
  <w:num w:numId="35">
    <w:abstractNumId w:val="10"/>
  </w:num>
  <w:num w:numId="36">
    <w:abstractNumId w:val="8"/>
  </w:num>
  <w:num w:numId="37">
    <w:abstractNumId w:val="7"/>
  </w:num>
  <w:num w:numId="38">
    <w:abstractNumId w:val="6"/>
  </w:num>
  <w:num w:numId="39">
    <w:abstractNumId w:val="5"/>
  </w:num>
  <w:num w:numId="40">
    <w:abstractNumId w:val="9"/>
  </w:num>
  <w:num w:numId="41">
    <w:abstractNumId w:val="4"/>
  </w:num>
  <w:num w:numId="42">
    <w:abstractNumId w:val="3"/>
  </w:num>
  <w:num w:numId="43">
    <w:abstractNumId w:val="2"/>
  </w:num>
  <w:num w:numId="44">
    <w:abstractNumId w:val="1"/>
  </w:num>
  <w:num w:numId="45">
    <w:abstractNumId w:val="0"/>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ustom&lt;/Style&gt;&lt;LeftDelim&gt;{&lt;/LeftDelim&gt;&lt;RightDelim&gt;}&lt;/RightDelim&gt;&lt;FontName&gt;Helvetica&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5xttzezxev91ewsev55ad4apzsf2pwza0p&quot;&gt;Tim research 2013&lt;record-ids&gt;&lt;item&gt;672&lt;/item&gt;&lt;item&gt;680&lt;/item&gt;&lt;item&gt;688&lt;/item&gt;&lt;item&gt;689&lt;/item&gt;&lt;item&gt;693&lt;/item&gt;&lt;item&gt;698&lt;/item&gt;&lt;item&gt;703&lt;/item&gt;&lt;item&gt;704&lt;/item&gt;&lt;item&gt;706&lt;/item&gt;&lt;item&gt;707&lt;/item&gt;&lt;item&gt;708&lt;/item&gt;&lt;item&gt;709&lt;/item&gt;&lt;item&gt;715&lt;/item&gt;&lt;item&gt;716&lt;/item&gt;&lt;item&gt;718&lt;/item&gt;&lt;item&gt;719&lt;/item&gt;&lt;item&gt;725&lt;/item&gt;&lt;item&gt;731&lt;/item&gt;&lt;item&gt;732&lt;/item&gt;&lt;item&gt;733&lt;/item&gt;&lt;item&gt;736&lt;/item&gt;&lt;item&gt;737&lt;/item&gt;&lt;item&gt;738&lt;/item&gt;&lt;item&gt;739&lt;/item&gt;&lt;item&gt;740&lt;/item&gt;&lt;item&gt;741&lt;/item&gt;&lt;item&gt;742&lt;/item&gt;&lt;item&gt;743&lt;/item&gt;&lt;item&gt;745&lt;/item&gt;&lt;item&gt;746&lt;/item&gt;&lt;/record-ids&gt;&lt;/item&gt;&lt;/Libraries&gt;"/>
  </w:docVars>
  <w:rsids>
    <w:rsidRoot w:val="007D3511"/>
    <w:rsid w:val="000031ED"/>
    <w:rsid w:val="00003320"/>
    <w:rsid w:val="0000411C"/>
    <w:rsid w:val="0000720B"/>
    <w:rsid w:val="000140D1"/>
    <w:rsid w:val="00014869"/>
    <w:rsid w:val="00014B8F"/>
    <w:rsid w:val="00015650"/>
    <w:rsid w:val="0001679E"/>
    <w:rsid w:val="0001743F"/>
    <w:rsid w:val="00020E44"/>
    <w:rsid w:val="0002484D"/>
    <w:rsid w:val="00026139"/>
    <w:rsid w:val="00027C1E"/>
    <w:rsid w:val="00031A70"/>
    <w:rsid w:val="00035251"/>
    <w:rsid w:val="0003560C"/>
    <w:rsid w:val="00035AB4"/>
    <w:rsid w:val="00035BFD"/>
    <w:rsid w:val="00037D31"/>
    <w:rsid w:val="00040193"/>
    <w:rsid w:val="000456CF"/>
    <w:rsid w:val="000505B6"/>
    <w:rsid w:val="0005130C"/>
    <w:rsid w:val="00052098"/>
    <w:rsid w:val="00052832"/>
    <w:rsid w:val="000534BB"/>
    <w:rsid w:val="00055793"/>
    <w:rsid w:val="0005617C"/>
    <w:rsid w:val="0005728E"/>
    <w:rsid w:val="00061230"/>
    <w:rsid w:val="00063276"/>
    <w:rsid w:val="00063C48"/>
    <w:rsid w:val="00064017"/>
    <w:rsid w:val="000649EC"/>
    <w:rsid w:val="00065F76"/>
    <w:rsid w:val="00066E9D"/>
    <w:rsid w:val="0006711F"/>
    <w:rsid w:val="00067397"/>
    <w:rsid w:val="00071760"/>
    <w:rsid w:val="00074A34"/>
    <w:rsid w:val="000754C9"/>
    <w:rsid w:val="000761DC"/>
    <w:rsid w:val="0007656D"/>
    <w:rsid w:val="000774EA"/>
    <w:rsid w:val="00077A3F"/>
    <w:rsid w:val="000803EB"/>
    <w:rsid w:val="000810FB"/>
    <w:rsid w:val="000840E3"/>
    <w:rsid w:val="00084621"/>
    <w:rsid w:val="0008643A"/>
    <w:rsid w:val="0008682A"/>
    <w:rsid w:val="0008721F"/>
    <w:rsid w:val="00090216"/>
    <w:rsid w:val="000927F4"/>
    <w:rsid w:val="00092A0E"/>
    <w:rsid w:val="00092A34"/>
    <w:rsid w:val="00094591"/>
    <w:rsid w:val="00095196"/>
    <w:rsid w:val="00095D4E"/>
    <w:rsid w:val="000978CF"/>
    <w:rsid w:val="000A0985"/>
    <w:rsid w:val="000A1EEF"/>
    <w:rsid w:val="000A2096"/>
    <w:rsid w:val="000A5693"/>
    <w:rsid w:val="000A60C9"/>
    <w:rsid w:val="000A6455"/>
    <w:rsid w:val="000A7C22"/>
    <w:rsid w:val="000B102D"/>
    <w:rsid w:val="000B3919"/>
    <w:rsid w:val="000B409C"/>
    <w:rsid w:val="000B4541"/>
    <w:rsid w:val="000B55FA"/>
    <w:rsid w:val="000B701C"/>
    <w:rsid w:val="000B7B7B"/>
    <w:rsid w:val="000C01F4"/>
    <w:rsid w:val="000C103B"/>
    <w:rsid w:val="000C1CC7"/>
    <w:rsid w:val="000C23BB"/>
    <w:rsid w:val="000C397C"/>
    <w:rsid w:val="000C4F55"/>
    <w:rsid w:val="000C51B1"/>
    <w:rsid w:val="000C5CF0"/>
    <w:rsid w:val="000C7F8C"/>
    <w:rsid w:val="000D2396"/>
    <w:rsid w:val="000D27DA"/>
    <w:rsid w:val="000D2C69"/>
    <w:rsid w:val="000D4320"/>
    <w:rsid w:val="000D4B8D"/>
    <w:rsid w:val="000D52CE"/>
    <w:rsid w:val="000D551B"/>
    <w:rsid w:val="000D5CF6"/>
    <w:rsid w:val="000E0148"/>
    <w:rsid w:val="000E094C"/>
    <w:rsid w:val="000E0B5C"/>
    <w:rsid w:val="000E0CB5"/>
    <w:rsid w:val="000E0F2E"/>
    <w:rsid w:val="000E11D3"/>
    <w:rsid w:val="000E16F3"/>
    <w:rsid w:val="000E1BC1"/>
    <w:rsid w:val="000E24E0"/>
    <w:rsid w:val="000E2EA6"/>
    <w:rsid w:val="000E3071"/>
    <w:rsid w:val="000E3537"/>
    <w:rsid w:val="000E4F3B"/>
    <w:rsid w:val="000E6696"/>
    <w:rsid w:val="000E6F3A"/>
    <w:rsid w:val="000E72B8"/>
    <w:rsid w:val="000F0257"/>
    <w:rsid w:val="000F0315"/>
    <w:rsid w:val="000F0B60"/>
    <w:rsid w:val="000F1450"/>
    <w:rsid w:val="000F1470"/>
    <w:rsid w:val="000F2BE4"/>
    <w:rsid w:val="000F3252"/>
    <w:rsid w:val="000F3A91"/>
    <w:rsid w:val="000F4B88"/>
    <w:rsid w:val="000F4D1D"/>
    <w:rsid w:val="000F755B"/>
    <w:rsid w:val="000F7C1E"/>
    <w:rsid w:val="0010174D"/>
    <w:rsid w:val="0010186E"/>
    <w:rsid w:val="00101AA6"/>
    <w:rsid w:val="00101FAB"/>
    <w:rsid w:val="001037FC"/>
    <w:rsid w:val="001053E5"/>
    <w:rsid w:val="001075A3"/>
    <w:rsid w:val="00113043"/>
    <w:rsid w:val="00113F63"/>
    <w:rsid w:val="0011400B"/>
    <w:rsid w:val="00117B1A"/>
    <w:rsid w:val="001206F0"/>
    <w:rsid w:val="00122768"/>
    <w:rsid w:val="001239AB"/>
    <w:rsid w:val="00124F7F"/>
    <w:rsid w:val="00127084"/>
    <w:rsid w:val="001273CA"/>
    <w:rsid w:val="00133250"/>
    <w:rsid w:val="00133788"/>
    <w:rsid w:val="00136CB2"/>
    <w:rsid w:val="001409C1"/>
    <w:rsid w:val="00140FCE"/>
    <w:rsid w:val="0014152B"/>
    <w:rsid w:val="0014168D"/>
    <w:rsid w:val="00141EE3"/>
    <w:rsid w:val="00142A54"/>
    <w:rsid w:val="0014337D"/>
    <w:rsid w:val="001435CD"/>
    <w:rsid w:val="0014372E"/>
    <w:rsid w:val="00143D65"/>
    <w:rsid w:val="00145F62"/>
    <w:rsid w:val="001479E9"/>
    <w:rsid w:val="00147A15"/>
    <w:rsid w:val="00150355"/>
    <w:rsid w:val="00150427"/>
    <w:rsid w:val="00153ACC"/>
    <w:rsid w:val="001540EB"/>
    <w:rsid w:val="001570BA"/>
    <w:rsid w:val="00160A10"/>
    <w:rsid w:val="001615CF"/>
    <w:rsid w:val="00162A67"/>
    <w:rsid w:val="00163015"/>
    <w:rsid w:val="001635A2"/>
    <w:rsid w:val="00163B65"/>
    <w:rsid w:val="0016463C"/>
    <w:rsid w:val="0016581C"/>
    <w:rsid w:val="00165E88"/>
    <w:rsid w:val="00165F77"/>
    <w:rsid w:val="00167D00"/>
    <w:rsid w:val="00170EE8"/>
    <w:rsid w:val="00171444"/>
    <w:rsid w:val="00174F87"/>
    <w:rsid w:val="00175705"/>
    <w:rsid w:val="0017636C"/>
    <w:rsid w:val="00176472"/>
    <w:rsid w:val="001767CA"/>
    <w:rsid w:val="00177F10"/>
    <w:rsid w:val="00180F7C"/>
    <w:rsid w:val="001815E5"/>
    <w:rsid w:val="0018296E"/>
    <w:rsid w:val="0018341A"/>
    <w:rsid w:val="00183C54"/>
    <w:rsid w:val="001852A9"/>
    <w:rsid w:val="00185523"/>
    <w:rsid w:val="00186DF5"/>
    <w:rsid w:val="0018703B"/>
    <w:rsid w:val="00190C1A"/>
    <w:rsid w:val="0019444D"/>
    <w:rsid w:val="00194F75"/>
    <w:rsid w:val="0019509C"/>
    <w:rsid w:val="001954F5"/>
    <w:rsid w:val="00196135"/>
    <w:rsid w:val="00196C6D"/>
    <w:rsid w:val="001A00B6"/>
    <w:rsid w:val="001A04BD"/>
    <w:rsid w:val="001A0E24"/>
    <w:rsid w:val="001A172D"/>
    <w:rsid w:val="001A2465"/>
    <w:rsid w:val="001A3887"/>
    <w:rsid w:val="001A7002"/>
    <w:rsid w:val="001B015F"/>
    <w:rsid w:val="001B0963"/>
    <w:rsid w:val="001B20B1"/>
    <w:rsid w:val="001B2507"/>
    <w:rsid w:val="001B3696"/>
    <w:rsid w:val="001B3C25"/>
    <w:rsid w:val="001B4055"/>
    <w:rsid w:val="001B5290"/>
    <w:rsid w:val="001B6AB2"/>
    <w:rsid w:val="001B6BBA"/>
    <w:rsid w:val="001C090F"/>
    <w:rsid w:val="001C1515"/>
    <w:rsid w:val="001C2E51"/>
    <w:rsid w:val="001C5174"/>
    <w:rsid w:val="001C77DF"/>
    <w:rsid w:val="001C7BB8"/>
    <w:rsid w:val="001D06F6"/>
    <w:rsid w:val="001D1C55"/>
    <w:rsid w:val="001D2648"/>
    <w:rsid w:val="001D308A"/>
    <w:rsid w:val="001D466D"/>
    <w:rsid w:val="001D4D7B"/>
    <w:rsid w:val="001D560C"/>
    <w:rsid w:val="001D62B5"/>
    <w:rsid w:val="001E2944"/>
    <w:rsid w:val="001E4A89"/>
    <w:rsid w:val="001E4C1F"/>
    <w:rsid w:val="001E74F2"/>
    <w:rsid w:val="001F2A77"/>
    <w:rsid w:val="001F5E3D"/>
    <w:rsid w:val="001F68E6"/>
    <w:rsid w:val="001F6976"/>
    <w:rsid w:val="001F6A7E"/>
    <w:rsid w:val="00201FBC"/>
    <w:rsid w:val="002024CF"/>
    <w:rsid w:val="00203CA4"/>
    <w:rsid w:val="00204596"/>
    <w:rsid w:val="00205218"/>
    <w:rsid w:val="00207507"/>
    <w:rsid w:val="00212102"/>
    <w:rsid w:val="00215032"/>
    <w:rsid w:val="00215B3A"/>
    <w:rsid w:val="00215C80"/>
    <w:rsid w:val="00215EC9"/>
    <w:rsid w:val="0021797E"/>
    <w:rsid w:val="002210A7"/>
    <w:rsid w:val="002216BC"/>
    <w:rsid w:val="00221E04"/>
    <w:rsid w:val="002222B3"/>
    <w:rsid w:val="002251D7"/>
    <w:rsid w:val="002266D4"/>
    <w:rsid w:val="002268D3"/>
    <w:rsid w:val="00226F39"/>
    <w:rsid w:val="00226FD6"/>
    <w:rsid w:val="0022721A"/>
    <w:rsid w:val="00231B93"/>
    <w:rsid w:val="002326AE"/>
    <w:rsid w:val="00233B08"/>
    <w:rsid w:val="00234F34"/>
    <w:rsid w:val="00235C76"/>
    <w:rsid w:val="0023688E"/>
    <w:rsid w:val="00237635"/>
    <w:rsid w:val="002378A4"/>
    <w:rsid w:val="00240464"/>
    <w:rsid w:val="00241B72"/>
    <w:rsid w:val="00244492"/>
    <w:rsid w:val="00244E02"/>
    <w:rsid w:val="002462AF"/>
    <w:rsid w:val="002465D1"/>
    <w:rsid w:val="00247823"/>
    <w:rsid w:val="002505B5"/>
    <w:rsid w:val="002510A3"/>
    <w:rsid w:val="002523E3"/>
    <w:rsid w:val="0025368B"/>
    <w:rsid w:val="0025384C"/>
    <w:rsid w:val="00255EB9"/>
    <w:rsid w:val="002563FF"/>
    <w:rsid w:val="00256F3A"/>
    <w:rsid w:val="00257302"/>
    <w:rsid w:val="00257B5B"/>
    <w:rsid w:val="00263C39"/>
    <w:rsid w:val="00264D0B"/>
    <w:rsid w:val="00264F78"/>
    <w:rsid w:val="00266959"/>
    <w:rsid w:val="00267143"/>
    <w:rsid w:val="002704AC"/>
    <w:rsid w:val="002714E6"/>
    <w:rsid w:val="00271E86"/>
    <w:rsid w:val="00271EBF"/>
    <w:rsid w:val="00272DFA"/>
    <w:rsid w:val="00276C9B"/>
    <w:rsid w:val="0027702E"/>
    <w:rsid w:val="002777E9"/>
    <w:rsid w:val="00282ED4"/>
    <w:rsid w:val="00283917"/>
    <w:rsid w:val="0028477E"/>
    <w:rsid w:val="00286DEB"/>
    <w:rsid w:val="002906D2"/>
    <w:rsid w:val="00290E66"/>
    <w:rsid w:val="002910FB"/>
    <w:rsid w:val="002929B6"/>
    <w:rsid w:val="002932B3"/>
    <w:rsid w:val="00293EC7"/>
    <w:rsid w:val="00294EEC"/>
    <w:rsid w:val="002975A9"/>
    <w:rsid w:val="00297FF0"/>
    <w:rsid w:val="002A189C"/>
    <w:rsid w:val="002A44CF"/>
    <w:rsid w:val="002A5552"/>
    <w:rsid w:val="002A6FD1"/>
    <w:rsid w:val="002A7DFE"/>
    <w:rsid w:val="002B08C3"/>
    <w:rsid w:val="002B0C19"/>
    <w:rsid w:val="002B10DC"/>
    <w:rsid w:val="002B18E0"/>
    <w:rsid w:val="002B3FD7"/>
    <w:rsid w:val="002B55A4"/>
    <w:rsid w:val="002B589B"/>
    <w:rsid w:val="002B7136"/>
    <w:rsid w:val="002C020D"/>
    <w:rsid w:val="002C3963"/>
    <w:rsid w:val="002C46CA"/>
    <w:rsid w:val="002C5BAD"/>
    <w:rsid w:val="002D2107"/>
    <w:rsid w:val="002D5ED2"/>
    <w:rsid w:val="002D73AD"/>
    <w:rsid w:val="002E0E39"/>
    <w:rsid w:val="002E237A"/>
    <w:rsid w:val="002E3C2E"/>
    <w:rsid w:val="002E52C4"/>
    <w:rsid w:val="002E7086"/>
    <w:rsid w:val="002E730C"/>
    <w:rsid w:val="002E7AA1"/>
    <w:rsid w:val="002F0452"/>
    <w:rsid w:val="002F13B2"/>
    <w:rsid w:val="002F16F8"/>
    <w:rsid w:val="002F1E69"/>
    <w:rsid w:val="002F2B00"/>
    <w:rsid w:val="002F6A04"/>
    <w:rsid w:val="002F6AFB"/>
    <w:rsid w:val="002F6FC4"/>
    <w:rsid w:val="002F76EA"/>
    <w:rsid w:val="002F7721"/>
    <w:rsid w:val="00300029"/>
    <w:rsid w:val="00301CAC"/>
    <w:rsid w:val="00302838"/>
    <w:rsid w:val="00303A04"/>
    <w:rsid w:val="0030400C"/>
    <w:rsid w:val="00304583"/>
    <w:rsid w:val="0030541D"/>
    <w:rsid w:val="00306408"/>
    <w:rsid w:val="00306CDE"/>
    <w:rsid w:val="00310D56"/>
    <w:rsid w:val="00311290"/>
    <w:rsid w:val="003113B9"/>
    <w:rsid w:val="00314313"/>
    <w:rsid w:val="003147A4"/>
    <w:rsid w:val="00314F37"/>
    <w:rsid w:val="00316904"/>
    <w:rsid w:val="0032101F"/>
    <w:rsid w:val="003215F6"/>
    <w:rsid w:val="00321D5A"/>
    <w:rsid w:val="0032284D"/>
    <w:rsid w:val="00322FB3"/>
    <w:rsid w:val="00323D7D"/>
    <w:rsid w:val="00324C19"/>
    <w:rsid w:val="003266F2"/>
    <w:rsid w:val="00327A12"/>
    <w:rsid w:val="003304B5"/>
    <w:rsid w:val="00330695"/>
    <w:rsid w:val="00331A96"/>
    <w:rsid w:val="00331FA8"/>
    <w:rsid w:val="003323BB"/>
    <w:rsid w:val="00332862"/>
    <w:rsid w:val="00332D0B"/>
    <w:rsid w:val="00333A19"/>
    <w:rsid w:val="00334C88"/>
    <w:rsid w:val="0033774C"/>
    <w:rsid w:val="00340E14"/>
    <w:rsid w:val="003413FC"/>
    <w:rsid w:val="003416B0"/>
    <w:rsid w:val="00343EB4"/>
    <w:rsid w:val="00344A85"/>
    <w:rsid w:val="00345249"/>
    <w:rsid w:val="00346416"/>
    <w:rsid w:val="00346448"/>
    <w:rsid w:val="00347528"/>
    <w:rsid w:val="00351A91"/>
    <w:rsid w:val="00352C07"/>
    <w:rsid w:val="003537BA"/>
    <w:rsid w:val="003552DF"/>
    <w:rsid w:val="00355525"/>
    <w:rsid w:val="0035754A"/>
    <w:rsid w:val="00360151"/>
    <w:rsid w:val="00362671"/>
    <w:rsid w:val="00364175"/>
    <w:rsid w:val="00366D91"/>
    <w:rsid w:val="00366E01"/>
    <w:rsid w:val="00367B9E"/>
    <w:rsid w:val="00375E43"/>
    <w:rsid w:val="00375F69"/>
    <w:rsid w:val="00376344"/>
    <w:rsid w:val="0037709F"/>
    <w:rsid w:val="00377E7D"/>
    <w:rsid w:val="0038095D"/>
    <w:rsid w:val="003817AF"/>
    <w:rsid w:val="003819C8"/>
    <w:rsid w:val="003836C3"/>
    <w:rsid w:val="00384CD3"/>
    <w:rsid w:val="00385865"/>
    <w:rsid w:val="003871D9"/>
    <w:rsid w:val="003877A5"/>
    <w:rsid w:val="0039068D"/>
    <w:rsid w:val="0039159E"/>
    <w:rsid w:val="003925ED"/>
    <w:rsid w:val="00392D44"/>
    <w:rsid w:val="00393063"/>
    <w:rsid w:val="00394467"/>
    <w:rsid w:val="003A1968"/>
    <w:rsid w:val="003A1D22"/>
    <w:rsid w:val="003A2AF4"/>
    <w:rsid w:val="003A3589"/>
    <w:rsid w:val="003A3D63"/>
    <w:rsid w:val="003A4A91"/>
    <w:rsid w:val="003A65BE"/>
    <w:rsid w:val="003B15EC"/>
    <w:rsid w:val="003B2688"/>
    <w:rsid w:val="003B2E4F"/>
    <w:rsid w:val="003B3DE7"/>
    <w:rsid w:val="003B60B1"/>
    <w:rsid w:val="003B6382"/>
    <w:rsid w:val="003B74E0"/>
    <w:rsid w:val="003C0C49"/>
    <w:rsid w:val="003C0EB5"/>
    <w:rsid w:val="003C39FA"/>
    <w:rsid w:val="003C5527"/>
    <w:rsid w:val="003C5CDF"/>
    <w:rsid w:val="003D1B01"/>
    <w:rsid w:val="003D21C7"/>
    <w:rsid w:val="003D42B1"/>
    <w:rsid w:val="003D4493"/>
    <w:rsid w:val="003D7ACF"/>
    <w:rsid w:val="003E130C"/>
    <w:rsid w:val="003E1B52"/>
    <w:rsid w:val="003E24BC"/>
    <w:rsid w:val="003E3239"/>
    <w:rsid w:val="003E38BD"/>
    <w:rsid w:val="003E3D3D"/>
    <w:rsid w:val="003E4911"/>
    <w:rsid w:val="003E65E1"/>
    <w:rsid w:val="003E697E"/>
    <w:rsid w:val="003E7761"/>
    <w:rsid w:val="003F0220"/>
    <w:rsid w:val="003F0969"/>
    <w:rsid w:val="003F0E39"/>
    <w:rsid w:val="003F4B61"/>
    <w:rsid w:val="003F541A"/>
    <w:rsid w:val="004007B7"/>
    <w:rsid w:val="004009F5"/>
    <w:rsid w:val="00402766"/>
    <w:rsid w:val="00403058"/>
    <w:rsid w:val="00403289"/>
    <w:rsid w:val="00403EAD"/>
    <w:rsid w:val="00404323"/>
    <w:rsid w:val="004065B1"/>
    <w:rsid w:val="004067BC"/>
    <w:rsid w:val="00407EBC"/>
    <w:rsid w:val="0041037D"/>
    <w:rsid w:val="00412CE8"/>
    <w:rsid w:val="004130C4"/>
    <w:rsid w:val="00413A78"/>
    <w:rsid w:val="00414CBD"/>
    <w:rsid w:val="00416639"/>
    <w:rsid w:val="00416A6D"/>
    <w:rsid w:val="00416F8C"/>
    <w:rsid w:val="00421100"/>
    <w:rsid w:val="004214EA"/>
    <w:rsid w:val="00422344"/>
    <w:rsid w:val="00424053"/>
    <w:rsid w:val="00425CA1"/>
    <w:rsid w:val="004307A8"/>
    <w:rsid w:val="00431DA6"/>
    <w:rsid w:val="004327DF"/>
    <w:rsid w:val="00433684"/>
    <w:rsid w:val="0043429B"/>
    <w:rsid w:val="00436AEA"/>
    <w:rsid w:val="00436BB2"/>
    <w:rsid w:val="00437C80"/>
    <w:rsid w:val="00440725"/>
    <w:rsid w:val="00440C1D"/>
    <w:rsid w:val="00441098"/>
    <w:rsid w:val="004426A3"/>
    <w:rsid w:val="00442B17"/>
    <w:rsid w:val="00442CD2"/>
    <w:rsid w:val="00445256"/>
    <w:rsid w:val="00445FAD"/>
    <w:rsid w:val="00446CAD"/>
    <w:rsid w:val="00446CFA"/>
    <w:rsid w:val="0045138C"/>
    <w:rsid w:val="00451FBD"/>
    <w:rsid w:val="004524F0"/>
    <w:rsid w:val="00452C41"/>
    <w:rsid w:val="00454493"/>
    <w:rsid w:val="00454D01"/>
    <w:rsid w:val="00457F43"/>
    <w:rsid w:val="00460BA9"/>
    <w:rsid w:val="00460BAB"/>
    <w:rsid w:val="00461C5D"/>
    <w:rsid w:val="00464C86"/>
    <w:rsid w:val="00464E44"/>
    <w:rsid w:val="00466D47"/>
    <w:rsid w:val="0046739A"/>
    <w:rsid w:val="00467C8C"/>
    <w:rsid w:val="0047034D"/>
    <w:rsid w:val="00470CFB"/>
    <w:rsid w:val="004710DA"/>
    <w:rsid w:val="00472E48"/>
    <w:rsid w:val="00475016"/>
    <w:rsid w:val="00476453"/>
    <w:rsid w:val="004803D9"/>
    <w:rsid w:val="0048187A"/>
    <w:rsid w:val="0048297A"/>
    <w:rsid w:val="0048402B"/>
    <w:rsid w:val="004877AA"/>
    <w:rsid w:val="00493374"/>
    <w:rsid w:val="004934AF"/>
    <w:rsid w:val="00493E3D"/>
    <w:rsid w:val="00495638"/>
    <w:rsid w:val="00495807"/>
    <w:rsid w:val="004958C5"/>
    <w:rsid w:val="00495FC0"/>
    <w:rsid w:val="00497CDE"/>
    <w:rsid w:val="00497E95"/>
    <w:rsid w:val="004A0066"/>
    <w:rsid w:val="004A17DC"/>
    <w:rsid w:val="004A1B4E"/>
    <w:rsid w:val="004A2DB5"/>
    <w:rsid w:val="004A4F1F"/>
    <w:rsid w:val="004A5ECF"/>
    <w:rsid w:val="004B05AB"/>
    <w:rsid w:val="004B5145"/>
    <w:rsid w:val="004B69C5"/>
    <w:rsid w:val="004B6E4A"/>
    <w:rsid w:val="004B6FB2"/>
    <w:rsid w:val="004B709C"/>
    <w:rsid w:val="004C0559"/>
    <w:rsid w:val="004C0D31"/>
    <w:rsid w:val="004C13C5"/>
    <w:rsid w:val="004C1A3B"/>
    <w:rsid w:val="004C48C6"/>
    <w:rsid w:val="004C5B01"/>
    <w:rsid w:val="004C6883"/>
    <w:rsid w:val="004D0C1A"/>
    <w:rsid w:val="004D2EEB"/>
    <w:rsid w:val="004D2FCA"/>
    <w:rsid w:val="004D5E77"/>
    <w:rsid w:val="004D68EA"/>
    <w:rsid w:val="004E03FA"/>
    <w:rsid w:val="004E190F"/>
    <w:rsid w:val="004E1EF4"/>
    <w:rsid w:val="004E395C"/>
    <w:rsid w:val="004E401B"/>
    <w:rsid w:val="004E464C"/>
    <w:rsid w:val="004E507E"/>
    <w:rsid w:val="004E58B3"/>
    <w:rsid w:val="004E7106"/>
    <w:rsid w:val="004E7A43"/>
    <w:rsid w:val="004F0552"/>
    <w:rsid w:val="004F4159"/>
    <w:rsid w:val="004F4CBF"/>
    <w:rsid w:val="004F4D1C"/>
    <w:rsid w:val="004F621A"/>
    <w:rsid w:val="004F67C5"/>
    <w:rsid w:val="00501BB9"/>
    <w:rsid w:val="005022AA"/>
    <w:rsid w:val="00502F04"/>
    <w:rsid w:val="00503C3D"/>
    <w:rsid w:val="00505185"/>
    <w:rsid w:val="00505685"/>
    <w:rsid w:val="00506185"/>
    <w:rsid w:val="00506390"/>
    <w:rsid w:val="00506B6D"/>
    <w:rsid w:val="00507FBD"/>
    <w:rsid w:val="00510140"/>
    <w:rsid w:val="005101D2"/>
    <w:rsid w:val="005104D4"/>
    <w:rsid w:val="00510757"/>
    <w:rsid w:val="00510D48"/>
    <w:rsid w:val="0051205B"/>
    <w:rsid w:val="00512ED7"/>
    <w:rsid w:val="005138D4"/>
    <w:rsid w:val="005151E8"/>
    <w:rsid w:val="00517538"/>
    <w:rsid w:val="00522866"/>
    <w:rsid w:val="00526A9B"/>
    <w:rsid w:val="005307FD"/>
    <w:rsid w:val="00530EFC"/>
    <w:rsid w:val="00531839"/>
    <w:rsid w:val="00532829"/>
    <w:rsid w:val="0053304B"/>
    <w:rsid w:val="0053398C"/>
    <w:rsid w:val="00536765"/>
    <w:rsid w:val="0054025F"/>
    <w:rsid w:val="005419E0"/>
    <w:rsid w:val="005428C4"/>
    <w:rsid w:val="005428FC"/>
    <w:rsid w:val="00542E38"/>
    <w:rsid w:val="00542F0F"/>
    <w:rsid w:val="00542FD8"/>
    <w:rsid w:val="00546A89"/>
    <w:rsid w:val="005473FF"/>
    <w:rsid w:val="005475CD"/>
    <w:rsid w:val="00550240"/>
    <w:rsid w:val="005503D7"/>
    <w:rsid w:val="00551254"/>
    <w:rsid w:val="0055397A"/>
    <w:rsid w:val="005565C8"/>
    <w:rsid w:val="00557B83"/>
    <w:rsid w:val="00557F8C"/>
    <w:rsid w:val="00560144"/>
    <w:rsid w:val="005613A7"/>
    <w:rsid w:val="00561BBD"/>
    <w:rsid w:val="00562959"/>
    <w:rsid w:val="00564F58"/>
    <w:rsid w:val="00565DFB"/>
    <w:rsid w:val="005666F4"/>
    <w:rsid w:val="00567453"/>
    <w:rsid w:val="005712EB"/>
    <w:rsid w:val="005713E2"/>
    <w:rsid w:val="00572DBD"/>
    <w:rsid w:val="00573BEB"/>
    <w:rsid w:val="00573F99"/>
    <w:rsid w:val="005751B5"/>
    <w:rsid w:val="00575B1C"/>
    <w:rsid w:val="00575D3C"/>
    <w:rsid w:val="00577C59"/>
    <w:rsid w:val="00577F4B"/>
    <w:rsid w:val="0058006B"/>
    <w:rsid w:val="00580EE3"/>
    <w:rsid w:val="00582C12"/>
    <w:rsid w:val="00583096"/>
    <w:rsid w:val="0058424A"/>
    <w:rsid w:val="00584B9E"/>
    <w:rsid w:val="0058574D"/>
    <w:rsid w:val="00586820"/>
    <w:rsid w:val="00586B03"/>
    <w:rsid w:val="00587494"/>
    <w:rsid w:val="0058797C"/>
    <w:rsid w:val="00587C4F"/>
    <w:rsid w:val="005900D8"/>
    <w:rsid w:val="005915BB"/>
    <w:rsid w:val="00591F45"/>
    <w:rsid w:val="00591FD7"/>
    <w:rsid w:val="00593A37"/>
    <w:rsid w:val="00594701"/>
    <w:rsid w:val="005970F9"/>
    <w:rsid w:val="00597FE2"/>
    <w:rsid w:val="005A04AE"/>
    <w:rsid w:val="005A2209"/>
    <w:rsid w:val="005A2F7B"/>
    <w:rsid w:val="005A3EAA"/>
    <w:rsid w:val="005A61B3"/>
    <w:rsid w:val="005A6CB3"/>
    <w:rsid w:val="005A70DF"/>
    <w:rsid w:val="005A799F"/>
    <w:rsid w:val="005A7A82"/>
    <w:rsid w:val="005A7CD3"/>
    <w:rsid w:val="005B0E2D"/>
    <w:rsid w:val="005B1E46"/>
    <w:rsid w:val="005B3148"/>
    <w:rsid w:val="005B37E4"/>
    <w:rsid w:val="005B3ADE"/>
    <w:rsid w:val="005B48B4"/>
    <w:rsid w:val="005B5E5D"/>
    <w:rsid w:val="005B6669"/>
    <w:rsid w:val="005B7582"/>
    <w:rsid w:val="005C0207"/>
    <w:rsid w:val="005C15E8"/>
    <w:rsid w:val="005C1FD2"/>
    <w:rsid w:val="005C2E9C"/>
    <w:rsid w:val="005C3ED4"/>
    <w:rsid w:val="005C4593"/>
    <w:rsid w:val="005C4612"/>
    <w:rsid w:val="005C47F7"/>
    <w:rsid w:val="005C50A7"/>
    <w:rsid w:val="005C6726"/>
    <w:rsid w:val="005C678B"/>
    <w:rsid w:val="005D4F03"/>
    <w:rsid w:val="005D5C8F"/>
    <w:rsid w:val="005D60BA"/>
    <w:rsid w:val="005D70B1"/>
    <w:rsid w:val="005D7AF4"/>
    <w:rsid w:val="005E317D"/>
    <w:rsid w:val="005E5CEC"/>
    <w:rsid w:val="005E6186"/>
    <w:rsid w:val="005F007C"/>
    <w:rsid w:val="005F08B0"/>
    <w:rsid w:val="005F139F"/>
    <w:rsid w:val="005F4002"/>
    <w:rsid w:val="005F5034"/>
    <w:rsid w:val="005F517E"/>
    <w:rsid w:val="005F5D3D"/>
    <w:rsid w:val="005F658A"/>
    <w:rsid w:val="005F70B9"/>
    <w:rsid w:val="005F70D9"/>
    <w:rsid w:val="00600C1B"/>
    <w:rsid w:val="006010E3"/>
    <w:rsid w:val="006013FA"/>
    <w:rsid w:val="00603B54"/>
    <w:rsid w:val="0060489C"/>
    <w:rsid w:val="0060558F"/>
    <w:rsid w:val="006062D3"/>
    <w:rsid w:val="00606CB7"/>
    <w:rsid w:val="00610242"/>
    <w:rsid w:val="00611F56"/>
    <w:rsid w:val="006129F0"/>
    <w:rsid w:val="00613429"/>
    <w:rsid w:val="006152B1"/>
    <w:rsid w:val="00615335"/>
    <w:rsid w:val="006154B9"/>
    <w:rsid w:val="00615C3E"/>
    <w:rsid w:val="00615EB5"/>
    <w:rsid w:val="00616762"/>
    <w:rsid w:val="00616C11"/>
    <w:rsid w:val="006203FA"/>
    <w:rsid w:val="00620D04"/>
    <w:rsid w:val="006229EE"/>
    <w:rsid w:val="00624431"/>
    <w:rsid w:val="00625BF6"/>
    <w:rsid w:val="0062633F"/>
    <w:rsid w:val="00626ED4"/>
    <w:rsid w:val="00627DDC"/>
    <w:rsid w:val="00631021"/>
    <w:rsid w:val="00631187"/>
    <w:rsid w:val="00631F2C"/>
    <w:rsid w:val="00632993"/>
    <w:rsid w:val="006349DF"/>
    <w:rsid w:val="006351A7"/>
    <w:rsid w:val="0063531F"/>
    <w:rsid w:val="00636CD3"/>
    <w:rsid w:val="0064134E"/>
    <w:rsid w:val="00641C10"/>
    <w:rsid w:val="00641E23"/>
    <w:rsid w:val="006438A4"/>
    <w:rsid w:val="00643F59"/>
    <w:rsid w:val="00645003"/>
    <w:rsid w:val="00646E08"/>
    <w:rsid w:val="0064715C"/>
    <w:rsid w:val="00651B54"/>
    <w:rsid w:val="0065287A"/>
    <w:rsid w:val="006528DA"/>
    <w:rsid w:val="0065494E"/>
    <w:rsid w:val="00660374"/>
    <w:rsid w:val="00663367"/>
    <w:rsid w:val="00663823"/>
    <w:rsid w:val="00663839"/>
    <w:rsid w:val="006641C4"/>
    <w:rsid w:val="006649B0"/>
    <w:rsid w:val="00673862"/>
    <w:rsid w:val="0067460A"/>
    <w:rsid w:val="0068172C"/>
    <w:rsid w:val="00682C7F"/>
    <w:rsid w:val="006838DA"/>
    <w:rsid w:val="006853E7"/>
    <w:rsid w:val="00685B25"/>
    <w:rsid w:val="00686393"/>
    <w:rsid w:val="00686B10"/>
    <w:rsid w:val="00691736"/>
    <w:rsid w:val="00692D98"/>
    <w:rsid w:val="006930F5"/>
    <w:rsid w:val="00693DB8"/>
    <w:rsid w:val="006948D2"/>
    <w:rsid w:val="006974B6"/>
    <w:rsid w:val="00697A53"/>
    <w:rsid w:val="00697D48"/>
    <w:rsid w:val="006A00A7"/>
    <w:rsid w:val="006A07FF"/>
    <w:rsid w:val="006A0B06"/>
    <w:rsid w:val="006A11F3"/>
    <w:rsid w:val="006A15CE"/>
    <w:rsid w:val="006A189A"/>
    <w:rsid w:val="006A18B3"/>
    <w:rsid w:val="006A3D2C"/>
    <w:rsid w:val="006A5670"/>
    <w:rsid w:val="006A5754"/>
    <w:rsid w:val="006A6144"/>
    <w:rsid w:val="006A6B43"/>
    <w:rsid w:val="006B08C8"/>
    <w:rsid w:val="006B1D96"/>
    <w:rsid w:val="006B3A84"/>
    <w:rsid w:val="006B4FFE"/>
    <w:rsid w:val="006B5D75"/>
    <w:rsid w:val="006B7061"/>
    <w:rsid w:val="006C0D88"/>
    <w:rsid w:val="006C3249"/>
    <w:rsid w:val="006C40D8"/>
    <w:rsid w:val="006C454F"/>
    <w:rsid w:val="006C59B2"/>
    <w:rsid w:val="006C71F5"/>
    <w:rsid w:val="006C7ED0"/>
    <w:rsid w:val="006D2E71"/>
    <w:rsid w:val="006D3B3B"/>
    <w:rsid w:val="006D488C"/>
    <w:rsid w:val="006D56B2"/>
    <w:rsid w:val="006D5E15"/>
    <w:rsid w:val="006D6006"/>
    <w:rsid w:val="006D6296"/>
    <w:rsid w:val="006D750F"/>
    <w:rsid w:val="006D77A9"/>
    <w:rsid w:val="006E1216"/>
    <w:rsid w:val="006E2788"/>
    <w:rsid w:val="006E3171"/>
    <w:rsid w:val="006E5BC2"/>
    <w:rsid w:val="006E5C2A"/>
    <w:rsid w:val="006E715D"/>
    <w:rsid w:val="006E782D"/>
    <w:rsid w:val="006F0083"/>
    <w:rsid w:val="006F37EA"/>
    <w:rsid w:val="006F3E03"/>
    <w:rsid w:val="006F482B"/>
    <w:rsid w:val="006F544F"/>
    <w:rsid w:val="006F7FD7"/>
    <w:rsid w:val="0070085D"/>
    <w:rsid w:val="00701534"/>
    <w:rsid w:val="00701981"/>
    <w:rsid w:val="00704C1F"/>
    <w:rsid w:val="00704F63"/>
    <w:rsid w:val="007063C8"/>
    <w:rsid w:val="00706F39"/>
    <w:rsid w:val="0071166B"/>
    <w:rsid w:val="00712042"/>
    <w:rsid w:val="0071280A"/>
    <w:rsid w:val="00712832"/>
    <w:rsid w:val="00713720"/>
    <w:rsid w:val="00715DA4"/>
    <w:rsid w:val="00715FF3"/>
    <w:rsid w:val="00716FF9"/>
    <w:rsid w:val="00720302"/>
    <w:rsid w:val="00722518"/>
    <w:rsid w:val="00722DFF"/>
    <w:rsid w:val="007236AE"/>
    <w:rsid w:val="007246F5"/>
    <w:rsid w:val="00725E7E"/>
    <w:rsid w:val="007261DA"/>
    <w:rsid w:val="00726E0C"/>
    <w:rsid w:val="00727E8A"/>
    <w:rsid w:val="00731D4E"/>
    <w:rsid w:val="00732DE5"/>
    <w:rsid w:val="00733FDD"/>
    <w:rsid w:val="00734D49"/>
    <w:rsid w:val="00735264"/>
    <w:rsid w:val="00737401"/>
    <w:rsid w:val="0073766F"/>
    <w:rsid w:val="00737E97"/>
    <w:rsid w:val="00742B53"/>
    <w:rsid w:val="00743280"/>
    <w:rsid w:val="00743F76"/>
    <w:rsid w:val="00744DEB"/>
    <w:rsid w:val="00744FA8"/>
    <w:rsid w:val="007457D0"/>
    <w:rsid w:val="0075078A"/>
    <w:rsid w:val="007510AA"/>
    <w:rsid w:val="00751E71"/>
    <w:rsid w:val="00753B71"/>
    <w:rsid w:val="00753DFA"/>
    <w:rsid w:val="00754292"/>
    <w:rsid w:val="0075472A"/>
    <w:rsid w:val="00754FBF"/>
    <w:rsid w:val="00755CF1"/>
    <w:rsid w:val="00760C58"/>
    <w:rsid w:val="00760E9E"/>
    <w:rsid w:val="00761419"/>
    <w:rsid w:val="00764194"/>
    <w:rsid w:val="0076747C"/>
    <w:rsid w:val="007706F1"/>
    <w:rsid w:val="00771310"/>
    <w:rsid w:val="00772648"/>
    <w:rsid w:val="00772D9D"/>
    <w:rsid w:val="00773945"/>
    <w:rsid w:val="00775A6E"/>
    <w:rsid w:val="00775E8C"/>
    <w:rsid w:val="00780AD7"/>
    <w:rsid w:val="00780D57"/>
    <w:rsid w:val="00782990"/>
    <w:rsid w:val="00784805"/>
    <w:rsid w:val="00787045"/>
    <w:rsid w:val="00790C3E"/>
    <w:rsid w:val="00791189"/>
    <w:rsid w:val="00791232"/>
    <w:rsid w:val="007913A8"/>
    <w:rsid w:val="00791795"/>
    <w:rsid w:val="007930B4"/>
    <w:rsid w:val="0079375F"/>
    <w:rsid w:val="00793E7D"/>
    <w:rsid w:val="00797801"/>
    <w:rsid w:val="007978B7"/>
    <w:rsid w:val="007A0B2C"/>
    <w:rsid w:val="007A1D0C"/>
    <w:rsid w:val="007A5829"/>
    <w:rsid w:val="007A66C1"/>
    <w:rsid w:val="007B0B19"/>
    <w:rsid w:val="007B1A8E"/>
    <w:rsid w:val="007B484C"/>
    <w:rsid w:val="007B4950"/>
    <w:rsid w:val="007B4DDF"/>
    <w:rsid w:val="007B55A5"/>
    <w:rsid w:val="007B5CB0"/>
    <w:rsid w:val="007B6355"/>
    <w:rsid w:val="007B675B"/>
    <w:rsid w:val="007B73E8"/>
    <w:rsid w:val="007B78F2"/>
    <w:rsid w:val="007C0924"/>
    <w:rsid w:val="007C180C"/>
    <w:rsid w:val="007C1910"/>
    <w:rsid w:val="007C2160"/>
    <w:rsid w:val="007C3CCF"/>
    <w:rsid w:val="007C6CEA"/>
    <w:rsid w:val="007C7F0C"/>
    <w:rsid w:val="007D1459"/>
    <w:rsid w:val="007D2981"/>
    <w:rsid w:val="007D2AED"/>
    <w:rsid w:val="007D2CEE"/>
    <w:rsid w:val="007D3511"/>
    <w:rsid w:val="007D51B1"/>
    <w:rsid w:val="007D5760"/>
    <w:rsid w:val="007D7938"/>
    <w:rsid w:val="007E2382"/>
    <w:rsid w:val="007E247F"/>
    <w:rsid w:val="007E2764"/>
    <w:rsid w:val="007E371E"/>
    <w:rsid w:val="007E7C41"/>
    <w:rsid w:val="007F08E5"/>
    <w:rsid w:val="007F2D63"/>
    <w:rsid w:val="007F3903"/>
    <w:rsid w:val="007F4ACD"/>
    <w:rsid w:val="007F638A"/>
    <w:rsid w:val="007F654C"/>
    <w:rsid w:val="007F65D3"/>
    <w:rsid w:val="007F69E8"/>
    <w:rsid w:val="007F6C43"/>
    <w:rsid w:val="007F787C"/>
    <w:rsid w:val="007F7CFE"/>
    <w:rsid w:val="008032C5"/>
    <w:rsid w:val="008061AA"/>
    <w:rsid w:val="00806C16"/>
    <w:rsid w:val="0080748E"/>
    <w:rsid w:val="0081017F"/>
    <w:rsid w:val="0081062B"/>
    <w:rsid w:val="00811320"/>
    <w:rsid w:val="0081289A"/>
    <w:rsid w:val="00812B97"/>
    <w:rsid w:val="00813222"/>
    <w:rsid w:val="00816231"/>
    <w:rsid w:val="00816896"/>
    <w:rsid w:val="00817A60"/>
    <w:rsid w:val="00817D1E"/>
    <w:rsid w:val="008209C6"/>
    <w:rsid w:val="0082225B"/>
    <w:rsid w:val="00823E9F"/>
    <w:rsid w:val="00826B06"/>
    <w:rsid w:val="00827A09"/>
    <w:rsid w:val="008312D2"/>
    <w:rsid w:val="00833D69"/>
    <w:rsid w:val="00834F53"/>
    <w:rsid w:val="00835399"/>
    <w:rsid w:val="008356B5"/>
    <w:rsid w:val="008413C6"/>
    <w:rsid w:val="00841BA3"/>
    <w:rsid w:val="008435CA"/>
    <w:rsid w:val="00845A7D"/>
    <w:rsid w:val="00846DDA"/>
    <w:rsid w:val="0085032B"/>
    <w:rsid w:val="008508D6"/>
    <w:rsid w:val="00850DC3"/>
    <w:rsid w:val="00851E93"/>
    <w:rsid w:val="0085279A"/>
    <w:rsid w:val="00852D77"/>
    <w:rsid w:val="008530C5"/>
    <w:rsid w:val="008538D9"/>
    <w:rsid w:val="00853C57"/>
    <w:rsid w:val="00853FB9"/>
    <w:rsid w:val="00854680"/>
    <w:rsid w:val="00855580"/>
    <w:rsid w:val="008557F0"/>
    <w:rsid w:val="00856EBC"/>
    <w:rsid w:val="00857D4A"/>
    <w:rsid w:val="00857E6E"/>
    <w:rsid w:val="008612F9"/>
    <w:rsid w:val="00862113"/>
    <w:rsid w:val="0086469A"/>
    <w:rsid w:val="00865CFA"/>
    <w:rsid w:val="00867AFF"/>
    <w:rsid w:val="00871463"/>
    <w:rsid w:val="00873067"/>
    <w:rsid w:val="00873168"/>
    <w:rsid w:val="008741F5"/>
    <w:rsid w:val="00874687"/>
    <w:rsid w:val="0087635F"/>
    <w:rsid w:val="0088156C"/>
    <w:rsid w:val="00883865"/>
    <w:rsid w:val="00883BFB"/>
    <w:rsid w:val="00884E33"/>
    <w:rsid w:val="00886D15"/>
    <w:rsid w:val="008904F6"/>
    <w:rsid w:val="008906D3"/>
    <w:rsid w:val="0089149E"/>
    <w:rsid w:val="00894AF9"/>
    <w:rsid w:val="008955BD"/>
    <w:rsid w:val="0089612F"/>
    <w:rsid w:val="008975DF"/>
    <w:rsid w:val="00897725"/>
    <w:rsid w:val="008A2C9E"/>
    <w:rsid w:val="008A2F31"/>
    <w:rsid w:val="008A58BB"/>
    <w:rsid w:val="008B31DD"/>
    <w:rsid w:val="008B4AEA"/>
    <w:rsid w:val="008C06EC"/>
    <w:rsid w:val="008C1006"/>
    <w:rsid w:val="008C32DC"/>
    <w:rsid w:val="008C44CE"/>
    <w:rsid w:val="008C484D"/>
    <w:rsid w:val="008C7E26"/>
    <w:rsid w:val="008D0CAB"/>
    <w:rsid w:val="008D2409"/>
    <w:rsid w:val="008D2A48"/>
    <w:rsid w:val="008D44FC"/>
    <w:rsid w:val="008D4AF0"/>
    <w:rsid w:val="008D6420"/>
    <w:rsid w:val="008D78E6"/>
    <w:rsid w:val="008E2EBD"/>
    <w:rsid w:val="008E3033"/>
    <w:rsid w:val="008E6BF9"/>
    <w:rsid w:val="008E759D"/>
    <w:rsid w:val="008E7C40"/>
    <w:rsid w:val="008F30D6"/>
    <w:rsid w:val="008F4410"/>
    <w:rsid w:val="008F445D"/>
    <w:rsid w:val="008F4E4C"/>
    <w:rsid w:val="008F6F47"/>
    <w:rsid w:val="00901759"/>
    <w:rsid w:val="0090231E"/>
    <w:rsid w:val="009074A9"/>
    <w:rsid w:val="00907715"/>
    <w:rsid w:val="00910476"/>
    <w:rsid w:val="00911580"/>
    <w:rsid w:val="00911D1F"/>
    <w:rsid w:val="009125E3"/>
    <w:rsid w:val="009150DE"/>
    <w:rsid w:val="00917CD4"/>
    <w:rsid w:val="009208B9"/>
    <w:rsid w:val="00921392"/>
    <w:rsid w:val="00921BAC"/>
    <w:rsid w:val="00921E6B"/>
    <w:rsid w:val="00924100"/>
    <w:rsid w:val="00924905"/>
    <w:rsid w:val="0092490E"/>
    <w:rsid w:val="00924E3A"/>
    <w:rsid w:val="00926D5F"/>
    <w:rsid w:val="00927FBC"/>
    <w:rsid w:val="00930652"/>
    <w:rsid w:val="00930A98"/>
    <w:rsid w:val="00931E48"/>
    <w:rsid w:val="009324F7"/>
    <w:rsid w:val="009338E4"/>
    <w:rsid w:val="00937AE8"/>
    <w:rsid w:val="009423D3"/>
    <w:rsid w:val="0094266A"/>
    <w:rsid w:val="00943E33"/>
    <w:rsid w:val="00944926"/>
    <w:rsid w:val="00944B11"/>
    <w:rsid w:val="00944EEA"/>
    <w:rsid w:val="00946977"/>
    <w:rsid w:val="00946D3B"/>
    <w:rsid w:val="00946FA4"/>
    <w:rsid w:val="00951096"/>
    <w:rsid w:val="00953A89"/>
    <w:rsid w:val="00953FFF"/>
    <w:rsid w:val="00954CFA"/>
    <w:rsid w:val="00954D88"/>
    <w:rsid w:val="009559D4"/>
    <w:rsid w:val="00955ED3"/>
    <w:rsid w:val="00955F23"/>
    <w:rsid w:val="0095664B"/>
    <w:rsid w:val="0095669C"/>
    <w:rsid w:val="00957832"/>
    <w:rsid w:val="0096020D"/>
    <w:rsid w:val="0096249C"/>
    <w:rsid w:val="00962F5D"/>
    <w:rsid w:val="00963375"/>
    <w:rsid w:val="00963CF7"/>
    <w:rsid w:val="00965900"/>
    <w:rsid w:val="00966518"/>
    <w:rsid w:val="00966E7E"/>
    <w:rsid w:val="009674DB"/>
    <w:rsid w:val="009678C5"/>
    <w:rsid w:val="009716E5"/>
    <w:rsid w:val="00971B5D"/>
    <w:rsid w:val="009724CD"/>
    <w:rsid w:val="009724D5"/>
    <w:rsid w:val="00976DE5"/>
    <w:rsid w:val="00977F5E"/>
    <w:rsid w:val="00980347"/>
    <w:rsid w:val="009824E1"/>
    <w:rsid w:val="00982F5C"/>
    <w:rsid w:val="00987FC5"/>
    <w:rsid w:val="009900A0"/>
    <w:rsid w:val="009903A2"/>
    <w:rsid w:val="00991A85"/>
    <w:rsid w:val="009929D5"/>
    <w:rsid w:val="009943C1"/>
    <w:rsid w:val="00994CA7"/>
    <w:rsid w:val="00996CE2"/>
    <w:rsid w:val="00996F12"/>
    <w:rsid w:val="009970DE"/>
    <w:rsid w:val="009A100C"/>
    <w:rsid w:val="009A1F1A"/>
    <w:rsid w:val="009A1F23"/>
    <w:rsid w:val="009A2AE4"/>
    <w:rsid w:val="009A3D07"/>
    <w:rsid w:val="009A524D"/>
    <w:rsid w:val="009A6CB3"/>
    <w:rsid w:val="009A75F7"/>
    <w:rsid w:val="009B00CD"/>
    <w:rsid w:val="009B0701"/>
    <w:rsid w:val="009B0877"/>
    <w:rsid w:val="009B2203"/>
    <w:rsid w:val="009B2636"/>
    <w:rsid w:val="009B2FFB"/>
    <w:rsid w:val="009B4656"/>
    <w:rsid w:val="009B581C"/>
    <w:rsid w:val="009B5A84"/>
    <w:rsid w:val="009B5BF0"/>
    <w:rsid w:val="009B60E1"/>
    <w:rsid w:val="009B63F3"/>
    <w:rsid w:val="009B7B6B"/>
    <w:rsid w:val="009C0680"/>
    <w:rsid w:val="009C2710"/>
    <w:rsid w:val="009C2DB7"/>
    <w:rsid w:val="009C321C"/>
    <w:rsid w:val="009C3795"/>
    <w:rsid w:val="009C3D7B"/>
    <w:rsid w:val="009C4029"/>
    <w:rsid w:val="009C4ECE"/>
    <w:rsid w:val="009C4ED6"/>
    <w:rsid w:val="009C66B6"/>
    <w:rsid w:val="009C7209"/>
    <w:rsid w:val="009C756D"/>
    <w:rsid w:val="009C7656"/>
    <w:rsid w:val="009D1F59"/>
    <w:rsid w:val="009D2C84"/>
    <w:rsid w:val="009D4334"/>
    <w:rsid w:val="009D46F2"/>
    <w:rsid w:val="009D69FD"/>
    <w:rsid w:val="009D71F6"/>
    <w:rsid w:val="009E03C6"/>
    <w:rsid w:val="009E2C92"/>
    <w:rsid w:val="009E63DD"/>
    <w:rsid w:val="009E72FF"/>
    <w:rsid w:val="009F0E2C"/>
    <w:rsid w:val="009F1F03"/>
    <w:rsid w:val="009F2F5B"/>
    <w:rsid w:val="009F4623"/>
    <w:rsid w:val="009F5B99"/>
    <w:rsid w:val="009F6CC2"/>
    <w:rsid w:val="00A004F4"/>
    <w:rsid w:val="00A0147A"/>
    <w:rsid w:val="00A022EB"/>
    <w:rsid w:val="00A03D15"/>
    <w:rsid w:val="00A062BB"/>
    <w:rsid w:val="00A0662E"/>
    <w:rsid w:val="00A07429"/>
    <w:rsid w:val="00A075DA"/>
    <w:rsid w:val="00A07708"/>
    <w:rsid w:val="00A12D42"/>
    <w:rsid w:val="00A15D11"/>
    <w:rsid w:val="00A1629C"/>
    <w:rsid w:val="00A16556"/>
    <w:rsid w:val="00A16EBA"/>
    <w:rsid w:val="00A2369E"/>
    <w:rsid w:val="00A244EB"/>
    <w:rsid w:val="00A24CEA"/>
    <w:rsid w:val="00A2505F"/>
    <w:rsid w:val="00A27312"/>
    <w:rsid w:val="00A30CAC"/>
    <w:rsid w:val="00A314E1"/>
    <w:rsid w:val="00A31C8E"/>
    <w:rsid w:val="00A3380E"/>
    <w:rsid w:val="00A33DF0"/>
    <w:rsid w:val="00A34DB7"/>
    <w:rsid w:val="00A34FFB"/>
    <w:rsid w:val="00A353ED"/>
    <w:rsid w:val="00A3662A"/>
    <w:rsid w:val="00A36A92"/>
    <w:rsid w:val="00A406B9"/>
    <w:rsid w:val="00A41551"/>
    <w:rsid w:val="00A42E86"/>
    <w:rsid w:val="00A43CFB"/>
    <w:rsid w:val="00A446C9"/>
    <w:rsid w:val="00A44704"/>
    <w:rsid w:val="00A44B50"/>
    <w:rsid w:val="00A454A5"/>
    <w:rsid w:val="00A45707"/>
    <w:rsid w:val="00A45CE8"/>
    <w:rsid w:val="00A477CD"/>
    <w:rsid w:val="00A505D3"/>
    <w:rsid w:val="00A56971"/>
    <w:rsid w:val="00A57472"/>
    <w:rsid w:val="00A609A6"/>
    <w:rsid w:val="00A61E3D"/>
    <w:rsid w:val="00A622D7"/>
    <w:rsid w:val="00A62439"/>
    <w:rsid w:val="00A63A20"/>
    <w:rsid w:val="00A63FD3"/>
    <w:rsid w:val="00A7141B"/>
    <w:rsid w:val="00A71BEC"/>
    <w:rsid w:val="00A74E30"/>
    <w:rsid w:val="00A74EE4"/>
    <w:rsid w:val="00A750EA"/>
    <w:rsid w:val="00A762CB"/>
    <w:rsid w:val="00A7630E"/>
    <w:rsid w:val="00A77A46"/>
    <w:rsid w:val="00A81187"/>
    <w:rsid w:val="00A81B2B"/>
    <w:rsid w:val="00A82741"/>
    <w:rsid w:val="00A87AE8"/>
    <w:rsid w:val="00A87E65"/>
    <w:rsid w:val="00A90F78"/>
    <w:rsid w:val="00A91576"/>
    <w:rsid w:val="00A91C51"/>
    <w:rsid w:val="00A92FCA"/>
    <w:rsid w:val="00A9314B"/>
    <w:rsid w:val="00A94924"/>
    <w:rsid w:val="00A955FF"/>
    <w:rsid w:val="00A964B9"/>
    <w:rsid w:val="00A967F9"/>
    <w:rsid w:val="00A97199"/>
    <w:rsid w:val="00A977BB"/>
    <w:rsid w:val="00AA106E"/>
    <w:rsid w:val="00AA5C86"/>
    <w:rsid w:val="00AA6F19"/>
    <w:rsid w:val="00AB0601"/>
    <w:rsid w:val="00AB1BED"/>
    <w:rsid w:val="00AB3167"/>
    <w:rsid w:val="00AB3193"/>
    <w:rsid w:val="00AB33D6"/>
    <w:rsid w:val="00AB42BA"/>
    <w:rsid w:val="00AB6306"/>
    <w:rsid w:val="00AB6EF7"/>
    <w:rsid w:val="00AB7321"/>
    <w:rsid w:val="00AC01AC"/>
    <w:rsid w:val="00AC028F"/>
    <w:rsid w:val="00AC1831"/>
    <w:rsid w:val="00AC1FF9"/>
    <w:rsid w:val="00AC2B16"/>
    <w:rsid w:val="00AC2BD7"/>
    <w:rsid w:val="00AC39F6"/>
    <w:rsid w:val="00AC3A4D"/>
    <w:rsid w:val="00AC5D81"/>
    <w:rsid w:val="00AC79C1"/>
    <w:rsid w:val="00AD0DAE"/>
    <w:rsid w:val="00AD1A99"/>
    <w:rsid w:val="00AD2630"/>
    <w:rsid w:val="00AD267A"/>
    <w:rsid w:val="00AD27F3"/>
    <w:rsid w:val="00AD2A09"/>
    <w:rsid w:val="00AD39A1"/>
    <w:rsid w:val="00AD3CB3"/>
    <w:rsid w:val="00AD4342"/>
    <w:rsid w:val="00AD7D9F"/>
    <w:rsid w:val="00AE0ABA"/>
    <w:rsid w:val="00AE2762"/>
    <w:rsid w:val="00AE3699"/>
    <w:rsid w:val="00AE5DE2"/>
    <w:rsid w:val="00AE5ED3"/>
    <w:rsid w:val="00AE7ACB"/>
    <w:rsid w:val="00AF2734"/>
    <w:rsid w:val="00AF44B0"/>
    <w:rsid w:val="00AF55E9"/>
    <w:rsid w:val="00B00FAA"/>
    <w:rsid w:val="00B01A7D"/>
    <w:rsid w:val="00B02C00"/>
    <w:rsid w:val="00B04E71"/>
    <w:rsid w:val="00B05093"/>
    <w:rsid w:val="00B05DE5"/>
    <w:rsid w:val="00B06833"/>
    <w:rsid w:val="00B130D2"/>
    <w:rsid w:val="00B1374B"/>
    <w:rsid w:val="00B15743"/>
    <w:rsid w:val="00B15EFF"/>
    <w:rsid w:val="00B17B99"/>
    <w:rsid w:val="00B24EA5"/>
    <w:rsid w:val="00B27AFA"/>
    <w:rsid w:val="00B3070D"/>
    <w:rsid w:val="00B3109A"/>
    <w:rsid w:val="00B318EF"/>
    <w:rsid w:val="00B31EBD"/>
    <w:rsid w:val="00B3348B"/>
    <w:rsid w:val="00B341A4"/>
    <w:rsid w:val="00B344E6"/>
    <w:rsid w:val="00B34B5C"/>
    <w:rsid w:val="00B351F1"/>
    <w:rsid w:val="00B35409"/>
    <w:rsid w:val="00B3621A"/>
    <w:rsid w:val="00B36257"/>
    <w:rsid w:val="00B36A0D"/>
    <w:rsid w:val="00B403D2"/>
    <w:rsid w:val="00B40EDB"/>
    <w:rsid w:val="00B445EC"/>
    <w:rsid w:val="00B45929"/>
    <w:rsid w:val="00B45FDF"/>
    <w:rsid w:val="00B461B6"/>
    <w:rsid w:val="00B46302"/>
    <w:rsid w:val="00B51C25"/>
    <w:rsid w:val="00B52487"/>
    <w:rsid w:val="00B52764"/>
    <w:rsid w:val="00B533A5"/>
    <w:rsid w:val="00B53E5B"/>
    <w:rsid w:val="00B54C40"/>
    <w:rsid w:val="00B54F80"/>
    <w:rsid w:val="00B553F4"/>
    <w:rsid w:val="00B57DAD"/>
    <w:rsid w:val="00B6216B"/>
    <w:rsid w:val="00B634AB"/>
    <w:rsid w:val="00B640E1"/>
    <w:rsid w:val="00B64840"/>
    <w:rsid w:val="00B65342"/>
    <w:rsid w:val="00B708A3"/>
    <w:rsid w:val="00B70C8D"/>
    <w:rsid w:val="00B70F30"/>
    <w:rsid w:val="00B7250C"/>
    <w:rsid w:val="00B72621"/>
    <w:rsid w:val="00B7266D"/>
    <w:rsid w:val="00B72713"/>
    <w:rsid w:val="00B72C8C"/>
    <w:rsid w:val="00B74B5E"/>
    <w:rsid w:val="00B74DD9"/>
    <w:rsid w:val="00B75F31"/>
    <w:rsid w:val="00B779FC"/>
    <w:rsid w:val="00B8027F"/>
    <w:rsid w:val="00B807F7"/>
    <w:rsid w:val="00B809D7"/>
    <w:rsid w:val="00B8168F"/>
    <w:rsid w:val="00B8407A"/>
    <w:rsid w:val="00B85B8E"/>
    <w:rsid w:val="00B9153B"/>
    <w:rsid w:val="00B91C36"/>
    <w:rsid w:val="00B92D2A"/>
    <w:rsid w:val="00B934F9"/>
    <w:rsid w:val="00B94012"/>
    <w:rsid w:val="00B94540"/>
    <w:rsid w:val="00B9533D"/>
    <w:rsid w:val="00B95B8B"/>
    <w:rsid w:val="00B96FB3"/>
    <w:rsid w:val="00BA0831"/>
    <w:rsid w:val="00BA0A63"/>
    <w:rsid w:val="00BA1116"/>
    <w:rsid w:val="00BA18E7"/>
    <w:rsid w:val="00BA1C3B"/>
    <w:rsid w:val="00BA279C"/>
    <w:rsid w:val="00BA2DF1"/>
    <w:rsid w:val="00BA3FB0"/>
    <w:rsid w:val="00BA4A42"/>
    <w:rsid w:val="00BA4F95"/>
    <w:rsid w:val="00BA53F6"/>
    <w:rsid w:val="00BA601F"/>
    <w:rsid w:val="00BB0698"/>
    <w:rsid w:val="00BB180B"/>
    <w:rsid w:val="00BB1861"/>
    <w:rsid w:val="00BB1FF1"/>
    <w:rsid w:val="00BB204E"/>
    <w:rsid w:val="00BB30E3"/>
    <w:rsid w:val="00BB376A"/>
    <w:rsid w:val="00BB4C85"/>
    <w:rsid w:val="00BC058F"/>
    <w:rsid w:val="00BC0594"/>
    <w:rsid w:val="00BC22E3"/>
    <w:rsid w:val="00BC4073"/>
    <w:rsid w:val="00BC5984"/>
    <w:rsid w:val="00BC704C"/>
    <w:rsid w:val="00BC7D47"/>
    <w:rsid w:val="00BD5343"/>
    <w:rsid w:val="00BD5AE0"/>
    <w:rsid w:val="00BD5B69"/>
    <w:rsid w:val="00BD61FF"/>
    <w:rsid w:val="00BD71A4"/>
    <w:rsid w:val="00BE0CBD"/>
    <w:rsid w:val="00BE2A26"/>
    <w:rsid w:val="00BE3E73"/>
    <w:rsid w:val="00BE4A82"/>
    <w:rsid w:val="00BE79E9"/>
    <w:rsid w:val="00BF00D2"/>
    <w:rsid w:val="00BF3767"/>
    <w:rsid w:val="00BF4496"/>
    <w:rsid w:val="00BF65C7"/>
    <w:rsid w:val="00BF7037"/>
    <w:rsid w:val="00BF7196"/>
    <w:rsid w:val="00C00C83"/>
    <w:rsid w:val="00C01661"/>
    <w:rsid w:val="00C01BDC"/>
    <w:rsid w:val="00C02722"/>
    <w:rsid w:val="00C03DB8"/>
    <w:rsid w:val="00C112D8"/>
    <w:rsid w:val="00C136CB"/>
    <w:rsid w:val="00C1374B"/>
    <w:rsid w:val="00C13B6F"/>
    <w:rsid w:val="00C17F9F"/>
    <w:rsid w:val="00C204B6"/>
    <w:rsid w:val="00C22230"/>
    <w:rsid w:val="00C223A9"/>
    <w:rsid w:val="00C22EF5"/>
    <w:rsid w:val="00C25428"/>
    <w:rsid w:val="00C25761"/>
    <w:rsid w:val="00C32251"/>
    <w:rsid w:val="00C32497"/>
    <w:rsid w:val="00C3317E"/>
    <w:rsid w:val="00C33D66"/>
    <w:rsid w:val="00C40AFE"/>
    <w:rsid w:val="00C414BB"/>
    <w:rsid w:val="00C429F9"/>
    <w:rsid w:val="00C443B5"/>
    <w:rsid w:val="00C445D0"/>
    <w:rsid w:val="00C44B26"/>
    <w:rsid w:val="00C44E2E"/>
    <w:rsid w:val="00C4545D"/>
    <w:rsid w:val="00C457D4"/>
    <w:rsid w:val="00C45C2F"/>
    <w:rsid w:val="00C472E3"/>
    <w:rsid w:val="00C47511"/>
    <w:rsid w:val="00C505F2"/>
    <w:rsid w:val="00C52ED2"/>
    <w:rsid w:val="00C52F60"/>
    <w:rsid w:val="00C536F6"/>
    <w:rsid w:val="00C53C75"/>
    <w:rsid w:val="00C54565"/>
    <w:rsid w:val="00C62609"/>
    <w:rsid w:val="00C62754"/>
    <w:rsid w:val="00C627F3"/>
    <w:rsid w:val="00C62DE5"/>
    <w:rsid w:val="00C634CA"/>
    <w:rsid w:val="00C653D0"/>
    <w:rsid w:val="00C65A3F"/>
    <w:rsid w:val="00C66AAE"/>
    <w:rsid w:val="00C67D09"/>
    <w:rsid w:val="00C67D53"/>
    <w:rsid w:val="00C705B3"/>
    <w:rsid w:val="00C71F9B"/>
    <w:rsid w:val="00C726D8"/>
    <w:rsid w:val="00C74482"/>
    <w:rsid w:val="00C74815"/>
    <w:rsid w:val="00C749DD"/>
    <w:rsid w:val="00C74AB2"/>
    <w:rsid w:val="00C76421"/>
    <w:rsid w:val="00C76EE6"/>
    <w:rsid w:val="00C77D7A"/>
    <w:rsid w:val="00C77FF3"/>
    <w:rsid w:val="00C81549"/>
    <w:rsid w:val="00C82381"/>
    <w:rsid w:val="00C86B31"/>
    <w:rsid w:val="00C87378"/>
    <w:rsid w:val="00C9041A"/>
    <w:rsid w:val="00C92476"/>
    <w:rsid w:val="00C92D99"/>
    <w:rsid w:val="00C92DDC"/>
    <w:rsid w:val="00C93CE9"/>
    <w:rsid w:val="00C960C9"/>
    <w:rsid w:val="00CA0F72"/>
    <w:rsid w:val="00CA6537"/>
    <w:rsid w:val="00CA6EA7"/>
    <w:rsid w:val="00CA7BD0"/>
    <w:rsid w:val="00CB16E7"/>
    <w:rsid w:val="00CB24CB"/>
    <w:rsid w:val="00CB2987"/>
    <w:rsid w:val="00CB4854"/>
    <w:rsid w:val="00CB4992"/>
    <w:rsid w:val="00CB4ACD"/>
    <w:rsid w:val="00CB5A9E"/>
    <w:rsid w:val="00CB6726"/>
    <w:rsid w:val="00CC135E"/>
    <w:rsid w:val="00CC1E24"/>
    <w:rsid w:val="00CC35B3"/>
    <w:rsid w:val="00CC52BF"/>
    <w:rsid w:val="00CC5471"/>
    <w:rsid w:val="00CC64B3"/>
    <w:rsid w:val="00CD0699"/>
    <w:rsid w:val="00CD122E"/>
    <w:rsid w:val="00CD14A3"/>
    <w:rsid w:val="00CD158C"/>
    <w:rsid w:val="00CD7174"/>
    <w:rsid w:val="00CE1967"/>
    <w:rsid w:val="00CE1B22"/>
    <w:rsid w:val="00CE3BA7"/>
    <w:rsid w:val="00CE73F2"/>
    <w:rsid w:val="00CE7653"/>
    <w:rsid w:val="00CF0B4E"/>
    <w:rsid w:val="00CF1070"/>
    <w:rsid w:val="00CF4616"/>
    <w:rsid w:val="00CF4E45"/>
    <w:rsid w:val="00CF6BC1"/>
    <w:rsid w:val="00CF6F6A"/>
    <w:rsid w:val="00CF7D10"/>
    <w:rsid w:val="00D00911"/>
    <w:rsid w:val="00D023FD"/>
    <w:rsid w:val="00D02685"/>
    <w:rsid w:val="00D02753"/>
    <w:rsid w:val="00D02DF6"/>
    <w:rsid w:val="00D053B6"/>
    <w:rsid w:val="00D055BE"/>
    <w:rsid w:val="00D0577F"/>
    <w:rsid w:val="00D05BB8"/>
    <w:rsid w:val="00D05D4D"/>
    <w:rsid w:val="00D0691E"/>
    <w:rsid w:val="00D10AF8"/>
    <w:rsid w:val="00D17EC6"/>
    <w:rsid w:val="00D2058A"/>
    <w:rsid w:val="00D20C30"/>
    <w:rsid w:val="00D22A3E"/>
    <w:rsid w:val="00D23593"/>
    <w:rsid w:val="00D24502"/>
    <w:rsid w:val="00D25E4F"/>
    <w:rsid w:val="00D32879"/>
    <w:rsid w:val="00D32EFE"/>
    <w:rsid w:val="00D33B73"/>
    <w:rsid w:val="00D341F0"/>
    <w:rsid w:val="00D342A6"/>
    <w:rsid w:val="00D345D1"/>
    <w:rsid w:val="00D3483B"/>
    <w:rsid w:val="00D365E3"/>
    <w:rsid w:val="00D3668F"/>
    <w:rsid w:val="00D366C3"/>
    <w:rsid w:val="00D368A2"/>
    <w:rsid w:val="00D37046"/>
    <w:rsid w:val="00D37D78"/>
    <w:rsid w:val="00D425A2"/>
    <w:rsid w:val="00D50973"/>
    <w:rsid w:val="00D527C2"/>
    <w:rsid w:val="00D53CCB"/>
    <w:rsid w:val="00D541C7"/>
    <w:rsid w:val="00D552DF"/>
    <w:rsid w:val="00D619A6"/>
    <w:rsid w:val="00D61DA5"/>
    <w:rsid w:val="00D644EB"/>
    <w:rsid w:val="00D701D5"/>
    <w:rsid w:val="00D703CF"/>
    <w:rsid w:val="00D70CEB"/>
    <w:rsid w:val="00D71E73"/>
    <w:rsid w:val="00D76510"/>
    <w:rsid w:val="00D814AF"/>
    <w:rsid w:val="00D83447"/>
    <w:rsid w:val="00D837B8"/>
    <w:rsid w:val="00D837F8"/>
    <w:rsid w:val="00D85D24"/>
    <w:rsid w:val="00D90B80"/>
    <w:rsid w:val="00D926FC"/>
    <w:rsid w:val="00DA0E73"/>
    <w:rsid w:val="00DA0F2D"/>
    <w:rsid w:val="00DA1882"/>
    <w:rsid w:val="00DA2011"/>
    <w:rsid w:val="00DA26DA"/>
    <w:rsid w:val="00DA4400"/>
    <w:rsid w:val="00DA455A"/>
    <w:rsid w:val="00DB030B"/>
    <w:rsid w:val="00DB4FBD"/>
    <w:rsid w:val="00DB5DF9"/>
    <w:rsid w:val="00DB6778"/>
    <w:rsid w:val="00DB69AF"/>
    <w:rsid w:val="00DC3FCE"/>
    <w:rsid w:val="00DC485A"/>
    <w:rsid w:val="00DC49E2"/>
    <w:rsid w:val="00DD1529"/>
    <w:rsid w:val="00DD2261"/>
    <w:rsid w:val="00DD414B"/>
    <w:rsid w:val="00DD4F6A"/>
    <w:rsid w:val="00DD62B7"/>
    <w:rsid w:val="00DD6DB6"/>
    <w:rsid w:val="00DD7EEA"/>
    <w:rsid w:val="00DE1DC6"/>
    <w:rsid w:val="00DE389C"/>
    <w:rsid w:val="00DE4A09"/>
    <w:rsid w:val="00DE6308"/>
    <w:rsid w:val="00DE6376"/>
    <w:rsid w:val="00DE6C72"/>
    <w:rsid w:val="00DE7F1A"/>
    <w:rsid w:val="00DF0164"/>
    <w:rsid w:val="00DF2E25"/>
    <w:rsid w:val="00DF31EA"/>
    <w:rsid w:val="00DF378F"/>
    <w:rsid w:val="00DF38F0"/>
    <w:rsid w:val="00DF3EA8"/>
    <w:rsid w:val="00DF4B73"/>
    <w:rsid w:val="00DF58C1"/>
    <w:rsid w:val="00DF70E6"/>
    <w:rsid w:val="00DF73AE"/>
    <w:rsid w:val="00E009D0"/>
    <w:rsid w:val="00E01938"/>
    <w:rsid w:val="00E04ED3"/>
    <w:rsid w:val="00E052A8"/>
    <w:rsid w:val="00E056C8"/>
    <w:rsid w:val="00E06981"/>
    <w:rsid w:val="00E0779C"/>
    <w:rsid w:val="00E07B2F"/>
    <w:rsid w:val="00E10858"/>
    <w:rsid w:val="00E11E49"/>
    <w:rsid w:val="00E124B3"/>
    <w:rsid w:val="00E152BF"/>
    <w:rsid w:val="00E15E0D"/>
    <w:rsid w:val="00E170B4"/>
    <w:rsid w:val="00E20B8F"/>
    <w:rsid w:val="00E20E40"/>
    <w:rsid w:val="00E22917"/>
    <w:rsid w:val="00E237D5"/>
    <w:rsid w:val="00E245DB"/>
    <w:rsid w:val="00E24A63"/>
    <w:rsid w:val="00E2583F"/>
    <w:rsid w:val="00E269F0"/>
    <w:rsid w:val="00E32D2B"/>
    <w:rsid w:val="00E35453"/>
    <w:rsid w:val="00E411A0"/>
    <w:rsid w:val="00E4195A"/>
    <w:rsid w:val="00E41AE9"/>
    <w:rsid w:val="00E42739"/>
    <w:rsid w:val="00E435FE"/>
    <w:rsid w:val="00E44B1A"/>
    <w:rsid w:val="00E44C53"/>
    <w:rsid w:val="00E4605A"/>
    <w:rsid w:val="00E467C7"/>
    <w:rsid w:val="00E47353"/>
    <w:rsid w:val="00E50EED"/>
    <w:rsid w:val="00E51589"/>
    <w:rsid w:val="00E51620"/>
    <w:rsid w:val="00E52027"/>
    <w:rsid w:val="00E52CB9"/>
    <w:rsid w:val="00E53E3B"/>
    <w:rsid w:val="00E54364"/>
    <w:rsid w:val="00E56459"/>
    <w:rsid w:val="00E564E0"/>
    <w:rsid w:val="00E57C83"/>
    <w:rsid w:val="00E60A19"/>
    <w:rsid w:val="00E60ED3"/>
    <w:rsid w:val="00E61AB6"/>
    <w:rsid w:val="00E647C5"/>
    <w:rsid w:val="00E64B67"/>
    <w:rsid w:val="00E66206"/>
    <w:rsid w:val="00E6659F"/>
    <w:rsid w:val="00E6677A"/>
    <w:rsid w:val="00E6737A"/>
    <w:rsid w:val="00E6750C"/>
    <w:rsid w:val="00E719A5"/>
    <w:rsid w:val="00E73115"/>
    <w:rsid w:val="00E75047"/>
    <w:rsid w:val="00E7668B"/>
    <w:rsid w:val="00E77446"/>
    <w:rsid w:val="00E8026B"/>
    <w:rsid w:val="00E84C32"/>
    <w:rsid w:val="00E85439"/>
    <w:rsid w:val="00E85A51"/>
    <w:rsid w:val="00E87D7F"/>
    <w:rsid w:val="00E909E2"/>
    <w:rsid w:val="00E922BB"/>
    <w:rsid w:val="00E936F3"/>
    <w:rsid w:val="00E93861"/>
    <w:rsid w:val="00E94110"/>
    <w:rsid w:val="00E94D0A"/>
    <w:rsid w:val="00E94EA5"/>
    <w:rsid w:val="00E95A57"/>
    <w:rsid w:val="00E96EA0"/>
    <w:rsid w:val="00EA01E7"/>
    <w:rsid w:val="00EA166D"/>
    <w:rsid w:val="00EA2526"/>
    <w:rsid w:val="00EA27F6"/>
    <w:rsid w:val="00EA3DA2"/>
    <w:rsid w:val="00EA40F1"/>
    <w:rsid w:val="00EA4B6F"/>
    <w:rsid w:val="00EA794B"/>
    <w:rsid w:val="00EB1878"/>
    <w:rsid w:val="00EB1A87"/>
    <w:rsid w:val="00EB2852"/>
    <w:rsid w:val="00EB3781"/>
    <w:rsid w:val="00EB3892"/>
    <w:rsid w:val="00EB5854"/>
    <w:rsid w:val="00EB71E4"/>
    <w:rsid w:val="00EB7354"/>
    <w:rsid w:val="00EB7ECB"/>
    <w:rsid w:val="00EC0E0A"/>
    <w:rsid w:val="00EC211A"/>
    <w:rsid w:val="00EC3792"/>
    <w:rsid w:val="00EC3C43"/>
    <w:rsid w:val="00ED08EA"/>
    <w:rsid w:val="00ED0BEC"/>
    <w:rsid w:val="00ED0DA6"/>
    <w:rsid w:val="00ED1034"/>
    <w:rsid w:val="00ED1738"/>
    <w:rsid w:val="00ED1BED"/>
    <w:rsid w:val="00ED2543"/>
    <w:rsid w:val="00ED3A2D"/>
    <w:rsid w:val="00ED4F30"/>
    <w:rsid w:val="00ED5FF4"/>
    <w:rsid w:val="00ED6542"/>
    <w:rsid w:val="00ED66D1"/>
    <w:rsid w:val="00EE2748"/>
    <w:rsid w:val="00EE3073"/>
    <w:rsid w:val="00EE4F79"/>
    <w:rsid w:val="00EE5361"/>
    <w:rsid w:val="00EE54C8"/>
    <w:rsid w:val="00EE57AB"/>
    <w:rsid w:val="00EE58BE"/>
    <w:rsid w:val="00EE6255"/>
    <w:rsid w:val="00EE711B"/>
    <w:rsid w:val="00EE7907"/>
    <w:rsid w:val="00EE7A65"/>
    <w:rsid w:val="00EF033F"/>
    <w:rsid w:val="00EF10F9"/>
    <w:rsid w:val="00EF12D6"/>
    <w:rsid w:val="00EF2D5E"/>
    <w:rsid w:val="00EF36A6"/>
    <w:rsid w:val="00EF39C5"/>
    <w:rsid w:val="00EF4322"/>
    <w:rsid w:val="00EF5468"/>
    <w:rsid w:val="00EF58BF"/>
    <w:rsid w:val="00EF630D"/>
    <w:rsid w:val="00EF6E02"/>
    <w:rsid w:val="00EF7085"/>
    <w:rsid w:val="00F0101C"/>
    <w:rsid w:val="00F018F8"/>
    <w:rsid w:val="00F03ADB"/>
    <w:rsid w:val="00F04D7B"/>
    <w:rsid w:val="00F05FBA"/>
    <w:rsid w:val="00F073E2"/>
    <w:rsid w:val="00F07CED"/>
    <w:rsid w:val="00F07E21"/>
    <w:rsid w:val="00F10C25"/>
    <w:rsid w:val="00F123F3"/>
    <w:rsid w:val="00F127F3"/>
    <w:rsid w:val="00F13DC6"/>
    <w:rsid w:val="00F15AA2"/>
    <w:rsid w:val="00F226AB"/>
    <w:rsid w:val="00F22DEE"/>
    <w:rsid w:val="00F22EE7"/>
    <w:rsid w:val="00F23323"/>
    <w:rsid w:val="00F24409"/>
    <w:rsid w:val="00F249B2"/>
    <w:rsid w:val="00F25E98"/>
    <w:rsid w:val="00F32BB2"/>
    <w:rsid w:val="00F32EE0"/>
    <w:rsid w:val="00F3476B"/>
    <w:rsid w:val="00F34E0B"/>
    <w:rsid w:val="00F34EDE"/>
    <w:rsid w:val="00F35509"/>
    <w:rsid w:val="00F3765B"/>
    <w:rsid w:val="00F408BB"/>
    <w:rsid w:val="00F41225"/>
    <w:rsid w:val="00F4171E"/>
    <w:rsid w:val="00F42093"/>
    <w:rsid w:val="00F421C4"/>
    <w:rsid w:val="00F43F4B"/>
    <w:rsid w:val="00F47326"/>
    <w:rsid w:val="00F4738A"/>
    <w:rsid w:val="00F508B7"/>
    <w:rsid w:val="00F50B2B"/>
    <w:rsid w:val="00F50E07"/>
    <w:rsid w:val="00F51236"/>
    <w:rsid w:val="00F51FBE"/>
    <w:rsid w:val="00F5285D"/>
    <w:rsid w:val="00F53D51"/>
    <w:rsid w:val="00F57FA9"/>
    <w:rsid w:val="00F601EF"/>
    <w:rsid w:val="00F620F5"/>
    <w:rsid w:val="00F62E69"/>
    <w:rsid w:val="00F6386E"/>
    <w:rsid w:val="00F651B9"/>
    <w:rsid w:val="00F660ED"/>
    <w:rsid w:val="00F705EE"/>
    <w:rsid w:val="00F7387D"/>
    <w:rsid w:val="00F73BA6"/>
    <w:rsid w:val="00F75DBB"/>
    <w:rsid w:val="00F7665E"/>
    <w:rsid w:val="00F8084A"/>
    <w:rsid w:val="00F8130E"/>
    <w:rsid w:val="00F81C2B"/>
    <w:rsid w:val="00F82663"/>
    <w:rsid w:val="00F83C3F"/>
    <w:rsid w:val="00F851A0"/>
    <w:rsid w:val="00F85B72"/>
    <w:rsid w:val="00F86A55"/>
    <w:rsid w:val="00F92F13"/>
    <w:rsid w:val="00F9660B"/>
    <w:rsid w:val="00FA1B73"/>
    <w:rsid w:val="00FA1EE9"/>
    <w:rsid w:val="00FA2EBC"/>
    <w:rsid w:val="00FA3825"/>
    <w:rsid w:val="00FA4F03"/>
    <w:rsid w:val="00FA6EF4"/>
    <w:rsid w:val="00FB3150"/>
    <w:rsid w:val="00FB4A5A"/>
    <w:rsid w:val="00FB6269"/>
    <w:rsid w:val="00FC06C6"/>
    <w:rsid w:val="00FC1D39"/>
    <w:rsid w:val="00FC50A6"/>
    <w:rsid w:val="00FD07CA"/>
    <w:rsid w:val="00FD0EEE"/>
    <w:rsid w:val="00FD14F0"/>
    <w:rsid w:val="00FD3BB8"/>
    <w:rsid w:val="00FD4D4C"/>
    <w:rsid w:val="00FD4E94"/>
    <w:rsid w:val="00FD60FC"/>
    <w:rsid w:val="00FD6FAF"/>
    <w:rsid w:val="00FD70E3"/>
    <w:rsid w:val="00FD7596"/>
    <w:rsid w:val="00FD7980"/>
    <w:rsid w:val="00FD7BEA"/>
    <w:rsid w:val="00FE08EC"/>
    <w:rsid w:val="00FE092C"/>
    <w:rsid w:val="00FE6C10"/>
    <w:rsid w:val="00FE7FAF"/>
    <w:rsid w:val="00FF05BB"/>
    <w:rsid w:val="00FF17D6"/>
    <w:rsid w:val="00FF1ADC"/>
    <w:rsid w:val="00FF2579"/>
    <w:rsid w:val="00FF33C1"/>
    <w:rsid w:val="00FF62BC"/>
    <w:rsid w:val="00FF6809"/>
    <w:rsid w:val="00FF6899"/>
    <w:rsid w:val="00FF6B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FC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94C"/>
    <w:pPr>
      <w:spacing w:after="60" w:line="360" w:lineRule="auto"/>
      <w:jc w:val="both"/>
    </w:pPr>
    <w:rPr>
      <w:rFonts w:ascii="Helvetica" w:hAnsi="Helvetica"/>
      <w:sz w:val="22"/>
      <w:lang w:val="en-GB"/>
    </w:rPr>
  </w:style>
  <w:style w:type="paragraph" w:styleId="Heading1">
    <w:name w:val="heading 1"/>
    <w:basedOn w:val="Normal"/>
    <w:next w:val="Normal"/>
    <w:link w:val="Heading1Char"/>
    <w:uiPriority w:val="9"/>
    <w:qFormat/>
    <w:rsid w:val="007D3511"/>
    <w:pPr>
      <w:keepNext/>
      <w:keepLines/>
      <w:outlineLvl w:val="0"/>
    </w:pPr>
    <w:rPr>
      <w:rFonts w:eastAsiaTheme="majorEastAsia" w:cstheme="majorBidi"/>
      <w:b/>
      <w:bCs/>
      <w:sz w:val="28"/>
      <w:szCs w:val="32"/>
    </w:rPr>
  </w:style>
  <w:style w:type="paragraph" w:styleId="Heading2">
    <w:name w:val="heading 2"/>
    <w:basedOn w:val="Normal"/>
    <w:next w:val="Normal"/>
    <w:link w:val="Heading2Char"/>
    <w:autoRedefine/>
    <w:uiPriority w:val="9"/>
    <w:unhideWhenUsed/>
    <w:qFormat/>
    <w:rsid w:val="00910476"/>
    <w:pPr>
      <w:keepNext/>
      <w:keepLines/>
      <w:spacing w:before="300" w:after="80"/>
      <w:jc w:val="left"/>
      <w:outlineLvl w:val="1"/>
    </w:pPr>
    <w:rPr>
      <w:rFonts w:eastAsiaTheme="majorEastAsia" w:cstheme="majorBidi"/>
      <w:b/>
      <w:bCs/>
      <w:noProof/>
      <w:sz w:val="24"/>
      <w:szCs w:val="26"/>
    </w:rPr>
  </w:style>
  <w:style w:type="paragraph" w:styleId="Heading3">
    <w:name w:val="heading 3"/>
    <w:basedOn w:val="Normal"/>
    <w:next w:val="Normal"/>
    <w:link w:val="Heading3Char"/>
    <w:uiPriority w:val="9"/>
    <w:unhideWhenUsed/>
    <w:qFormat/>
    <w:rsid w:val="00573BEB"/>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qFormat/>
    <w:rsid w:val="0018341A"/>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511"/>
    <w:rPr>
      <w:rFonts w:ascii="Helvetica" w:eastAsiaTheme="majorEastAsia" w:hAnsi="Helvetica" w:cstheme="majorBidi"/>
      <w:b/>
      <w:bCs/>
      <w:sz w:val="28"/>
      <w:szCs w:val="32"/>
      <w:lang w:val="en-GB"/>
    </w:rPr>
  </w:style>
  <w:style w:type="character" w:customStyle="1" w:styleId="Heading2Char">
    <w:name w:val="Heading 2 Char"/>
    <w:basedOn w:val="DefaultParagraphFont"/>
    <w:link w:val="Heading2"/>
    <w:uiPriority w:val="9"/>
    <w:rsid w:val="00910476"/>
    <w:rPr>
      <w:rFonts w:ascii="Helvetica" w:eastAsiaTheme="majorEastAsia" w:hAnsi="Helvetica" w:cstheme="majorBidi"/>
      <w:b/>
      <w:bCs/>
      <w:noProof/>
      <w:szCs w:val="26"/>
      <w:lang w:val="en-GB"/>
    </w:rPr>
  </w:style>
  <w:style w:type="paragraph" w:styleId="ListParagraph">
    <w:name w:val="List Paragraph"/>
    <w:basedOn w:val="Normal"/>
    <w:uiPriority w:val="34"/>
    <w:qFormat/>
    <w:rsid w:val="008209C6"/>
    <w:pPr>
      <w:spacing w:after="180"/>
      <w:ind w:left="720"/>
    </w:pPr>
  </w:style>
  <w:style w:type="character" w:styleId="Hyperlink">
    <w:name w:val="Hyperlink"/>
    <w:basedOn w:val="DefaultParagraphFont"/>
    <w:uiPriority w:val="99"/>
    <w:unhideWhenUsed/>
    <w:rsid w:val="00562959"/>
    <w:rPr>
      <w:color w:val="000000" w:themeColor="text1"/>
      <w:u w:val="none"/>
    </w:rPr>
  </w:style>
  <w:style w:type="character" w:styleId="FollowedHyperlink">
    <w:name w:val="FollowedHyperlink"/>
    <w:basedOn w:val="DefaultParagraphFont"/>
    <w:uiPriority w:val="99"/>
    <w:semiHidden/>
    <w:unhideWhenUsed/>
    <w:rsid w:val="00E124B3"/>
    <w:rPr>
      <w:color w:val="800080" w:themeColor="followedHyperlink"/>
      <w:u w:val="single"/>
    </w:rPr>
  </w:style>
  <w:style w:type="character" w:customStyle="1" w:styleId="Heading3Char">
    <w:name w:val="Heading 3 Char"/>
    <w:basedOn w:val="DefaultParagraphFont"/>
    <w:link w:val="Heading3"/>
    <w:uiPriority w:val="9"/>
    <w:rsid w:val="00573BEB"/>
    <w:rPr>
      <w:rFonts w:ascii="Helvetica" w:eastAsiaTheme="majorEastAsia" w:hAnsi="Helvetica" w:cstheme="majorBidi"/>
      <w:b/>
      <w:bCs/>
      <w:sz w:val="22"/>
      <w:lang w:val="en-GB"/>
    </w:rPr>
  </w:style>
  <w:style w:type="paragraph" w:customStyle="1" w:styleId="EndNoteBibliographyTitle">
    <w:name w:val="EndNote Bibliography Title"/>
    <w:basedOn w:val="Normal"/>
    <w:rsid w:val="006A6B43"/>
    <w:pPr>
      <w:spacing w:after="0"/>
      <w:jc w:val="center"/>
    </w:pPr>
    <w:rPr>
      <w:b/>
      <w:lang w:val="en-US"/>
    </w:rPr>
  </w:style>
  <w:style w:type="paragraph" w:customStyle="1" w:styleId="EndNoteBibliography">
    <w:name w:val="EndNote Bibliography"/>
    <w:basedOn w:val="Normal"/>
    <w:rsid w:val="0085279A"/>
    <w:pPr>
      <w:spacing w:before="160" w:after="100" w:line="240" w:lineRule="auto"/>
      <w:jc w:val="left"/>
    </w:pPr>
    <w:rPr>
      <w:lang w:val="en-US"/>
    </w:rPr>
  </w:style>
  <w:style w:type="paragraph" w:styleId="BalloonText">
    <w:name w:val="Balloon Text"/>
    <w:basedOn w:val="Normal"/>
    <w:link w:val="BalloonTextChar"/>
    <w:uiPriority w:val="99"/>
    <w:semiHidden/>
    <w:unhideWhenUsed/>
    <w:rsid w:val="00593A3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3A37"/>
    <w:rPr>
      <w:rFonts w:ascii="Lucida Grande" w:hAnsi="Lucida Grande" w:cs="Lucida Grande"/>
      <w:sz w:val="18"/>
      <w:szCs w:val="18"/>
      <w:lang w:val="en-GB"/>
    </w:rPr>
  </w:style>
  <w:style w:type="paragraph" w:customStyle="1" w:styleId="normal0">
    <w:name w:val="normal"/>
    <w:rsid w:val="008D0CAB"/>
    <w:rPr>
      <w:rFonts w:ascii="Times New Roman" w:eastAsia="Times New Roman" w:hAnsi="Times New Roman" w:cs="Times New Roman"/>
      <w:color w:val="000000"/>
      <w:sz w:val="22"/>
      <w:szCs w:val="20"/>
      <w:lang w:val="en-GB"/>
    </w:rPr>
  </w:style>
  <w:style w:type="paragraph" w:styleId="Footer">
    <w:name w:val="footer"/>
    <w:basedOn w:val="Normal"/>
    <w:link w:val="FooterChar"/>
    <w:uiPriority w:val="99"/>
    <w:unhideWhenUsed/>
    <w:rsid w:val="001D466D"/>
    <w:pPr>
      <w:tabs>
        <w:tab w:val="center" w:pos="4320"/>
        <w:tab w:val="right" w:pos="8640"/>
      </w:tabs>
      <w:spacing w:after="0"/>
      <w:jc w:val="left"/>
    </w:pPr>
  </w:style>
  <w:style w:type="character" w:customStyle="1" w:styleId="FooterChar">
    <w:name w:val="Footer Char"/>
    <w:basedOn w:val="DefaultParagraphFont"/>
    <w:link w:val="Footer"/>
    <w:uiPriority w:val="99"/>
    <w:rsid w:val="001D466D"/>
    <w:rPr>
      <w:rFonts w:ascii="Helvetica" w:hAnsi="Helvetica"/>
      <w:sz w:val="22"/>
      <w:lang w:val="en-GB"/>
    </w:rPr>
  </w:style>
  <w:style w:type="character" w:styleId="PageNumber">
    <w:name w:val="page number"/>
    <w:basedOn w:val="DefaultParagraphFont"/>
    <w:uiPriority w:val="99"/>
    <w:semiHidden/>
    <w:unhideWhenUsed/>
    <w:rsid w:val="00C74482"/>
  </w:style>
  <w:style w:type="table" w:styleId="TableGrid">
    <w:name w:val="Table Grid"/>
    <w:basedOn w:val="TableNormal"/>
    <w:uiPriority w:val="59"/>
    <w:rsid w:val="003266F2"/>
    <w:rPr>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7AA1"/>
    <w:pPr>
      <w:widowControl w:val="0"/>
      <w:autoSpaceDE w:val="0"/>
      <w:autoSpaceDN w:val="0"/>
      <w:adjustRightInd w:val="0"/>
    </w:pPr>
    <w:rPr>
      <w:rFonts w:ascii="Arial" w:hAnsi="Arial" w:cs="Arial"/>
      <w:color w:val="000000"/>
    </w:rPr>
  </w:style>
  <w:style w:type="paragraph" w:styleId="FootnoteText">
    <w:name w:val="footnote text"/>
    <w:basedOn w:val="Normal"/>
    <w:link w:val="FootnoteTextChar"/>
    <w:uiPriority w:val="99"/>
    <w:unhideWhenUsed/>
    <w:rsid w:val="001D466D"/>
    <w:pPr>
      <w:spacing w:after="0"/>
    </w:pPr>
    <w:rPr>
      <w:sz w:val="18"/>
    </w:rPr>
  </w:style>
  <w:style w:type="character" w:customStyle="1" w:styleId="FootnoteTextChar">
    <w:name w:val="Footnote Text Char"/>
    <w:basedOn w:val="DefaultParagraphFont"/>
    <w:link w:val="FootnoteText"/>
    <w:uiPriority w:val="99"/>
    <w:rsid w:val="001D466D"/>
    <w:rPr>
      <w:rFonts w:ascii="Helvetica" w:hAnsi="Helvetica"/>
      <w:sz w:val="18"/>
      <w:lang w:val="en-GB"/>
    </w:rPr>
  </w:style>
  <w:style w:type="character" w:styleId="FootnoteReference">
    <w:name w:val="footnote reference"/>
    <w:basedOn w:val="DefaultParagraphFont"/>
    <w:uiPriority w:val="99"/>
    <w:unhideWhenUsed/>
    <w:rsid w:val="001D466D"/>
    <w:rPr>
      <w:rFonts w:ascii="Helvetica" w:hAnsi="Helvetica"/>
      <w:sz w:val="18"/>
      <w:vertAlign w:val="superscript"/>
    </w:rPr>
  </w:style>
  <w:style w:type="paragraph" w:styleId="TOC1">
    <w:name w:val="toc 1"/>
    <w:basedOn w:val="Normal"/>
    <w:next w:val="Normal"/>
    <w:autoRedefine/>
    <w:uiPriority w:val="39"/>
    <w:unhideWhenUsed/>
    <w:rsid w:val="00731D4E"/>
    <w:pPr>
      <w:spacing w:before="240"/>
    </w:pPr>
    <w:rPr>
      <w:b/>
      <w:sz w:val="20"/>
    </w:rPr>
  </w:style>
  <w:style w:type="paragraph" w:styleId="TOC2">
    <w:name w:val="toc 2"/>
    <w:basedOn w:val="Normal"/>
    <w:next w:val="Normal"/>
    <w:autoRedefine/>
    <w:uiPriority w:val="39"/>
    <w:unhideWhenUsed/>
    <w:rsid w:val="00731D4E"/>
    <w:pPr>
      <w:tabs>
        <w:tab w:val="right" w:leader="dot" w:pos="8290"/>
      </w:tabs>
      <w:ind w:left="425"/>
    </w:pPr>
    <w:rPr>
      <w:sz w:val="20"/>
    </w:rPr>
  </w:style>
  <w:style w:type="paragraph" w:styleId="TOC3">
    <w:name w:val="toc 3"/>
    <w:basedOn w:val="Normal"/>
    <w:next w:val="Normal"/>
    <w:autoRedefine/>
    <w:uiPriority w:val="39"/>
    <w:unhideWhenUsed/>
    <w:rsid w:val="00731D4E"/>
    <w:pPr>
      <w:tabs>
        <w:tab w:val="right" w:leader="dot" w:pos="8290"/>
      </w:tabs>
      <w:ind w:left="851"/>
    </w:pPr>
    <w:rPr>
      <w:sz w:val="20"/>
    </w:rPr>
  </w:style>
  <w:style w:type="paragraph" w:styleId="TOC4">
    <w:name w:val="toc 4"/>
    <w:basedOn w:val="Normal"/>
    <w:next w:val="Normal"/>
    <w:autoRedefine/>
    <w:uiPriority w:val="39"/>
    <w:unhideWhenUsed/>
    <w:rsid w:val="0018341A"/>
    <w:pPr>
      <w:ind w:left="660"/>
    </w:pPr>
  </w:style>
  <w:style w:type="paragraph" w:styleId="TOC5">
    <w:name w:val="toc 5"/>
    <w:basedOn w:val="Normal"/>
    <w:next w:val="Normal"/>
    <w:autoRedefine/>
    <w:uiPriority w:val="39"/>
    <w:unhideWhenUsed/>
    <w:rsid w:val="0018341A"/>
    <w:pPr>
      <w:ind w:left="880"/>
    </w:pPr>
  </w:style>
  <w:style w:type="paragraph" w:styleId="TOC6">
    <w:name w:val="toc 6"/>
    <w:basedOn w:val="Normal"/>
    <w:next w:val="Normal"/>
    <w:autoRedefine/>
    <w:uiPriority w:val="39"/>
    <w:unhideWhenUsed/>
    <w:rsid w:val="0018341A"/>
    <w:pPr>
      <w:ind w:left="1100"/>
    </w:pPr>
  </w:style>
  <w:style w:type="paragraph" w:styleId="TOC7">
    <w:name w:val="toc 7"/>
    <w:basedOn w:val="Normal"/>
    <w:next w:val="Normal"/>
    <w:autoRedefine/>
    <w:uiPriority w:val="39"/>
    <w:unhideWhenUsed/>
    <w:rsid w:val="0018341A"/>
    <w:pPr>
      <w:ind w:left="1320"/>
    </w:pPr>
  </w:style>
  <w:style w:type="paragraph" w:styleId="TOC8">
    <w:name w:val="toc 8"/>
    <w:basedOn w:val="Normal"/>
    <w:next w:val="Normal"/>
    <w:autoRedefine/>
    <w:uiPriority w:val="39"/>
    <w:unhideWhenUsed/>
    <w:rsid w:val="0018341A"/>
    <w:pPr>
      <w:ind w:left="1540"/>
    </w:pPr>
  </w:style>
  <w:style w:type="paragraph" w:styleId="TOC9">
    <w:name w:val="toc 9"/>
    <w:basedOn w:val="Normal"/>
    <w:next w:val="Normal"/>
    <w:autoRedefine/>
    <w:uiPriority w:val="39"/>
    <w:unhideWhenUsed/>
    <w:rsid w:val="0018341A"/>
    <w:pPr>
      <w:ind w:left="1760"/>
    </w:pPr>
  </w:style>
  <w:style w:type="character" w:customStyle="1" w:styleId="Heading4Char">
    <w:name w:val="Heading 4 Char"/>
    <w:basedOn w:val="DefaultParagraphFont"/>
    <w:link w:val="Heading4"/>
    <w:uiPriority w:val="9"/>
    <w:rsid w:val="0018341A"/>
    <w:rPr>
      <w:rFonts w:ascii="Helvetica" w:eastAsiaTheme="majorEastAsia" w:hAnsi="Helvetica" w:cstheme="majorBidi"/>
      <w:b/>
      <w:bCs/>
      <w:iCs/>
      <w:sz w:val="22"/>
      <w:lang w:val="en-GB"/>
    </w:rPr>
  </w:style>
  <w:style w:type="paragraph" w:styleId="Revision">
    <w:name w:val="Revision"/>
    <w:hidden/>
    <w:uiPriority w:val="99"/>
    <w:semiHidden/>
    <w:rsid w:val="00035BFD"/>
    <w:rPr>
      <w:rFonts w:ascii="Helvetica" w:hAnsi="Helvetica"/>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94C"/>
    <w:pPr>
      <w:spacing w:after="60" w:line="360" w:lineRule="auto"/>
      <w:jc w:val="both"/>
    </w:pPr>
    <w:rPr>
      <w:rFonts w:ascii="Helvetica" w:hAnsi="Helvetica"/>
      <w:sz w:val="22"/>
      <w:lang w:val="en-GB"/>
    </w:rPr>
  </w:style>
  <w:style w:type="paragraph" w:styleId="Heading1">
    <w:name w:val="heading 1"/>
    <w:basedOn w:val="Normal"/>
    <w:next w:val="Normal"/>
    <w:link w:val="Heading1Char"/>
    <w:uiPriority w:val="9"/>
    <w:qFormat/>
    <w:rsid w:val="007D3511"/>
    <w:pPr>
      <w:keepNext/>
      <w:keepLines/>
      <w:outlineLvl w:val="0"/>
    </w:pPr>
    <w:rPr>
      <w:rFonts w:eastAsiaTheme="majorEastAsia" w:cstheme="majorBidi"/>
      <w:b/>
      <w:bCs/>
      <w:sz w:val="28"/>
      <w:szCs w:val="32"/>
    </w:rPr>
  </w:style>
  <w:style w:type="paragraph" w:styleId="Heading2">
    <w:name w:val="heading 2"/>
    <w:basedOn w:val="Normal"/>
    <w:next w:val="Normal"/>
    <w:link w:val="Heading2Char"/>
    <w:autoRedefine/>
    <w:uiPriority w:val="9"/>
    <w:unhideWhenUsed/>
    <w:qFormat/>
    <w:rsid w:val="00910476"/>
    <w:pPr>
      <w:keepNext/>
      <w:keepLines/>
      <w:spacing w:before="300" w:after="80"/>
      <w:jc w:val="left"/>
      <w:outlineLvl w:val="1"/>
    </w:pPr>
    <w:rPr>
      <w:rFonts w:eastAsiaTheme="majorEastAsia" w:cstheme="majorBidi"/>
      <w:b/>
      <w:bCs/>
      <w:noProof/>
      <w:sz w:val="24"/>
      <w:szCs w:val="26"/>
    </w:rPr>
  </w:style>
  <w:style w:type="paragraph" w:styleId="Heading3">
    <w:name w:val="heading 3"/>
    <w:basedOn w:val="Normal"/>
    <w:next w:val="Normal"/>
    <w:link w:val="Heading3Char"/>
    <w:uiPriority w:val="9"/>
    <w:unhideWhenUsed/>
    <w:qFormat/>
    <w:rsid w:val="00573BEB"/>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qFormat/>
    <w:rsid w:val="0018341A"/>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511"/>
    <w:rPr>
      <w:rFonts w:ascii="Helvetica" w:eastAsiaTheme="majorEastAsia" w:hAnsi="Helvetica" w:cstheme="majorBidi"/>
      <w:b/>
      <w:bCs/>
      <w:sz w:val="28"/>
      <w:szCs w:val="32"/>
      <w:lang w:val="en-GB"/>
    </w:rPr>
  </w:style>
  <w:style w:type="character" w:customStyle="1" w:styleId="Heading2Char">
    <w:name w:val="Heading 2 Char"/>
    <w:basedOn w:val="DefaultParagraphFont"/>
    <w:link w:val="Heading2"/>
    <w:uiPriority w:val="9"/>
    <w:rsid w:val="00910476"/>
    <w:rPr>
      <w:rFonts w:ascii="Helvetica" w:eastAsiaTheme="majorEastAsia" w:hAnsi="Helvetica" w:cstheme="majorBidi"/>
      <w:b/>
      <w:bCs/>
      <w:noProof/>
      <w:szCs w:val="26"/>
      <w:lang w:val="en-GB"/>
    </w:rPr>
  </w:style>
  <w:style w:type="paragraph" w:styleId="ListParagraph">
    <w:name w:val="List Paragraph"/>
    <w:basedOn w:val="Normal"/>
    <w:uiPriority w:val="34"/>
    <w:qFormat/>
    <w:rsid w:val="008209C6"/>
    <w:pPr>
      <w:spacing w:after="180"/>
      <w:ind w:left="720"/>
    </w:pPr>
  </w:style>
  <w:style w:type="character" w:styleId="Hyperlink">
    <w:name w:val="Hyperlink"/>
    <w:basedOn w:val="DefaultParagraphFont"/>
    <w:uiPriority w:val="99"/>
    <w:unhideWhenUsed/>
    <w:rsid w:val="00562959"/>
    <w:rPr>
      <w:color w:val="000000" w:themeColor="text1"/>
      <w:u w:val="none"/>
    </w:rPr>
  </w:style>
  <w:style w:type="character" w:styleId="FollowedHyperlink">
    <w:name w:val="FollowedHyperlink"/>
    <w:basedOn w:val="DefaultParagraphFont"/>
    <w:uiPriority w:val="99"/>
    <w:semiHidden/>
    <w:unhideWhenUsed/>
    <w:rsid w:val="00E124B3"/>
    <w:rPr>
      <w:color w:val="800080" w:themeColor="followedHyperlink"/>
      <w:u w:val="single"/>
    </w:rPr>
  </w:style>
  <w:style w:type="character" w:customStyle="1" w:styleId="Heading3Char">
    <w:name w:val="Heading 3 Char"/>
    <w:basedOn w:val="DefaultParagraphFont"/>
    <w:link w:val="Heading3"/>
    <w:uiPriority w:val="9"/>
    <w:rsid w:val="00573BEB"/>
    <w:rPr>
      <w:rFonts w:ascii="Helvetica" w:eastAsiaTheme="majorEastAsia" w:hAnsi="Helvetica" w:cstheme="majorBidi"/>
      <w:b/>
      <w:bCs/>
      <w:sz w:val="22"/>
      <w:lang w:val="en-GB"/>
    </w:rPr>
  </w:style>
  <w:style w:type="paragraph" w:customStyle="1" w:styleId="EndNoteBibliographyTitle">
    <w:name w:val="EndNote Bibliography Title"/>
    <w:basedOn w:val="Normal"/>
    <w:rsid w:val="006A6B43"/>
    <w:pPr>
      <w:spacing w:after="0"/>
      <w:jc w:val="center"/>
    </w:pPr>
    <w:rPr>
      <w:b/>
      <w:lang w:val="en-US"/>
    </w:rPr>
  </w:style>
  <w:style w:type="paragraph" w:customStyle="1" w:styleId="EndNoteBibliography">
    <w:name w:val="EndNote Bibliography"/>
    <w:basedOn w:val="Normal"/>
    <w:rsid w:val="0085279A"/>
    <w:pPr>
      <w:spacing w:before="160" w:after="100" w:line="240" w:lineRule="auto"/>
      <w:jc w:val="left"/>
    </w:pPr>
    <w:rPr>
      <w:lang w:val="en-US"/>
    </w:rPr>
  </w:style>
  <w:style w:type="paragraph" w:styleId="BalloonText">
    <w:name w:val="Balloon Text"/>
    <w:basedOn w:val="Normal"/>
    <w:link w:val="BalloonTextChar"/>
    <w:uiPriority w:val="99"/>
    <w:semiHidden/>
    <w:unhideWhenUsed/>
    <w:rsid w:val="00593A3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3A37"/>
    <w:rPr>
      <w:rFonts w:ascii="Lucida Grande" w:hAnsi="Lucida Grande" w:cs="Lucida Grande"/>
      <w:sz w:val="18"/>
      <w:szCs w:val="18"/>
      <w:lang w:val="en-GB"/>
    </w:rPr>
  </w:style>
  <w:style w:type="paragraph" w:customStyle="1" w:styleId="normal0">
    <w:name w:val="normal"/>
    <w:rsid w:val="008D0CAB"/>
    <w:rPr>
      <w:rFonts w:ascii="Times New Roman" w:eastAsia="Times New Roman" w:hAnsi="Times New Roman" w:cs="Times New Roman"/>
      <w:color w:val="000000"/>
      <w:sz w:val="22"/>
      <w:szCs w:val="20"/>
      <w:lang w:val="en-GB"/>
    </w:rPr>
  </w:style>
  <w:style w:type="paragraph" w:styleId="Footer">
    <w:name w:val="footer"/>
    <w:basedOn w:val="Normal"/>
    <w:link w:val="FooterChar"/>
    <w:uiPriority w:val="99"/>
    <w:unhideWhenUsed/>
    <w:rsid w:val="001D466D"/>
    <w:pPr>
      <w:tabs>
        <w:tab w:val="center" w:pos="4320"/>
        <w:tab w:val="right" w:pos="8640"/>
      </w:tabs>
      <w:spacing w:after="0"/>
      <w:jc w:val="left"/>
    </w:pPr>
  </w:style>
  <w:style w:type="character" w:customStyle="1" w:styleId="FooterChar">
    <w:name w:val="Footer Char"/>
    <w:basedOn w:val="DefaultParagraphFont"/>
    <w:link w:val="Footer"/>
    <w:uiPriority w:val="99"/>
    <w:rsid w:val="001D466D"/>
    <w:rPr>
      <w:rFonts w:ascii="Helvetica" w:hAnsi="Helvetica"/>
      <w:sz w:val="22"/>
      <w:lang w:val="en-GB"/>
    </w:rPr>
  </w:style>
  <w:style w:type="character" w:styleId="PageNumber">
    <w:name w:val="page number"/>
    <w:basedOn w:val="DefaultParagraphFont"/>
    <w:uiPriority w:val="99"/>
    <w:semiHidden/>
    <w:unhideWhenUsed/>
    <w:rsid w:val="00C74482"/>
  </w:style>
  <w:style w:type="table" w:styleId="TableGrid">
    <w:name w:val="Table Grid"/>
    <w:basedOn w:val="TableNormal"/>
    <w:uiPriority w:val="59"/>
    <w:rsid w:val="003266F2"/>
    <w:rPr>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7AA1"/>
    <w:pPr>
      <w:widowControl w:val="0"/>
      <w:autoSpaceDE w:val="0"/>
      <w:autoSpaceDN w:val="0"/>
      <w:adjustRightInd w:val="0"/>
    </w:pPr>
    <w:rPr>
      <w:rFonts w:ascii="Arial" w:hAnsi="Arial" w:cs="Arial"/>
      <w:color w:val="000000"/>
    </w:rPr>
  </w:style>
  <w:style w:type="paragraph" w:styleId="FootnoteText">
    <w:name w:val="footnote text"/>
    <w:basedOn w:val="Normal"/>
    <w:link w:val="FootnoteTextChar"/>
    <w:uiPriority w:val="99"/>
    <w:unhideWhenUsed/>
    <w:rsid w:val="001D466D"/>
    <w:pPr>
      <w:spacing w:after="0"/>
    </w:pPr>
    <w:rPr>
      <w:sz w:val="18"/>
    </w:rPr>
  </w:style>
  <w:style w:type="character" w:customStyle="1" w:styleId="FootnoteTextChar">
    <w:name w:val="Footnote Text Char"/>
    <w:basedOn w:val="DefaultParagraphFont"/>
    <w:link w:val="FootnoteText"/>
    <w:uiPriority w:val="99"/>
    <w:rsid w:val="001D466D"/>
    <w:rPr>
      <w:rFonts w:ascii="Helvetica" w:hAnsi="Helvetica"/>
      <w:sz w:val="18"/>
      <w:lang w:val="en-GB"/>
    </w:rPr>
  </w:style>
  <w:style w:type="character" w:styleId="FootnoteReference">
    <w:name w:val="footnote reference"/>
    <w:basedOn w:val="DefaultParagraphFont"/>
    <w:uiPriority w:val="99"/>
    <w:unhideWhenUsed/>
    <w:rsid w:val="001D466D"/>
    <w:rPr>
      <w:rFonts w:ascii="Helvetica" w:hAnsi="Helvetica"/>
      <w:sz w:val="18"/>
      <w:vertAlign w:val="superscript"/>
    </w:rPr>
  </w:style>
  <w:style w:type="paragraph" w:styleId="TOC1">
    <w:name w:val="toc 1"/>
    <w:basedOn w:val="Normal"/>
    <w:next w:val="Normal"/>
    <w:autoRedefine/>
    <w:uiPriority w:val="39"/>
    <w:unhideWhenUsed/>
    <w:rsid w:val="00731D4E"/>
    <w:pPr>
      <w:spacing w:before="240"/>
    </w:pPr>
    <w:rPr>
      <w:b/>
      <w:sz w:val="20"/>
    </w:rPr>
  </w:style>
  <w:style w:type="paragraph" w:styleId="TOC2">
    <w:name w:val="toc 2"/>
    <w:basedOn w:val="Normal"/>
    <w:next w:val="Normal"/>
    <w:autoRedefine/>
    <w:uiPriority w:val="39"/>
    <w:unhideWhenUsed/>
    <w:rsid w:val="00731D4E"/>
    <w:pPr>
      <w:tabs>
        <w:tab w:val="right" w:leader="dot" w:pos="8290"/>
      </w:tabs>
      <w:ind w:left="425"/>
    </w:pPr>
    <w:rPr>
      <w:sz w:val="20"/>
    </w:rPr>
  </w:style>
  <w:style w:type="paragraph" w:styleId="TOC3">
    <w:name w:val="toc 3"/>
    <w:basedOn w:val="Normal"/>
    <w:next w:val="Normal"/>
    <w:autoRedefine/>
    <w:uiPriority w:val="39"/>
    <w:unhideWhenUsed/>
    <w:rsid w:val="00731D4E"/>
    <w:pPr>
      <w:tabs>
        <w:tab w:val="right" w:leader="dot" w:pos="8290"/>
      </w:tabs>
      <w:ind w:left="851"/>
    </w:pPr>
    <w:rPr>
      <w:sz w:val="20"/>
    </w:rPr>
  </w:style>
  <w:style w:type="paragraph" w:styleId="TOC4">
    <w:name w:val="toc 4"/>
    <w:basedOn w:val="Normal"/>
    <w:next w:val="Normal"/>
    <w:autoRedefine/>
    <w:uiPriority w:val="39"/>
    <w:unhideWhenUsed/>
    <w:rsid w:val="0018341A"/>
    <w:pPr>
      <w:ind w:left="660"/>
    </w:pPr>
  </w:style>
  <w:style w:type="paragraph" w:styleId="TOC5">
    <w:name w:val="toc 5"/>
    <w:basedOn w:val="Normal"/>
    <w:next w:val="Normal"/>
    <w:autoRedefine/>
    <w:uiPriority w:val="39"/>
    <w:unhideWhenUsed/>
    <w:rsid w:val="0018341A"/>
    <w:pPr>
      <w:ind w:left="880"/>
    </w:pPr>
  </w:style>
  <w:style w:type="paragraph" w:styleId="TOC6">
    <w:name w:val="toc 6"/>
    <w:basedOn w:val="Normal"/>
    <w:next w:val="Normal"/>
    <w:autoRedefine/>
    <w:uiPriority w:val="39"/>
    <w:unhideWhenUsed/>
    <w:rsid w:val="0018341A"/>
    <w:pPr>
      <w:ind w:left="1100"/>
    </w:pPr>
  </w:style>
  <w:style w:type="paragraph" w:styleId="TOC7">
    <w:name w:val="toc 7"/>
    <w:basedOn w:val="Normal"/>
    <w:next w:val="Normal"/>
    <w:autoRedefine/>
    <w:uiPriority w:val="39"/>
    <w:unhideWhenUsed/>
    <w:rsid w:val="0018341A"/>
    <w:pPr>
      <w:ind w:left="1320"/>
    </w:pPr>
  </w:style>
  <w:style w:type="paragraph" w:styleId="TOC8">
    <w:name w:val="toc 8"/>
    <w:basedOn w:val="Normal"/>
    <w:next w:val="Normal"/>
    <w:autoRedefine/>
    <w:uiPriority w:val="39"/>
    <w:unhideWhenUsed/>
    <w:rsid w:val="0018341A"/>
    <w:pPr>
      <w:ind w:left="1540"/>
    </w:pPr>
  </w:style>
  <w:style w:type="paragraph" w:styleId="TOC9">
    <w:name w:val="toc 9"/>
    <w:basedOn w:val="Normal"/>
    <w:next w:val="Normal"/>
    <w:autoRedefine/>
    <w:uiPriority w:val="39"/>
    <w:unhideWhenUsed/>
    <w:rsid w:val="0018341A"/>
    <w:pPr>
      <w:ind w:left="1760"/>
    </w:pPr>
  </w:style>
  <w:style w:type="character" w:customStyle="1" w:styleId="Heading4Char">
    <w:name w:val="Heading 4 Char"/>
    <w:basedOn w:val="DefaultParagraphFont"/>
    <w:link w:val="Heading4"/>
    <w:uiPriority w:val="9"/>
    <w:rsid w:val="0018341A"/>
    <w:rPr>
      <w:rFonts w:ascii="Helvetica" w:eastAsiaTheme="majorEastAsia" w:hAnsi="Helvetica" w:cstheme="majorBidi"/>
      <w:b/>
      <w:bCs/>
      <w:iCs/>
      <w:sz w:val="22"/>
      <w:lang w:val="en-GB"/>
    </w:rPr>
  </w:style>
  <w:style w:type="paragraph" w:styleId="Revision">
    <w:name w:val="Revision"/>
    <w:hidden/>
    <w:uiPriority w:val="99"/>
    <w:semiHidden/>
    <w:rsid w:val="00035BFD"/>
    <w:rPr>
      <w:rFonts w:ascii="Helvetica" w:hAnsi="Helvetic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9722">
      <w:bodyDiv w:val="1"/>
      <w:marLeft w:val="0"/>
      <w:marRight w:val="0"/>
      <w:marTop w:val="0"/>
      <w:marBottom w:val="0"/>
      <w:divBdr>
        <w:top w:val="none" w:sz="0" w:space="0" w:color="auto"/>
        <w:left w:val="none" w:sz="0" w:space="0" w:color="auto"/>
        <w:bottom w:val="none" w:sz="0" w:space="0" w:color="auto"/>
        <w:right w:val="none" w:sz="0" w:space="0" w:color="auto"/>
      </w:divBdr>
      <w:divsChild>
        <w:div w:id="376010544">
          <w:marLeft w:val="0"/>
          <w:marRight w:val="0"/>
          <w:marTop w:val="0"/>
          <w:marBottom w:val="0"/>
          <w:divBdr>
            <w:top w:val="none" w:sz="0" w:space="0" w:color="auto"/>
            <w:left w:val="none" w:sz="0" w:space="0" w:color="auto"/>
            <w:bottom w:val="none" w:sz="0" w:space="0" w:color="auto"/>
            <w:right w:val="none" w:sz="0" w:space="0" w:color="auto"/>
          </w:divBdr>
          <w:divsChild>
            <w:div w:id="445194646">
              <w:marLeft w:val="0"/>
              <w:marRight w:val="0"/>
              <w:marTop w:val="0"/>
              <w:marBottom w:val="0"/>
              <w:divBdr>
                <w:top w:val="none" w:sz="0" w:space="0" w:color="auto"/>
                <w:left w:val="none" w:sz="0" w:space="0" w:color="auto"/>
                <w:bottom w:val="none" w:sz="0" w:space="0" w:color="auto"/>
                <w:right w:val="none" w:sz="0" w:space="0" w:color="auto"/>
              </w:divBdr>
              <w:divsChild>
                <w:div w:id="532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97775">
      <w:bodyDiv w:val="1"/>
      <w:marLeft w:val="0"/>
      <w:marRight w:val="0"/>
      <w:marTop w:val="0"/>
      <w:marBottom w:val="0"/>
      <w:divBdr>
        <w:top w:val="none" w:sz="0" w:space="0" w:color="auto"/>
        <w:left w:val="none" w:sz="0" w:space="0" w:color="auto"/>
        <w:bottom w:val="none" w:sz="0" w:space="0" w:color="auto"/>
        <w:right w:val="none" w:sz="0" w:space="0" w:color="auto"/>
      </w:divBdr>
    </w:div>
    <w:div w:id="13727990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oecd.org/edu/oecd-skills-outlook-2015-9789264234178-en.htm" TargetMode="External"/><Relationship Id="rId21" Type="http://schemas.openxmlformats.org/officeDocument/2006/relationships/hyperlink" Target="https://www.offa.org.uk/wp-content/uploads/2014/07/Access-agreements-for-2015-16-key-statistics-and-analysis.pdf" TargetMode="External"/><Relationship Id="rId22" Type="http://schemas.openxmlformats.org/officeDocument/2006/relationships/hyperlink" Target="http://www.schoolforstartups.co.uk/richard-review/richard-review-full.pdf" TargetMode="External"/><Relationship Id="rId23" Type="http://schemas.openxmlformats.org/officeDocument/2006/relationships/hyperlink" Target="https://www.gov.uk/guidance/professional-development-for-work-based-learning-practitioners-apprenticeships" TargetMode="External"/><Relationship Id="rId24" Type="http://schemas.openxmlformats.org/officeDocument/2006/relationships/hyperlink" Target="https://www.gov.uk/government/uploads/system/uploads/attachment_data/file/412019/Higher_Apprenticeship_and_Degree_Apprenticeship_Delivery_from_April_2015_to_April_2016.pdf" TargetMode="External"/><Relationship Id="rId25" Type="http://schemas.openxmlformats.org/officeDocument/2006/relationships/hyperlink" Target="https://www.gov.uk/government/uploads/system/uploads/attachment_data/file/412179/Trailblazer_Apprenticeship_Funding_2014_to_2015_Requirements_for_Employers.pdf" TargetMode="External"/><Relationship Id="rId26" Type="http://schemas.openxmlformats.org/officeDocument/2006/relationships/hyperlink" Target="http://www.theguardian.com/media-network/media-network-blog/2014/aug/18/uk-youth-shortage-digital-skills" TargetMode="External"/><Relationship Id="rId27" Type="http://schemas.openxmlformats.org/officeDocument/2006/relationships/hyperlink" Target="http://eur-lex.europa.eu/legal-content/EN/TXT/?uri=celex:32003H0361" TargetMode="External"/><Relationship Id="rId28" Type="http://schemas.openxmlformats.org/officeDocument/2006/relationships/hyperlink" Target="http://www.universitiesuk.ac.uk/policy-and-analysis/reports/Documents/2010/creating-prosperity-the-role-of-higher-education.pdf" TargetMode="Externa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britishchambers.org.uk/press-office/press-releases/young-people-need-more-support-to-make-transition-from-education-to-work,-says-bcc.html" TargetMode="External"/><Relationship Id="rId11" Type="http://schemas.openxmlformats.org/officeDocument/2006/relationships/hyperlink" Target="http://www.bbc.co.uk/news/education-11829102" TargetMode="External"/><Relationship Id="rId12" Type="http://schemas.openxmlformats.org/officeDocument/2006/relationships/hyperlink" Target="https://www.gov.uk/government/news/creative-industries-now-worth-88-million-an-hour-to-uk-economy" TargetMode="External"/><Relationship Id="rId13" Type="http://schemas.openxmlformats.org/officeDocument/2006/relationships/hyperlink" Target="https://www.heacademy.ac.uk/sites/default/files/putting-knowledge-to-work.pdf" TargetMode="External"/><Relationship Id="rId14" Type="http://schemas.openxmlformats.org/officeDocument/2006/relationships/hyperlink" Target="http://www.hefce.ac.uk/funding/catalyst/" TargetMode="External"/><Relationship Id="rId15" Type="http://schemas.openxmlformats.org/officeDocument/2006/relationships/hyperlink" Target="http://www.hefce.ac.uk/funding/catalyst/projects/southamptonsolent/" TargetMode="External"/><Relationship Id="rId16" Type="http://schemas.openxmlformats.org/officeDocument/2006/relationships/hyperlink" Target="http://www.hepi.ac.uk/wp-content/uploads/2014/09/Clean-copy-of-SNC-paper1.pdf" TargetMode="External"/><Relationship Id="rId17" Type="http://schemas.openxmlformats.org/officeDocument/2006/relationships/hyperlink" Target="https://www.gov.uk/government/uploads/system/uploads/attachment_data/file/253073/bis-13-1175-future-of-apprenticeships-in-england-implementation-plan.pdf" TargetMode="External"/><Relationship Id="rId18" Type="http://schemas.openxmlformats.org/officeDocument/2006/relationships/hyperlink" Target="https://www.gov.uk/government/uploads/system/uploads/attachment_data/file/479749/52229_Blue_Book_PU1865_Web_Accessible.pdf" TargetMode="External"/><Relationship Id="rId19" Type="http://schemas.openxmlformats.org/officeDocument/2006/relationships/hyperlink" Target="http://www.telegraph.co.uk/journalists/sophie-jamieson/11938409/Sir-Michael-Wilshaw-End-apprenticeships-for-making-coffee-and-cleaning-floor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77704-160E-0E47-8134-98B7336C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11385</Words>
  <Characters>64899</Characters>
  <Application>Microsoft Macintosh Word</Application>
  <DocSecurity>0</DocSecurity>
  <Lines>540</Lines>
  <Paragraphs>152</Paragraphs>
  <ScaleCrop>false</ScaleCrop>
  <Company/>
  <LinksUpToDate>false</LinksUpToDate>
  <CharactersWithSpaces>76132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2016-07-19T10:32:00Z</cp:lastPrinted>
  <dcterms:created xsi:type="dcterms:W3CDTF">2016-11-18T10:19:00Z</dcterms:created>
  <dcterms:modified xsi:type="dcterms:W3CDTF">2016-11-18T10:20:00Z</dcterms:modified>
</cp:coreProperties>
</file>