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21548" w14:textId="29023B7F" w:rsidR="006D54E3" w:rsidRDefault="006D54E3" w:rsidP="006D54E3">
      <w:pPr>
        <w:jc w:val="center"/>
        <w:rPr>
          <w:rFonts w:ascii="Times New Roman" w:hAnsi="Times New Roman" w:cs="Times New Roman"/>
          <w:b/>
        </w:rPr>
      </w:pPr>
      <w:r w:rsidRPr="00F55D98">
        <w:rPr>
          <w:rFonts w:ascii="Times New Roman" w:hAnsi="Times New Roman" w:cs="Times New Roman"/>
          <w:b/>
        </w:rPr>
        <w:t xml:space="preserve">Human Rights </w:t>
      </w:r>
      <w:r>
        <w:rPr>
          <w:rFonts w:ascii="Times New Roman" w:hAnsi="Times New Roman" w:cs="Times New Roman"/>
          <w:b/>
        </w:rPr>
        <w:t xml:space="preserve">Enforcement </w:t>
      </w:r>
      <w:r w:rsidRPr="00F55D98">
        <w:rPr>
          <w:rFonts w:ascii="Times New Roman" w:hAnsi="Times New Roman" w:cs="Times New Roman"/>
          <w:b/>
        </w:rPr>
        <w:t xml:space="preserve">at the Borders: International </w:t>
      </w:r>
    </w:p>
    <w:p w14:paraId="3C6732DD" w14:textId="77777777" w:rsidR="006D54E3" w:rsidRPr="00F55D98" w:rsidRDefault="006D54E3" w:rsidP="006D54E3">
      <w:pPr>
        <w:jc w:val="center"/>
        <w:rPr>
          <w:rFonts w:ascii="Times New Roman" w:hAnsi="Times New Roman" w:cs="Times New Roman"/>
          <w:b/>
        </w:rPr>
      </w:pPr>
      <w:r w:rsidRPr="00F55D98">
        <w:rPr>
          <w:rFonts w:ascii="Times New Roman" w:hAnsi="Times New Roman" w:cs="Times New Roman"/>
          <w:b/>
        </w:rPr>
        <w:t xml:space="preserve">Criminal Court </w:t>
      </w:r>
      <w:r>
        <w:rPr>
          <w:rFonts w:ascii="Times New Roman" w:hAnsi="Times New Roman" w:cs="Times New Roman"/>
          <w:b/>
        </w:rPr>
        <w:t>Jurisdiction Over</w:t>
      </w:r>
      <w:r w:rsidRPr="00F55D98">
        <w:rPr>
          <w:rFonts w:ascii="Times New Roman" w:hAnsi="Times New Roman" w:cs="Times New Roman"/>
          <w:b/>
        </w:rPr>
        <w:t xml:space="preserve"> </w:t>
      </w:r>
      <w:r>
        <w:rPr>
          <w:rFonts w:ascii="Times New Roman" w:hAnsi="Times New Roman" w:cs="Times New Roman"/>
          <w:b/>
        </w:rPr>
        <w:t>The Rohingya Situation</w:t>
      </w:r>
    </w:p>
    <w:p w14:paraId="5E171B9B" w14:textId="77777777" w:rsidR="006D54E3" w:rsidRPr="00F55D98" w:rsidRDefault="006D54E3" w:rsidP="006D54E3">
      <w:pPr>
        <w:jc w:val="center"/>
        <w:rPr>
          <w:rFonts w:ascii="Times New Roman" w:hAnsi="Times New Roman" w:cs="Times New Roman"/>
          <w:b/>
        </w:rPr>
      </w:pPr>
      <w:r w:rsidRPr="00F55D98">
        <w:rPr>
          <w:rFonts w:ascii="Times New Roman" w:hAnsi="Times New Roman" w:cs="Times New Roman"/>
          <w:b/>
        </w:rPr>
        <w:t>By Dr Caleb H Wheeler</w:t>
      </w:r>
    </w:p>
    <w:p w14:paraId="378AE28D" w14:textId="77777777" w:rsidR="006D54E3" w:rsidRPr="00F55D98" w:rsidRDefault="006D54E3" w:rsidP="006D54E3">
      <w:pPr>
        <w:jc w:val="center"/>
        <w:rPr>
          <w:rFonts w:ascii="Times New Roman" w:hAnsi="Times New Roman" w:cs="Times New Roman"/>
          <w:b/>
        </w:rPr>
      </w:pPr>
      <w:r w:rsidRPr="00F55D98">
        <w:rPr>
          <w:rFonts w:ascii="Times New Roman" w:hAnsi="Times New Roman" w:cs="Times New Roman"/>
          <w:b/>
        </w:rPr>
        <w:t>c.h.wheeler@mdx.ac.uk</w:t>
      </w:r>
    </w:p>
    <w:p w14:paraId="6621FB82" w14:textId="77777777" w:rsidR="006D54E3" w:rsidRPr="00F55D98" w:rsidRDefault="006D54E3" w:rsidP="006D54E3">
      <w:pPr>
        <w:jc w:val="center"/>
        <w:rPr>
          <w:rFonts w:ascii="Times New Roman" w:hAnsi="Times New Roman" w:cs="Times New Roman"/>
          <w:b/>
        </w:rPr>
      </w:pPr>
      <w:r w:rsidRPr="00F55D98">
        <w:rPr>
          <w:rFonts w:ascii="Times New Roman" w:hAnsi="Times New Roman" w:cs="Times New Roman"/>
          <w:b/>
        </w:rPr>
        <w:t>Lecturer in Law, Middlesex University</w:t>
      </w:r>
    </w:p>
    <w:p w14:paraId="40BAA496" w14:textId="77777777" w:rsidR="006D54E3" w:rsidRPr="00F55D98" w:rsidRDefault="006D54E3" w:rsidP="006D54E3">
      <w:pPr>
        <w:jc w:val="center"/>
        <w:rPr>
          <w:rFonts w:ascii="Times New Roman" w:hAnsi="Times New Roman" w:cs="Times New Roman"/>
          <w:b/>
        </w:rPr>
      </w:pPr>
      <w:r w:rsidRPr="00F55D98">
        <w:rPr>
          <w:rFonts w:ascii="Times New Roman" w:hAnsi="Times New Roman" w:cs="Times New Roman"/>
          <w:b/>
        </w:rPr>
        <w:t>The Burroughs</w:t>
      </w:r>
    </w:p>
    <w:p w14:paraId="5348D9B8" w14:textId="77777777" w:rsidR="006D54E3" w:rsidRDefault="006D54E3" w:rsidP="006D54E3">
      <w:pPr>
        <w:jc w:val="center"/>
        <w:rPr>
          <w:rFonts w:ascii="Times New Roman" w:hAnsi="Times New Roman" w:cs="Times New Roman"/>
          <w:b/>
        </w:rPr>
      </w:pPr>
      <w:r w:rsidRPr="00F55D98">
        <w:rPr>
          <w:rFonts w:ascii="Times New Roman" w:hAnsi="Times New Roman" w:cs="Times New Roman"/>
          <w:b/>
        </w:rPr>
        <w:t>London</w:t>
      </w:r>
      <w:r>
        <w:rPr>
          <w:rFonts w:ascii="Times New Roman" w:hAnsi="Times New Roman" w:cs="Times New Roman"/>
          <w:b/>
        </w:rPr>
        <w:t>,</w:t>
      </w:r>
      <w:r w:rsidRPr="00F55D98">
        <w:rPr>
          <w:rFonts w:ascii="Times New Roman" w:hAnsi="Times New Roman" w:cs="Times New Roman"/>
          <w:b/>
        </w:rPr>
        <w:t xml:space="preserve"> NW4 4BT </w:t>
      </w:r>
    </w:p>
    <w:p w14:paraId="2CD54FC5" w14:textId="77777777" w:rsidR="006D54E3" w:rsidRPr="00F55D98" w:rsidRDefault="006D54E3" w:rsidP="006D54E3">
      <w:pPr>
        <w:jc w:val="center"/>
        <w:rPr>
          <w:rFonts w:ascii="Times New Roman" w:hAnsi="Times New Roman" w:cs="Times New Roman"/>
          <w:b/>
        </w:rPr>
      </w:pPr>
      <w:r>
        <w:rPr>
          <w:rFonts w:ascii="Times New Roman" w:hAnsi="Times New Roman" w:cs="Times New Roman"/>
          <w:b/>
        </w:rPr>
        <w:t>United Kingdom</w:t>
      </w:r>
    </w:p>
    <w:p w14:paraId="0E620FF0" w14:textId="77777777" w:rsidR="006D54E3" w:rsidRDefault="006D54E3" w:rsidP="006D54E3"/>
    <w:p w14:paraId="630A15B8" w14:textId="77777777" w:rsidR="006D54E3" w:rsidRDefault="006D54E3" w:rsidP="006D54E3">
      <w:pPr>
        <w:ind w:firstLine="720"/>
        <w:jc w:val="both"/>
        <w:rPr>
          <w:rFonts w:ascii="Times New Roman" w:hAnsi="Times New Roman" w:cs="Times New Roman"/>
        </w:rPr>
      </w:pPr>
    </w:p>
    <w:p w14:paraId="14F02224" w14:textId="77777777" w:rsidR="006D54E3" w:rsidRDefault="006D54E3" w:rsidP="006D54E3">
      <w:pPr>
        <w:ind w:firstLine="720"/>
        <w:jc w:val="both"/>
        <w:rPr>
          <w:rFonts w:ascii="Times New Roman" w:hAnsi="Times New Roman" w:cs="Times New Roman"/>
        </w:rPr>
      </w:pPr>
    </w:p>
    <w:p w14:paraId="5B5A80F0" w14:textId="77777777" w:rsidR="006D54E3" w:rsidRDefault="006D54E3" w:rsidP="006D54E3">
      <w:pPr>
        <w:ind w:firstLine="720"/>
        <w:jc w:val="both"/>
        <w:rPr>
          <w:rFonts w:ascii="Times New Roman" w:hAnsi="Times New Roman" w:cs="Times New Roman"/>
        </w:rPr>
      </w:pPr>
    </w:p>
    <w:p w14:paraId="3A116A6E" w14:textId="77777777" w:rsidR="006D54E3" w:rsidRDefault="006D54E3" w:rsidP="006D54E3">
      <w:pPr>
        <w:ind w:firstLine="720"/>
        <w:jc w:val="both"/>
        <w:rPr>
          <w:rFonts w:ascii="Times New Roman" w:hAnsi="Times New Roman" w:cs="Times New Roman"/>
        </w:rPr>
      </w:pPr>
    </w:p>
    <w:p w14:paraId="492CBF60" w14:textId="77777777" w:rsidR="006D54E3" w:rsidRDefault="006D54E3" w:rsidP="006D54E3">
      <w:pPr>
        <w:ind w:firstLine="720"/>
        <w:jc w:val="both"/>
        <w:rPr>
          <w:rFonts w:ascii="Times New Roman" w:hAnsi="Times New Roman" w:cs="Times New Roman"/>
        </w:rPr>
      </w:pPr>
    </w:p>
    <w:p w14:paraId="54B68F4E" w14:textId="77777777" w:rsidR="006D54E3" w:rsidRDefault="006D54E3" w:rsidP="006D54E3">
      <w:pPr>
        <w:ind w:firstLine="720"/>
        <w:jc w:val="both"/>
        <w:rPr>
          <w:rFonts w:ascii="Times New Roman" w:hAnsi="Times New Roman" w:cs="Times New Roman"/>
        </w:rPr>
      </w:pPr>
    </w:p>
    <w:p w14:paraId="7AA47D79" w14:textId="77777777" w:rsidR="006D54E3" w:rsidRDefault="006D54E3" w:rsidP="006D54E3">
      <w:pPr>
        <w:ind w:firstLine="720"/>
        <w:jc w:val="both"/>
        <w:rPr>
          <w:rFonts w:ascii="Times New Roman" w:hAnsi="Times New Roman" w:cs="Times New Roman"/>
        </w:rPr>
      </w:pPr>
    </w:p>
    <w:p w14:paraId="136E7881" w14:textId="77777777" w:rsidR="006D54E3" w:rsidRDefault="006D54E3" w:rsidP="006D54E3">
      <w:pPr>
        <w:ind w:firstLine="720"/>
        <w:jc w:val="both"/>
        <w:rPr>
          <w:rFonts w:ascii="Times New Roman" w:hAnsi="Times New Roman" w:cs="Times New Roman"/>
        </w:rPr>
      </w:pPr>
    </w:p>
    <w:p w14:paraId="1011B5EC" w14:textId="77777777" w:rsidR="006D54E3" w:rsidRDefault="006D54E3" w:rsidP="006D54E3">
      <w:pPr>
        <w:ind w:firstLine="720"/>
        <w:jc w:val="both"/>
        <w:rPr>
          <w:rFonts w:ascii="Times New Roman" w:hAnsi="Times New Roman" w:cs="Times New Roman"/>
        </w:rPr>
      </w:pPr>
    </w:p>
    <w:p w14:paraId="127CD609" w14:textId="77777777" w:rsidR="006D54E3" w:rsidRDefault="006D54E3" w:rsidP="006D54E3">
      <w:pPr>
        <w:ind w:firstLine="720"/>
        <w:jc w:val="both"/>
        <w:rPr>
          <w:rFonts w:ascii="Times New Roman" w:hAnsi="Times New Roman" w:cs="Times New Roman"/>
        </w:rPr>
      </w:pPr>
    </w:p>
    <w:p w14:paraId="5A2BCCB1" w14:textId="77777777" w:rsidR="006D54E3" w:rsidRDefault="006D54E3" w:rsidP="006D54E3">
      <w:pPr>
        <w:ind w:firstLine="720"/>
        <w:jc w:val="both"/>
        <w:rPr>
          <w:rFonts w:ascii="Times New Roman" w:hAnsi="Times New Roman" w:cs="Times New Roman"/>
        </w:rPr>
      </w:pPr>
    </w:p>
    <w:p w14:paraId="5D588FB2" w14:textId="77777777" w:rsidR="006D54E3" w:rsidRDefault="006D54E3" w:rsidP="006D54E3">
      <w:pPr>
        <w:ind w:firstLine="720"/>
        <w:jc w:val="both"/>
        <w:rPr>
          <w:rFonts w:ascii="Times New Roman" w:hAnsi="Times New Roman" w:cs="Times New Roman"/>
        </w:rPr>
      </w:pPr>
    </w:p>
    <w:p w14:paraId="298D80FF" w14:textId="77777777" w:rsidR="006D54E3" w:rsidRDefault="006D54E3" w:rsidP="006D54E3">
      <w:pPr>
        <w:ind w:firstLine="720"/>
        <w:jc w:val="both"/>
        <w:rPr>
          <w:rFonts w:ascii="Times New Roman" w:hAnsi="Times New Roman" w:cs="Times New Roman"/>
        </w:rPr>
      </w:pPr>
    </w:p>
    <w:p w14:paraId="349A8E9B" w14:textId="77777777" w:rsidR="006D54E3" w:rsidRDefault="006D54E3" w:rsidP="006D54E3">
      <w:pPr>
        <w:ind w:firstLine="720"/>
        <w:jc w:val="both"/>
        <w:rPr>
          <w:rFonts w:ascii="Times New Roman" w:hAnsi="Times New Roman" w:cs="Times New Roman"/>
        </w:rPr>
      </w:pPr>
    </w:p>
    <w:p w14:paraId="285D8D3A" w14:textId="77777777" w:rsidR="006D54E3" w:rsidRDefault="006D54E3" w:rsidP="006D54E3">
      <w:pPr>
        <w:ind w:firstLine="720"/>
        <w:jc w:val="both"/>
        <w:rPr>
          <w:rFonts w:ascii="Times New Roman" w:hAnsi="Times New Roman" w:cs="Times New Roman"/>
        </w:rPr>
      </w:pPr>
    </w:p>
    <w:p w14:paraId="27FFB766" w14:textId="77777777" w:rsidR="006D54E3" w:rsidRDefault="006D54E3" w:rsidP="006D54E3">
      <w:pPr>
        <w:ind w:firstLine="720"/>
        <w:jc w:val="both"/>
        <w:rPr>
          <w:rFonts w:ascii="Times New Roman" w:hAnsi="Times New Roman" w:cs="Times New Roman"/>
        </w:rPr>
      </w:pPr>
    </w:p>
    <w:p w14:paraId="182B88EB" w14:textId="77777777" w:rsidR="006D54E3" w:rsidRDefault="006D54E3" w:rsidP="006D54E3">
      <w:pPr>
        <w:ind w:firstLine="720"/>
        <w:jc w:val="both"/>
        <w:rPr>
          <w:rFonts w:ascii="Times New Roman" w:hAnsi="Times New Roman" w:cs="Times New Roman"/>
        </w:rPr>
      </w:pPr>
    </w:p>
    <w:p w14:paraId="59305013" w14:textId="77777777" w:rsidR="006D54E3" w:rsidRDefault="006D54E3" w:rsidP="006D54E3">
      <w:pPr>
        <w:ind w:firstLine="720"/>
        <w:jc w:val="both"/>
        <w:rPr>
          <w:rFonts w:ascii="Times New Roman" w:hAnsi="Times New Roman" w:cs="Times New Roman"/>
        </w:rPr>
      </w:pPr>
    </w:p>
    <w:p w14:paraId="2D7CC54A" w14:textId="77777777" w:rsidR="006D54E3" w:rsidRDefault="006D54E3" w:rsidP="006D54E3">
      <w:pPr>
        <w:ind w:firstLine="720"/>
        <w:jc w:val="both"/>
        <w:rPr>
          <w:rFonts w:ascii="Times New Roman" w:hAnsi="Times New Roman" w:cs="Times New Roman"/>
        </w:rPr>
      </w:pPr>
    </w:p>
    <w:p w14:paraId="26A9804D" w14:textId="77777777" w:rsidR="006D54E3" w:rsidRDefault="006D54E3" w:rsidP="006D54E3">
      <w:pPr>
        <w:ind w:firstLine="720"/>
        <w:jc w:val="both"/>
        <w:rPr>
          <w:rFonts w:ascii="Times New Roman" w:hAnsi="Times New Roman" w:cs="Times New Roman"/>
        </w:rPr>
      </w:pPr>
    </w:p>
    <w:p w14:paraId="4FABCA56" w14:textId="77777777" w:rsidR="006D54E3" w:rsidRDefault="006D54E3" w:rsidP="006D54E3">
      <w:pPr>
        <w:ind w:firstLine="720"/>
        <w:jc w:val="both"/>
        <w:rPr>
          <w:rFonts w:ascii="Times New Roman" w:hAnsi="Times New Roman" w:cs="Times New Roman"/>
        </w:rPr>
      </w:pPr>
    </w:p>
    <w:p w14:paraId="0C7E2035" w14:textId="77777777" w:rsidR="006D54E3" w:rsidRDefault="006D54E3" w:rsidP="006D54E3">
      <w:pPr>
        <w:ind w:firstLine="720"/>
        <w:jc w:val="both"/>
        <w:rPr>
          <w:rFonts w:ascii="Times New Roman" w:hAnsi="Times New Roman" w:cs="Times New Roman"/>
        </w:rPr>
      </w:pPr>
    </w:p>
    <w:p w14:paraId="5DA6585C" w14:textId="77777777" w:rsidR="006D54E3" w:rsidRDefault="006D54E3" w:rsidP="006D54E3">
      <w:pPr>
        <w:ind w:firstLine="720"/>
        <w:jc w:val="both"/>
        <w:rPr>
          <w:rFonts w:ascii="Times New Roman" w:hAnsi="Times New Roman" w:cs="Times New Roman"/>
        </w:rPr>
      </w:pPr>
    </w:p>
    <w:p w14:paraId="5198A9B9" w14:textId="77777777" w:rsidR="006D54E3" w:rsidRDefault="006D54E3" w:rsidP="006D54E3">
      <w:pPr>
        <w:ind w:firstLine="720"/>
        <w:jc w:val="both"/>
        <w:rPr>
          <w:rFonts w:ascii="Times New Roman" w:hAnsi="Times New Roman" w:cs="Times New Roman"/>
        </w:rPr>
      </w:pPr>
    </w:p>
    <w:p w14:paraId="68B3F20D" w14:textId="77777777" w:rsidR="006D54E3" w:rsidRDefault="006D54E3" w:rsidP="006D54E3">
      <w:pPr>
        <w:ind w:firstLine="720"/>
        <w:jc w:val="both"/>
        <w:rPr>
          <w:rFonts w:ascii="Times New Roman" w:hAnsi="Times New Roman" w:cs="Times New Roman"/>
        </w:rPr>
      </w:pPr>
    </w:p>
    <w:p w14:paraId="5A59C060" w14:textId="77777777" w:rsidR="006D54E3" w:rsidRDefault="006D54E3" w:rsidP="006D54E3">
      <w:pPr>
        <w:ind w:firstLine="720"/>
        <w:jc w:val="both"/>
        <w:rPr>
          <w:rFonts w:ascii="Times New Roman" w:hAnsi="Times New Roman" w:cs="Times New Roman"/>
        </w:rPr>
      </w:pPr>
    </w:p>
    <w:p w14:paraId="4036130B" w14:textId="77777777" w:rsidR="006D54E3" w:rsidRDefault="006D54E3" w:rsidP="006D54E3">
      <w:pPr>
        <w:ind w:firstLine="720"/>
        <w:jc w:val="both"/>
        <w:rPr>
          <w:rFonts w:ascii="Times New Roman" w:hAnsi="Times New Roman" w:cs="Times New Roman"/>
        </w:rPr>
      </w:pPr>
    </w:p>
    <w:p w14:paraId="7585639C" w14:textId="77777777" w:rsidR="006D54E3" w:rsidRDefault="006D54E3" w:rsidP="006D54E3">
      <w:pPr>
        <w:ind w:firstLine="720"/>
        <w:jc w:val="both"/>
        <w:rPr>
          <w:rFonts w:ascii="Times New Roman" w:hAnsi="Times New Roman" w:cs="Times New Roman"/>
        </w:rPr>
      </w:pPr>
    </w:p>
    <w:p w14:paraId="194B56FA" w14:textId="77777777" w:rsidR="006D54E3" w:rsidRDefault="006D54E3" w:rsidP="006D54E3">
      <w:pPr>
        <w:ind w:firstLine="720"/>
        <w:jc w:val="both"/>
        <w:rPr>
          <w:rFonts w:ascii="Times New Roman" w:hAnsi="Times New Roman" w:cs="Times New Roman"/>
        </w:rPr>
      </w:pPr>
    </w:p>
    <w:p w14:paraId="7A547FAC" w14:textId="77777777" w:rsidR="006D54E3" w:rsidRDefault="006D54E3" w:rsidP="006D54E3">
      <w:pPr>
        <w:ind w:firstLine="720"/>
        <w:jc w:val="both"/>
        <w:rPr>
          <w:rFonts w:ascii="Times New Roman" w:hAnsi="Times New Roman" w:cs="Times New Roman"/>
        </w:rPr>
      </w:pPr>
    </w:p>
    <w:p w14:paraId="16B2D4EF" w14:textId="77777777" w:rsidR="006D54E3" w:rsidRDefault="006D54E3" w:rsidP="006D54E3">
      <w:pPr>
        <w:ind w:firstLine="720"/>
        <w:jc w:val="both"/>
        <w:rPr>
          <w:rFonts w:ascii="Times New Roman" w:hAnsi="Times New Roman" w:cs="Times New Roman"/>
        </w:rPr>
      </w:pPr>
    </w:p>
    <w:p w14:paraId="659F9A95" w14:textId="77777777" w:rsidR="006D54E3" w:rsidRDefault="006D54E3" w:rsidP="006D54E3">
      <w:pPr>
        <w:ind w:firstLine="720"/>
        <w:jc w:val="both"/>
        <w:rPr>
          <w:rFonts w:ascii="Times New Roman" w:hAnsi="Times New Roman" w:cs="Times New Roman"/>
        </w:rPr>
      </w:pPr>
    </w:p>
    <w:p w14:paraId="36FA2417" w14:textId="77777777" w:rsidR="006D54E3" w:rsidRDefault="006D54E3" w:rsidP="006D54E3">
      <w:pPr>
        <w:ind w:firstLine="720"/>
        <w:jc w:val="both"/>
        <w:rPr>
          <w:rFonts w:ascii="Times New Roman" w:hAnsi="Times New Roman" w:cs="Times New Roman"/>
        </w:rPr>
      </w:pPr>
    </w:p>
    <w:p w14:paraId="354757A7" w14:textId="77777777" w:rsidR="006D54E3" w:rsidRDefault="006D54E3" w:rsidP="006D54E3">
      <w:pPr>
        <w:ind w:firstLine="720"/>
        <w:jc w:val="both"/>
        <w:rPr>
          <w:rFonts w:ascii="Times New Roman" w:hAnsi="Times New Roman" w:cs="Times New Roman"/>
        </w:rPr>
      </w:pPr>
    </w:p>
    <w:p w14:paraId="0CFA7E95" w14:textId="77777777" w:rsidR="006D54E3" w:rsidRDefault="006D54E3" w:rsidP="006D54E3">
      <w:pPr>
        <w:ind w:firstLine="720"/>
        <w:jc w:val="both"/>
        <w:rPr>
          <w:rFonts w:ascii="Times New Roman" w:hAnsi="Times New Roman" w:cs="Times New Roman"/>
        </w:rPr>
      </w:pPr>
    </w:p>
    <w:p w14:paraId="00D6D69A" w14:textId="77777777" w:rsidR="006D54E3" w:rsidRDefault="006D54E3" w:rsidP="006D54E3">
      <w:pPr>
        <w:ind w:firstLine="720"/>
        <w:jc w:val="both"/>
        <w:rPr>
          <w:rFonts w:ascii="Times New Roman" w:hAnsi="Times New Roman" w:cs="Times New Roman"/>
        </w:rPr>
      </w:pPr>
    </w:p>
    <w:p w14:paraId="4CF37576" w14:textId="77777777" w:rsidR="006D54E3" w:rsidRDefault="006D54E3" w:rsidP="006D54E3">
      <w:pPr>
        <w:ind w:firstLine="720"/>
        <w:jc w:val="both"/>
        <w:rPr>
          <w:rFonts w:ascii="Times New Roman" w:hAnsi="Times New Roman" w:cs="Times New Roman"/>
        </w:rPr>
      </w:pPr>
    </w:p>
    <w:p w14:paraId="32EE0D74" w14:textId="77777777" w:rsidR="006D54E3" w:rsidRDefault="006D54E3" w:rsidP="006D54E3">
      <w:pPr>
        <w:ind w:firstLine="720"/>
        <w:jc w:val="both"/>
        <w:rPr>
          <w:rFonts w:ascii="Times New Roman" w:hAnsi="Times New Roman" w:cs="Times New Roman"/>
        </w:rPr>
      </w:pPr>
    </w:p>
    <w:p w14:paraId="7186FB6C" w14:textId="77777777" w:rsidR="006D54E3" w:rsidRDefault="006D54E3" w:rsidP="006D54E3">
      <w:pPr>
        <w:ind w:firstLine="720"/>
        <w:jc w:val="both"/>
        <w:rPr>
          <w:rFonts w:ascii="Times New Roman" w:hAnsi="Times New Roman" w:cs="Times New Roman"/>
        </w:rPr>
      </w:pPr>
    </w:p>
    <w:p w14:paraId="626847BB" w14:textId="77777777" w:rsidR="006D54E3" w:rsidRDefault="006D54E3" w:rsidP="006D54E3">
      <w:pPr>
        <w:ind w:firstLine="720"/>
        <w:jc w:val="both"/>
        <w:rPr>
          <w:rFonts w:ascii="Times New Roman" w:hAnsi="Times New Roman" w:cs="Times New Roman"/>
        </w:rPr>
      </w:pPr>
    </w:p>
    <w:p w14:paraId="47B80DF1" w14:textId="77777777" w:rsidR="006D54E3" w:rsidRDefault="006D54E3" w:rsidP="006D54E3">
      <w:pPr>
        <w:rPr>
          <w:rFonts w:ascii="Times New Roman" w:hAnsi="Times New Roman" w:cs="Times New Roman"/>
          <w:b/>
          <w:u w:val="single"/>
        </w:rPr>
      </w:pPr>
    </w:p>
    <w:p w14:paraId="7AFBA659" w14:textId="77777777" w:rsidR="006D54E3" w:rsidRDefault="006D54E3" w:rsidP="006D54E3">
      <w:pPr>
        <w:jc w:val="center"/>
        <w:rPr>
          <w:rFonts w:ascii="Times New Roman" w:hAnsi="Times New Roman" w:cs="Times New Roman"/>
          <w:b/>
          <w:u w:val="single"/>
        </w:rPr>
      </w:pPr>
      <w:r w:rsidRPr="00F55D98">
        <w:rPr>
          <w:rFonts w:ascii="Times New Roman" w:hAnsi="Times New Roman" w:cs="Times New Roman"/>
          <w:b/>
          <w:u w:val="single"/>
        </w:rPr>
        <w:lastRenderedPageBreak/>
        <w:t>Abstract</w:t>
      </w:r>
    </w:p>
    <w:p w14:paraId="23298F55" w14:textId="77777777" w:rsidR="006D54E3" w:rsidRPr="00F55D98" w:rsidRDefault="006D54E3" w:rsidP="006D54E3">
      <w:pPr>
        <w:ind w:firstLine="720"/>
        <w:jc w:val="center"/>
        <w:rPr>
          <w:rFonts w:ascii="Times New Roman" w:hAnsi="Times New Roman" w:cs="Times New Roman"/>
          <w:b/>
          <w:u w:val="single"/>
        </w:rPr>
      </w:pPr>
    </w:p>
    <w:p w14:paraId="0C6C720B" w14:textId="77777777" w:rsidR="006D54E3" w:rsidRDefault="006D54E3" w:rsidP="006D54E3">
      <w:pPr>
        <w:ind w:firstLine="720"/>
        <w:jc w:val="both"/>
        <w:rPr>
          <w:rFonts w:ascii="Times New Roman" w:hAnsi="Times New Roman" w:cs="Times New Roman"/>
        </w:rPr>
      </w:pPr>
      <w:r w:rsidRPr="00F55D98">
        <w:rPr>
          <w:rFonts w:ascii="Times New Roman" w:hAnsi="Times New Roman" w:cs="Times New Roman"/>
        </w:rPr>
        <w:t>In September 2018, Pre-Trial Chamber I of the International Criminal Court reached a decision that could profoundly impact accountability for transn</w:t>
      </w:r>
      <w:r>
        <w:rPr>
          <w:rFonts w:ascii="Times New Roman" w:hAnsi="Times New Roman" w:cs="Times New Roman"/>
        </w:rPr>
        <w:t xml:space="preserve">ational human rights violations. </w:t>
      </w:r>
      <w:r w:rsidRPr="00F55D98">
        <w:rPr>
          <w:rFonts w:ascii="Times New Roman" w:hAnsi="Times New Roman" w:cs="Times New Roman"/>
        </w:rPr>
        <w:t>In its decision, the Pre-Trial Chamber found that it has jurisdiction over the crime against humanity of deportation as it relates to the government of Myanmar’s treatment of the Rohingya ethnic group. This decision is remarkable for the fact that Myanmar is not a state party to the Rome Statute and therefore</w:t>
      </w:r>
      <w:r>
        <w:rPr>
          <w:rFonts w:ascii="Times New Roman" w:hAnsi="Times New Roman" w:cs="Times New Roman"/>
        </w:rPr>
        <w:t xml:space="preserve"> not directly subject to the International Criminal Court</w:t>
      </w:r>
      <w:r w:rsidRPr="00F55D98">
        <w:rPr>
          <w:rFonts w:ascii="Times New Roman" w:hAnsi="Times New Roman" w:cs="Times New Roman"/>
        </w:rPr>
        <w:t>’s Statute. The Court circu</w:t>
      </w:r>
      <w:r>
        <w:rPr>
          <w:rFonts w:ascii="Times New Roman" w:hAnsi="Times New Roman" w:cs="Times New Roman"/>
        </w:rPr>
        <w:t>mvented this problem by ruling</w:t>
      </w:r>
      <w:r w:rsidRPr="00F55D98">
        <w:rPr>
          <w:rFonts w:ascii="Times New Roman" w:hAnsi="Times New Roman" w:cs="Times New Roman"/>
        </w:rPr>
        <w:t xml:space="preserve"> that a portion of the crime was committed in Bangladesh permitting the exercise jurisdiction in this matter. </w:t>
      </w:r>
      <w:r>
        <w:rPr>
          <w:rFonts w:ascii="Times New Roman" w:hAnsi="Times New Roman" w:cs="Times New Roman"/>
        </w:rPr>
        <w:t>This article</w:t>
      </w:r>
      <w:r w:rsidRPr="00F55D98">
        <w:rPr>
          <w:rFonts w:ascii="Times New Roman" w:hAnsi="Times New Roman" w:cs="Times New Roman"/>
        </w:rPr>
        <w:t xml:space="preserve"> endeavours to accomplish two goals. First, it </w:t>
      </w:r>
      <w:r>
        <w:rPr>
          <w:rFonts w:ascii="Times New Roman" w:hAnsi="Times New Roman" w:cs="Times New Roman"/>
        </w:rPr>
        <w:t>analyses</w:t>
      </w:r>
      <w:r w:rsidRPr="00F55D98">
        <w:rPr>
          <w:rFonts w:ascii="Times New Roman" w:hAnsi="Times New Roman" w:cs="Times New Roman"/>
        </w:rPr>
        <w:t xml:space="preserve"> the Pre-Trial Chamber’s ruling to determine whether it complies with the Rome Statute and international law. Second, it will discuss the ramifications of the decision and consider whether it can act as a partial solution for addressing transnational human rights violations being committed in the territory </w:t>
      </w:r>
      <w:r>
        <w:rPr>
          <w:rFonts w:ascii="Times New Roman" w:hAnsi="Times New Roman" w:cs="Times New Roman"/>
        </w:rPr>
        <w:t>of non-states parties. The article concludes</w:t>
      </w:r>
      <w:r w:rsidRPr="00F55D98">
        <w:rPr>
          <w:rFonts w:ascii="Times New Roman" w:hAnsi="Times New Roman" w:cs="Times New Roman"/>
        </w:rPr>
        <w:t xml:space="preserve"> that the decision itself is </w:t>
      </w:r>
      <w:r>
        <w:rPr>
          <w:rFonts w:ascii="Times New Roman" w:hAnsi="Times New Roman" w:cs="Times New Roman"/>
        </w:rPr>
        <w:t>open to question, creating a danger that it will be susceptible to challenge. The International Criminal Court needs to ensure that these sorts of controversial decisions have a firm legal foundation to better deliver justice to the victims of atrocity crimes and to protect the Court from criticism that it is failing victims.</w:t>
      </w:r>
    </w:p>
    <w:p w14:paraId="375FD262" w14:textId="77777777" w:rsidR="006D54E3" w:rsidRDefault="006D54E3" w:rsidP="006D54E3">
      <w:pPr>
        <w:jc w:val="both"/>
        <w:rPr>
          <w:rFonts w:ascii="Times New Roman" w:hAnsi="Times New Roman" w:cs="Times New Roman"/>
        </w:rPr>
      </w:pPr>
    </w:p>
    <w:p w14:paraId="7216D0E4" w14:textId="77777777" w:rsidR="006D54E3" w:rsidRDefault="006D54E3" w:rsidP="006D54E3">
      <w:pPr>
        <w:jc w:val="both"/>
        <w:rPr>
          <w:rFonts w:ascii="Times New Roman" w:hAnsi="Times New Roman" w:cs="Times New Roman"/>
        </w:rPr>
      </w:pPr>
    </w:p>
    <w:p w14:paraId="7058AC1E" w14:textId="77777777" w:rsidR="006D54E3" w:rsidRDefault="006D54E3" w:rsidP="006D54E3">
      <w:pPr>
        <w:jc w:val="both"/>
        <w:rPr>
          <w:rFonts w:ascii="Times New Roman" w:hAnsi="Times New Roman" w:cs="Times New Roman"/>
        </w:rPr>
      </w:pPr>
    </w:p>
    <w:p w14:paraId="14CFED51" w14:textId="77777777" w:rsidR="006D54E3" w:rsidRDefault="006D54E3" w:rsidP="006D54E3">
      <w:pPr>
        <w:jc w:val="both"/>
        <w:rPr>
          <w:rFonts w:ascii="Times New Roman" w:hAnsi="Times New Roman" w:cs="Times New Roman"/>
        </w:rPr>
      </w:pPr>
    </w:p>
    <w:p w14:paraId="07CFFDFE" w14:textId="77777777" w:rsidR="006D54E3" w:rsidRDefault="006D54E3" w:rsidP="006D54E3">
      <w:pPr>
        <w:jc w:val="both"/>
        <w:rPr>
          <w:rFonts w:ascii="Times New Roman" w:hAnsi="Times New Roman" w:cs="Times New Roman"/>
        </w:rPr>
      </w:pPr>
    </w:p>
    <w:p w14:paraId="514FAA47" w14:textId="77777777" w:rsidR="006D54E3" w:rsidRDefault="006D54E3" w:rsidP="006D54E3">
      <w:pPr>
        <w:jc w:val="both"/>
        <w:rPr>
          <w:rFonts w:ascii="Times New Roman" w:hAnsi="Times New Roman" w:cs="Times New Roman"/>
        </w:rPr>
      </w:pPr>
    </w:p>
    <w:p w14:paraId="784437B0" w14:textId="77777777" w:rsidR="006D54E3" w:rsidRDefault="006D54E3" w:rsidP="006D54E3">
      <w:pPr>
        <w:jc w:val="both"/>
        <w:rPr>
          <w:rFonts w:ascii="Times New Roman" w:hAnsi="Times New Roman" w:cs="Times New Roman"/>
        </w:rPr>
      </w:pPr>
    </w:p>
    <w:p w14:paraId="6C19493B" w14:textId="77777777" w:rsidR="006D54E3" w:rsidRPr="00F55D98" w:rsidRDefault="006D54E3" w:rsidP="006D54E3">
      <w:pPr>
        <w:jc w:val="both"/>
        <w:rPr>
          <w:rFonts w:ascii="Times New Roman" w:hAnsi="Times New Roman" w:cs="Times New Roman"/>
        </w:rPr>
      </w:pPr>
      <w:r>
        <w:rPr>
          <w:rFonts w:ascii="Times New Roman" w:hAnsi="Times New Roman" w:cs="Times New Roman"/>
        </w:rPr>
        <w:t>Keywords: International Criminal Law; International Human Rights Law; International Criminal Court; Transnational Crimes; Rohingya; Jurisdiction</w:t>
      </w:r>
    </w:p>
    <w:p w14:paraId="211B44A9"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2E25D459"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7C5022B6"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29508BCA"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120F9EF9"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7C528115"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042EFF8A"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1A0DFCD2"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25A8B3CC"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540652BA"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11A09D90"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59C957AE"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1C359B29"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4F8E2B6A"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1C247234"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3D3DEF8F"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0C1C2369"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2E871A2F"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100448E8"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0F6D98DE"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7A8E330B" w14:textId="77777777" w:rsidR="006D54E3" w:rsidRDefault="006D54E3" w:rsidP="006D54E3">
      <w:pPr>
        <w:widowControl w:val="0"/>
        <w:autoSpaceDE w:val="0"/>
        <w:autoSpaceDN w:val="0"/>
        <w:adjustRightInd w:val="0"/>
        <w:rPr>
          <w:rFonts w:ascii="Times New Roman" w:hAnsi="Times New Roman" w:cs="Times New Roman"/>
          <w:b/>
          <w:color w:val="000000"/>
          <w:lang w:val="en-US"/>
        </w:rPr>
      </w:pPr>
    </w:p>
    <w:p w14:paraId="3C492841" w14:textId="77777777" w:rsidR="006D54E3" w:rsidRPr="00F55D98" w:rsidRDefault="006D54E3" w:rsidP="006D54E3">
      <w:pPr>
        <w:widowControl w:val="0"/>
        <w:autoSpaceDE w:val="0"/>
        <w:autoSpaceDN w:val="0"/>
        <w:adjustRightInd w:val="0"/>
        <w:spacing w:line="360" w:lineRule="auto"/>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Article</w:t>
      </w:r>
    </w:p>
    <w:p w14:paraId="5D9A17CF" w14:textId="07ADE401" w:rsidR="006D54E3" w:rsidRPr="00F55D98" w:rsidRDefault="0012284A" w:rsidP="006D54E3">
      <w:pPr>
        <w:spacing w:line="360" w:lineRule="auto"/>
        <w:jc w:val="both"/>
        <w:rPr>
          <w:rFonts w:ascii="Times New Roman" w:hAnsi="Times New Roman" w:cs="Times New Roman"/>
          <w:b/>
        </w:rPr>
      </w:pPr>
      <w:r>
        <w:rPr>
          <w:rFonts w:ascii="Times New Roman" w:hAnsi="Times New Roman" w:cs="Times New Roman"/>
          <w:b/>
        </w:rPr>
        <w:t>1</w:t>
      </w:r>
      <w:r w:rsidR="006D54E3">
        <w:rPr>
          <w:rFonts w:ascii="Times New Roman" w:hAnsi="Times New Roman" w:cs="Times New Roman"/>
          <w:b/>
        </w:rPr>
        <w:t>.</w:t>
      </w:r>
      <w:r w:rsidR="006D54E3">
        <w:rPr>
          <w:rFonts w:ascii="Times New Roman" w:hAnsi="Times New Roman" w:cs="Times New Roman"/>
          <w:b/>
        </w:rPr>
        <w:tab/>
        <w:t>Introduction</w:t>
      </w:r>
    </w:p>
    <w:p w14:paraId="7B904400" w14:textId="02A52625" w:rsidR="006D54E3" w:rsidRPr="00F55D98" w:rsidRDefault="006D54E3" w:rsidP="006D54E3">
      <w:pPr>
        <w:spacing w:line="360" w:lineRule="auto"/>
        <w:ind w:firstLine="720"/>
        <w:jc w:val="both"/>
        <w:rPr>
          <w:rFonts w:ascii="Times New Roman" w:hAnsi="Times New Roman" w:cs="Times New Roman"/>
        </w:rPr>
      </w:pPr>
      <w:r w:rsidRPr="00F55D98">
        <w:rPr>
          <w:rFonts w:ascii="Times New Roman" w:hAnsi="Times New Roman" w:cs="Times New Roman"/>
        </w:rPr>
        <w:t>In September 2018, Pre-Trial Chamber I of the International Criminal Court reached a decision that could profoundly impact accountability for transnational human rights violations. In its decision, the Pre-Trial Chamber found that it has jurisdiction over the crime against humanity of deportation as it relates to the government of Myanmar’s treatment of</w:t>
      </w:r>
      <w:r>
        <w:rPr>
          <w:rFonts w:ascii="Times New Roman" w:hAnsi="Times New Roman" w:cs="Times New Roman"/>
        </w:rPr>
        <w:t xml:space="preserve"> the Rohingya ethnic group. The</w:t>
      </w:r>
      <w:r w:rsidRPr="00F55D98">
        <w:rPr>
          <w:rFonts w:ascii="Times New Roman" w:hAnsi="Times New Roman" w:cs="Times New Roman"/>
        </w:rPr>
        <w:t xml:space="preserve"> decision is remarkable for the fact </w:t>
      </w:r>
      <w:r>
        <w:rPr>
          <w:rFonts w:ascii="Times New Roman" w:hAnsi="Times New Roman" w:cs="Times New Roman"/>
        </w:rPr>
        <w:t xml:space="preserve">that it permits the Court to exercise jurisdiction over members of the Burmese government for actions they performed entirely within the territory of Myanmar. </w:t>
      </w:r>
      <w:r w:rsidRPr="00F55D98">
        <w:rPr>
          <w:rFonts w:ascii="Times New Roman" w:hAnsi="Times New Roman" w:cs="Times New Roman"/>
        </w:rPr>
        <w:t>Myanmar is not a state party to the Rome Statute and therefo</w:t>
      </w:r>
      <w:r>
        <w:rPr>
          <w:rFonts w:ascii="Times New Roman" w:hAnsi="Times New Roman" w:cs="Times New Roman"/>
        </w:rPr>
        <w:t xml:space="preserve">re not directly subject to the Court’s </w:t>
      </w:r>
      <w:r w:rsidR="00553618">
        <w:rPr>
          <w:rFonts w:ascii="Times New Roman" w:hAnsi="Times New Roman" w:cs="Times New Roman"/>
        </w:rPr>
        <w:t>Statute. The Pre-Trial Chamber</w:t>
      </w:r>
      <w:r w:rsidRPr="00F55D98">
        <w:rPr>
          <w:rFonts w:ascii="Times New Roman" w:hAnsi="Times New Roman" w:cs="Times New Roman"/>
        </w:rPr>
        <w:t xml:space="preserve"> circumvented this problem by ruling that deportation is a crime that necessarily involves the displacement of </w:t>
      </w:r>
      <w:r>
        <w:rPr>
          <w:rFonts w:ascii="Times New Roman" w:hAnsi="Times New Roman" w:cs="Times New Roman"/>
        </w:rPr>
        <w:t>people</w:t>
      </w:r>
      <w:r w:rsidRPr="00F55D98">
        <w:rPr>
          <w:rFonts w:ascii="Times New Roman" w:hAnsi="Times New Roman" w:cs="Times New Roman"/>
        </w:rPr>
        <w:t xml:space="preserve"> across natio</w:t>
      </w:r>
      <w:r>
        <w:rPr>
          <w:rFonts w:ascii="Times New Roman" w:hAnsi="Times New Roman" w:cs="Times New Roman"/>
        </w:rPr>
        <w:t xml:space="preserve">nal borders, meaning that some element </w:t>
      </w:r>
      <w:r w:rsidRPr="00F55D98">
        <w:rPr>
          <w:rFonts w:ascii="Times New Roman" w:hAnsi="Times New Roman" w:cs="Times New Roman"/>
        </w:rPr>
        <w:t>of the crime takes place in more than one country. In this case, the Rohingya were displaced to Bangladesh, which is a state party to the Rome Statute. B</w:t>
      </w:r>
      <w:r w:rsidR="00553618">
        <w:rPr>
          <w:rFonts w:ascii="Times New Roman" w:hAnsi="Times New Roman" w:cs="Times New Roman"/>
        </w:rPr>
        <w:t>y virtue of that fact, the Pre-Trial Chamber</w:t>
      </w:r>
      <w:r w:rsidRPr="00F55D98">
        <w:rPr>
          <w:rFonts w:ascii="Times New Roman" w:hAnsi="Times New Roman" w:cs="Times New Roman"/>
        </w:rPr>
        <w:t xml:space="preserve"> ruled that a portion of the crime was committed </w:t>
      </w:r>
      <w:r>
        <w:rPr>
          <w:rFonts w:ascii="Times New Roman" w:hAnsi="Times New Roman" w:cs="Times New Roman"/>
        </w:rPr>
        <w:t>in Bangladesh permitting the International Criminal Court</w:t>
      </w:r>
      <w:r w:rsidRPr="00F55D98">
        <w:rPr>
          <w:rFonts w:ascii="Times New Roman" w:hAnsi="Times New Roman" w:cs="Times New Roman"/>
        </w:rPr>
        <w:t xml:space="preserve"> to exercise ju</w:t>
      </w:r>
      <w:r>
        <w:rPr>
          <w:rFonts w:ascii="Times New Roman" w:hAnsi="Times New Roman" w:cs="Times New Roman"/>
        </w:rPr>
        <w:t>risdiction in this matter. On the surface, this appears to be a positive development. It signifies the existence of a new approach for ending impunity for human rights violations by introducing the possibility of holding individuals liable that would otherwise have escaped accountability for their actions. Unfortunately, concerns about some of the legal underpinnings of the decision suggest that the decision may have been incorrectly decided. This raises the danger that the decision will be subject to challenge leading to the Rohingya once again being deprived of an opportunity for justice.</w:t>
      </w:r>
      <w:r w:rsidR="00114F82">
        <w:rPr>
          <w:rStyle w:val="FootnoteReference"/>
          <w:rFonts w:ascii="Times New Roman" w:hAnsi="Times New Roman" w:cs="Times New Roman"/>
        </w:rPr>
        <w:footnoteReference w:id="1"/>
      </w:r>
      <w:r>
        <w:rPr>
          <w:rFonts w:ascii="Times New Roman" w:hAnsi="Times New Roman" w:cs="Times New Roman"/>
        </w:rPr>
        <w:t xml:space="preserve">  </w:t>
      </w:r>
    </w:p>
    <w:p w14:paraId="688DB21A" w14:textId="05EF66C1" w:rsidR="006D54E3" w:rsidRPr="00F55D98" w:rsidRDefault="003A2E1F" w:rsidP="006D54E3">
      <w:pPr>
        <w:widowControl w:val="0"/>
        <w:autoSpaceDE w:val="0"/>
        <w:autoSpaceDN w:val="0"/>
        <w:adjustRightInd w:val="0"/>
        <w:spacing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t>2</w:t>
      </w:r>
      <w:r w:rsidR="006D54E3">
        <w:rPr>
          <w:rFonts w:ascii="Times New Roman" w:hAnsi="Times New Roman" w:cs="Times New Roman"/>
          <w:b/>
          <w:color w:val="000000"/>
          <w:lang w:val="en-US"/>
        </w:rPr>
        <w:t>.</w:t>
      </w:r>
      <w:r w:rsidR="006D54E3">
        <w:rPr>
          <w:rFonts w:ascii="Times New Roman" w:hAnsi="Times New Roman" w:cs="Times New Roman"/>
          <w:b/>
          <w:color w:val="000000"/>
          <w:lang w:val="en-US"/>
        </w:rPr>
        <w:tab/>
        <w:t>Background</w:t>
      </w:r>
    </w:p>
    <w:p w14:paraId="1EF68443" w14:textId="77777777" w:rsidR="006D54E3" w:rsidRDefault="006D54E3" w:rsidP="006D54E3">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ab/>
        <w:t>The Rohingya living in Myanmar’s Rakhine state have been the target of widespread state-sponsored violence since at least 1978.</w:t>
      </w:r>
      <w:r>
        <w:rPr>
          <w:rStyle w:val="FootnoteReference"/>
          <w:rFonts w:ascii="Times New Roman" w:hAnsi="Times New Roman" w:cs="Times New Roman"/>
          <w:color w:val="000000"/>
          <w:lang w:val="en-US"/>
        </w:rPr>
        <w:footnoteReference w:id="2"/>
      </w:r>
      <w:r>
        <w:rPr>
          <w:rFonts w:ascii="Times New Roman" w:hAnsi="Times New Roman" w:cs="Times New Roman"/>
          <w:color w:val="000000"/>
          <w:lang w:val="en-US"/>
        </w:rPr>
        <w:t xml:space="preserve"> This campaign of violence is the result of a pervasive belief amongst the government, state-controlled media and much of the population of Myanmar that the Rohingya are illegal ‘Bengali’ immigrants who threaten national security.</w:t>
      </w:r>
      <w:r>
        <w:rPr>
          <w:rStyle w:val="FootnoteReference"/>
          <w:rFonts w:ascii="Times New Roman" w:hAnsi="Times New Roman" w:cs="Times New Roman"/>
          <w:color w:val="000000"/>
          <w:lang w:val="en-US"/>
        </w:rPr>
        <w:footnoteReference w:id="3"/>
      </w:r>
      <w:r>
        <w:rPr>
          <w:rFonts w:ascii="Times New Roman" w:hAnsi="Times New Roman" w:cs="Times New Roman"/>
          <w:color w:val="000000"/>
          <w:lang w:val="en-US"/>
        </w:rPr>
        <w:t xml:space="preserve"> The Burma Citizenship Law of 1982 exacerbates this idea by effectively excluding the Rohingya from recognition as citizens of Myanmar. The law specifically identifies eight ethnic groups whose members are eligible for citizenship.</w:t>
      </w:r>
      <w:r>
        <w:rPr>
          <w:rStyle w:val="FootnoteReference"/>
          <w:rFonts w:ascii="Times New Roman" w:hAnsi="Times New Roman" w:cs="Times New Roman"/>
          <w:color w:val="000000"/>
          <w:lang w:val="en-US"/>
        </w:rPr>
        <w:footnoteReference w:id="4"/>
      </w:r>
      <w:r>
        <w:rPr>
          <w:rFonts w:ascii="Times New Roman" w:hAnsi="Times New Roman" w:cs="Times New Roman"/>
          <w:color w:val="000000"/>
          <w:lang w:val="en-US"/>
        </w:rPr>
        <w:t xml:space="preserve"> Those ethnic groups can be further divided into 135 national races, the members of which can be considered citizens of Myanmar.</w:t>
      </w:r>
      <w:r>
        <w:rPr>
          <w:rStyle w:val="FootnoteReference"/>
          <w:rFonts w:ascii="Times New Roman" w:hAnsi="Times New Roman" w:cs="Times New Roman"/>
          <w:color w:val="000000"/>
          <w:lang w:val="en-US"/>
        </w:rPr>
        <w:footnoteReference w:id="5"/>
      </w:r>
      <w:r>
        <w:rPr>
          <w:rFonts w:ascii="Times New Roman" w:hAnsi="Times New Roman" w:cs="Times New Roman"/>
          <w:color w:val="000000"/>
          <w:lang w:val="en-US"/>
        </w:rPr>
        <w:t xml:space="preserve"> The Rohingya are not one of these 135 groups, meaning that they are largely barred from citizenship and the rights associated with that status.</w:t>
      </w:r>
      <w:r>
        <w:rPr>
          <w:rStyle w:val="FootnoteReference"/>
          <w:rFonts w:ascii="Times New Roman" w:hAnsi="Times New Roman" w:cs="Times New Roman"/>
          <w:color w:val="000000"/>
          <w:lang w:val="en-US"/>
        </w:rPr>
        <w:footnoteReference w:id="6"/>
      </w:r>
    </w:p>
    <w:p w14:paraId="723CB8A2" w14:textId="77777777" w:rsidR="006D54E3" w:rsidRDefault="006D54E3" w:rsidP="006D54E3">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ab/>
        <w:t>In 2012, there was an uptick in military-perpetrated violence against the Rohingya.</w:t>
      </w:r>
      <w:r>
        <w:rPr>
          <w:rStyle w:val="FootnoteReference"/>
          <w:rFonts w:ascii="Times New Roman" w:hAnsi="Times New Roman" w:cs="Times New Roman"/>
          <w:color w:val="000000"/>
          <w:lang w:val="en-US"/>
        </w:rPr>
        <w:footnoteReference w:id="7"/>
      </w:r>
      <w:r>
        <w:rPr>
          <w:rFonts w:ascii="Times New Roman" w:hAnsi="Times New Roman" w:cs="Times New Roman"/>
          <w:color w:val="000000"/>
          <w:lang w:val="en-US"/>
        </w:rPr>
        <w:t xml:space="preserve"> This renewed period of unrest started as reprisal attacks following the gang rape and murder of a Rakhine woman by a group of three Rohingya men.</w:t>
      </w:r>
      <w:r>
        <w:rPr>
          <w:rStyle w:val="FootnoteReference"/>
          <w:rFonts w:ascii="Times New Roman" w:hAnsi="Times New Roman" w:cs="Times New Roman"/>
          <w:color w:val="000000"/>
          <w:lang w:val="en-US"/>
        </w:rPr>
        <w:footnoteReference w:id="8"/>
      </w:r>
      <w:r>
        <w:rPr>
          <w:rFonts w:ascii="Times New Roman" w:hAnsi="Times New Roman" w:cs="Times New Roman"/>
          <w:color w:val="000000"/>
          <w:lang w:val="en-US"/>
        </w:rPr>
        <w:t xml:space="preserve"> These reprisal attacks incited the Rohingya residents of Maungdaw town to riot and mob violence by both Rohingyas and Rakhines in Sittwe.</w:t>
      </w:r>
      <w:r>
        <w:rPr>
          <w:rStyle w:val="FootnoteReference"/>
          <w:rFonts w:ascii="Times New Roman" w:hAnsi="Times New Roman" w:cs="Times New Roman"/>
          <w:color w:val="000000"/>
          <w:lang w:val="en-US"/>
        </w:rPr>
        <w:footnoteReference w:id="9"/>
      </w:r>
      <w:r>
        <w:rPr>
          <w:rFonts w:ascii="Times New Roman" w:hAnsi="Times New Roman" w:cs="Times New Roman"/>
          <w:color w:val="000000"/>
          <w:lang w:val="en-US"/>
        </w:rPr>
        <w:t xml:space="preserve"> The government responded by declaring a state of emergency in Rakhine state, which granted authority to the military to intervene in the situation.</w:t>
      </w:r>
      <w:r>
        <w:rPr>
          <w:rStyle w:val="FootnoteReference"/>
          <w:rFonts w:ascii="Times New Roman" w:hAnsi="Times New Roman" w:cs="Times New Roman"/>
          <w:color w:val="000000"/>
          <w:lang w:val="en-US"/>
        </w:rPr>
        <w:footnoteReference w:id="10"/>
      </w:r>
      <w:r>
        <w:rPr>
          <w:rFonts w:ascii="Times New Roman" w:hAnsi="Times New Roman" w:cs="Times New Roman"/>
          <w:color w:val="000000"/>
          <w:lang w:val="en-US"/>
        </w:rPr>
        <w:t xml:space="preserve"> This resulted in human rights abuses being committed against the Rohingya, including the unlawful use of force, torture, the destruction of property, arbitrary detention and internal displacement.</w:t>
      </w:r>
      <w:r>
        <w:rPr>
          <w:rStyle w:val="FootnoteReference"/>
          <w:rFonts w:ascii="Times New Roman" w:hAnsi="Times New Roman" w:cs="Times New Roman"/>
          <w:color w:val="000000"/>
          <w:lang w:val="en-US"/>
        </w:rPr>
        <w:footnoteReference w:id="11"/>
      </w:r>
      <w:r>
        <w:rPr>
          <w:rFonts w:ascii="Times New Roman" w:hAnsi="Times New Roman" w:cs="Times New Roman"/>
          <w:color w:val="000000"/>
          <w:lang w:val="en-US"/>
        </w:rPr>
        <w:t xml:space="preserve"> </w:t>
      </w:r>
    </w:p>
    <w:p w14:paraId="1E8404D5" w14:textId="77777777" w:rsidR="006D54E3" w:rsidRPr="00B63600" w:rsidRDefault="006D54E3" w:rsidP="006D54E3">
      <w:pPr>
        <w:widowControl w:val="0"/>
        <w:autoSpaceDE w:val="0"/>
        <w:autoSpaceDN w:val="0"/>
        <w:adjustRightInd w:val="0"/>
        <w:spacing w:line="360" w:lineRule="auto"/>
        <w:jc w:val="both"/>
        <w:rPr>
          <w:rStyle w:val="Emphasis"/>
          <w:rFonts w:ascii="Times New Roman" w:hAnsi="Times New Roman" w:cs="Times New Roman"/>
          <w:i w:val="0"/>
        </w:rPr>
      </w:pPr>
      <w:r>
        <w:rPr>
          <w:rStyle w:val="Emphasis"/>
          <w:rFonts w:ascii="Times New Roman" w:hAnsi="Times New Roman" w:cs="Times New Roman"/>
        </w:rPr>
        <w:tab/>
      </w:r>
      <w:r w:rsidRPr="00B63600">
        <w:rPr>
          <w:rStyle w:val="Emphasis"/>
          <w:rFonts w:ascii="Times New Roman" w:hAnsi="Times New Roman" w:cs="Times New Roman"/>
          <w:i w:val="0"/>
        </w:rPr>
        <w:t>The human rights abuses committed in 2012 represented a turning point for the Rohingya in Rakhine state.</w:t>
      </w:r>
      <w:r w:rsidRPr="00B63600">
        <w:rPr>
          <w:rStyle w:val="FootnoteReference"/>
          <w:rFonts w:ascii="Times New Roman" w:hAnsi="Times New Roman" w:cs="Times New Roman"/>
          <w:iCs/>
        </w:rPr>
        <w:footnoteReference w:id="12"/>
      </w:r>
      <w:r w:rsidRPr="00B63600">
        <w:rPr>
          <w:rStyle w:val="Emphasis"/>
          <w:rFonts w:ascii="Times New Roman" w:hAnsi="Times New Roman" w:cs="Times New Roman"/>
          <w:i w:val="0"/>
        </w:rPr>
        <w:t xml:space="preserve"> They ushered in a period of growing distrust and deteriorating relations between the Rohingya and other ethnic groups. Violence between the Rohingya and the government escalated again in 2016 in response to attacks carried out by Rohingya militant groups and resulted in the widespread internal displacement of the Rohingya.</w:t>
      </w:r>
      <w:r w:rsidRPr="00B63600">
        <w:rPr>
          <w:rStyle w:val="FootnoteReference"/>
          <w:rFonts w:ascii="Times New Roman" w:hAnsi="Times New Roman" w:cs="Times New Roman"/>
          <w:iCs/>
        </w:rPr>
        <w:footnoteReference w:id="13"/>
      </w:r>
      <w:r w:rsidRPr="00B63600">
        <w:rPr>
          <w:rStyle w:val="Emphasis"/>
          <w:rFonts w:ascii="Times New Roman" w:hAnsi="Times New Roman" w:cs="Times New Roman"/>
          <w:i w:val="0"/>
        </w:rPr>
        <w:t xml:space="preserve"> Then, on 25 August 2017, the Arakan Rohingya Salvation Army (‘ARSA’), a Rohingya militant group, launched a series of attacks against government forces.</w:t>
      </w:r>
      <w:r w:rsidRPr="00B63600">
        <w:rPr>
          <w:rStyle w:val="FootnoteReference"/>
          <w:rFonts w:ascii="Times New Roman" w:hAnsi="Times New Roman" w:cs="Times New Roman"/>
          <w:iCs/>
        </w:rPr>
        <w:footnoteReference w:id="14"/>
      </w:r>
      <w:r w:rsidRPr="00B63600">
        <w:rPr>
          <w:rStyle w:val="Emphasis"/>
          <w:rFonts w:ascii="Times New Roman" w:hAnsi="Times New Roman" w:cs="Times New Roman"/>
          <w:i w:val="0"/>
        </w:rPr>
        <w:t xml:space="preserve"> In response, the government of Myanmar launched a large-scale military assault against the Rohingya that caused the displacement of more than 700,000 Rohingyas across the border into Bangladesh.</w:t>
      </w:r>
      <w:r w:rsidRPr="00B63600">
        <w:rPr>
          <w:rStyle w:val="FootnoteReference"/>
          <w:rFonts w:ascii="Times New Roman" w:hAnsi="Times New Roman" w:cs="Times New Roman"/>
          <w:iCs/>
        </w:rPr>
        <w:footnoteReference w:id="15"/>
      </w:r>
      <w:r w:rsidRPr="00B63600">
        <w:rPr>
          <w:rStyle w:val="Emphasis"/>
          <w:rFonts w:ascii="Times New Roman" w:hAnsi="Times New Roman" w:cs="Times New Roman"/>
          <w:i w:val="0"/>
        </w:rPr>
        <w:t xml:space="preserve"> </w:t>
      </w:r>
    </w:p>
    <w:p w14:paraId="49BA1B19" w14:textId="77777777" w:rsidR="006D54E3" w:rsidRPr="00B63600" w:rsidRDefault="006D54E3" w:rsidP="006D54E3">
      <w:pPr>
        <w:widowControl w:val="0"/>
        <w:autoSpaceDE w:val="0"/>
        <w:autoSpaceDN w:val="0"/>
        <w:adjustRightInd w:val="0"/>
        <w:spacing w:line="360" w:lineRule="auto"/>
        <w:jc w:val="both"/>
        <w:rPr>
          <w:rStyle w:val="Emphasis"/>
          <w:rFonts w:ascii="Times New Roman" w:hAnsi="Times New Roman" w:cs="Times New Roman"/>
          <w:i w:val="0"/>
        </w:rPr>
      </w:pPr>
      <w:r w:rsidRPr="00B63600">
        <w:rPr>
          <w:rStyle w:val="Emphasis"/>
          <w:rFonts w:ascii="Times New Roman" w:hAnsi="Times New Roman" w:cs="Times New Roman"/>
          <w:i w:val="0"/>
        </w:rPr>
        <w:tab/>
      </w:r>
      <w:r>
        <w:rPr>
          <w:rStyle w:val="Emphasis"/>
          <w:rFonts w:ascii="Times New Roman" w:hAnsi="Times New Roman" w:cs="Times New Roman"/>
          <w:i w:val="0"/>
        </w:rPr>
        <w:t>F</w:t>
      </w:r>
      <w:r w:rsidRPr="00B63600">
        <w:rPr>
          <w:rStyle w:val="Emphasis"/>
          <w:rFonts w:ascii="Times New Roman" w:hAnsi="Times New Roman" w:cs="Times New Roman"/>
          <w:i w:val="0"/>
        </w:rPr>
        <w:t>ollowing the forced migration</w:t>
      </w:r>
      <w:r>
        <w:rPr>
          <w:rStyle w:val="Emphasis"/>
          <w:rFonts w:ascii="Times New Roman" w:hAnsi="Times New Roman" w:cs="Times New Roman"/>
          <w:i w:val="0"/>
        </w:rPr>
        <w:t>,</w:t>
      </w:r>
      <w:r w:rsidRPr="00B63600">
        <w:rPr>
          <w:rStyle w:val="Emphasis"/>
          <w:rFonts w:ascii="Times New Roman" w:hAnsi="Times New Roman" w:cs="Times New Roman"/>
          <w:i w:val="0"/>
        </w:rPr>
        <w:t xml:space="preserve"> Rohin</w:t>
      </w:r>
      <w:r>
        <w:rPr>
          <w:rStyle w:val="Emphasis"/>
          <w:rFonts w:ascii="Times New Roman" w:hAnsi="Times New Roman" w:cs="Times New Roman"/>
          <w:i w:val="0"/>
        </w:rPr>
        <w:t xml:space="preserve">gyas interviewed in Bangladesh </w:t>
      </w:r>
      <w:r w:rsidRPr="00B63600">
        <w:rPr>
          <w:rStyle w:val="Emphasis"/>
          <w:rFonts w:ascii="Times New Roman" w:hAnsi="Times New Roman" w:cs="Times New Roman"/>
          <w:i w:val="0"/>
        </w:rPr>
        <w:t>reported that the Myanmar military committed excessive acts of violence against the Rohingya</w:t>
      </w:r>
      <w:r>
        <w:rPr>
          <w:rStyle w:val="Emphasis"/>
          <w:rFonts w:ascii="Times New Roman" w:hAnsi="Times New Roman" w:cs="Times New Roman"/>
          <w:i w:val="0"/>
        </w:rPr>
        <w:t xml:space="preserve"> during this period</w:t>
      </w:r>
      <w:r w:rsidRPr="00B63600">
        <w:rPr>
          <w:rStyle w:val="Emphasis"/>
          <w:rFonts w:ascii="Times New Roman" w:hAnsi="Times New Roman" w:cs="Times New Roman"/>
          <w:i w:val="0"/>
        </w:rPr>
        <w:t>, including indiscriminate killings, sexual violence, torture, the mutilation of corpses and extrajudicial executions.</w:t>
      </w:r>
      <w:r w:rsidRPr="00B63600">
        <w:rPr>
          <w:rStyle w:val="FootnoteReference"/>
          <w:rFonts w:ascii="Times New Roman" w:hAnsi="Times New Roman" w:cs="Times New Roman"/>
          <w:iCs/>
        </w:rPr>
        <w:footnoteReference w:id="16"/>
      </w:r>
      <w:r w:rsidRPr="00B63600">
        <w:rPr>
          <w:rStyle w:val="Emphasis"/>
          <w:rFonts w:ascii="Times New Roman" w:hAnsi="Times New Roman" w:cs="Times New Roman"/>
        </w:rPr>
        <w:t xml:space="preserve"> </w:t>
      </w:r>
      <w:r w:rsidRPr="00B63600">
        <w:rPr>
          <w:rStyle w:val="Emphasis"/>
          <w:rFonts w:ascii="Times New Roman" w:hAnsi="Times New Roman" w:cs="Times New Roman"/>
          <w:i w:val="0"/>
        </w:rPr>
        <w:t>The military also destroyed a substantial amount of real property. Acts of arson were common, and satellite imagery apparently demonstrates that more than 360 villages that had been primarily inhabited by the Rohingyas were completely or substantially destroyed.</w:t>
      </w:r>
      <w:r w:rsidRPr="00B63600">
        <w:rPr>
          <w:rStyle w:val="FootnoteReference"/>
          <w:rFonts w:ascii="Times New Roman" w:hAnsi="Times New Roman" w:cs="Times New Roman"/>
          <w:iCs/>
        </w:rPr>
        <w:footnoteReference w:id="17"/>
      </w:r>
      <w:r w:rsidRPr="00B63600">
        <w:rPr>
          <w:rStyle w:val="Emphasis"/>
          <w:rFonts w:ascii="Times New Roman" w:hAnsi="Times New Roman" w:cs="Times New Roman"/>
          <w:i w:val="0"/>
        </w:rPr>
        <w:t xml:space="preserve"> These acts of violence did not end with the displacement of the Rohingyas from their places of residence. During their flight to Bangladesh, some Rohingyas were maimed or killed by landmines placed along paths near the border of Myanmar and Bangladesh.</w:t>
      </w:r>
      <w:r w:rsidRPr="00B63600">
        <w:rPr>
          <w:rStyle w:val="FootnoteReference"/>
          <w:rFonts w:ascii="Times New Roman" w:hAnsi="Times New Roman" w:cs="Times New Roman"/>
          <w:iCs/>
        </w:rPr>
        <w:footnoteReference w:id="18"/>
      </w:r>
      <w:r w:rsidRPr="00B63600">
        <w:rPr>
          <w:rStyle w:val="Emphasis"/>
          <w:rFonts w:ascii="Times New Roman" w:hAnsi="Times New Roman" w:cs="Times New Roman"/>
        </w:rPr>
        <w:t xml:space="preserve"> </w:t>
      </w:r>
      <w:r w:rsidRPr="00B63600">
        <w:rPr>
          <w:rStyle w:val="Emphasis"/>
          <w:rFonts w:ascii="Times New Roman" w:hAnsi="Times New Roman" w:cs="Times New Roman"/>
          <w:i w:val="0"/>
        </w:rPr>
        <w:t>The military continued to murder people at border crossings to ensure they would not remain in Myanmar.</w:t>
      </w:r>
      <w:r w:rsidRPr="00B63600">
        <w:rPr>
          <w:rStyle w:val="FootnoteReference"/>
          <w:rFonts w:ascii="Times New Roman" w:hAnsi="Times New Roman" w:cs="Times New Roman"/>
          <w:iCs/>
        </w:rPr>
        <w:footnoteReference w:id="19"/>
      </w:r>
    </w:p>
    <w:p w14:paraId="03AE5F02" w14:textId="77777777" w:rsidR="006D54E3" w:rsidRPr="00B63600" w:rsidRDefault="006D54E3" w:rsidP="006D54E3">
      <w:pPr>
        <w:widowControl w:val="0"/>
        <w:autoSpaceDE w:val="0"/>
        <w:autoSpaceDN w:val="0"/>
        <w:adjustRightInd w:val="0"/>
        <w:spacing w:line="360" w:lineRule="auto"/>
        <w:jc w:val="both"/>
        <w:rPr>
          <w:rStyle w:val="Emphasis"/>
          <w:rFonts w:ascii="Times New Roman" w:hAnsi="Times New Roman" w:cs="Times New Roman"/>
          <w:i w:val="0"/>
        </w:rPr>
      </w:pPr>
      <w:r w:rsidRPr="00B63600">
        <w:rPr>
          <w:rStyle w:val="Emphasis"/>
          <w:rFonts w:ascii="Times New Roman" w:hAnsi="Times New Roman" w:cs="Times New Roman"/>
          <w:i w:val="0"/>
        </w:rPr>
        <w:tab/>
        <w:t>The ostensible purpose of the military campaign was to eliminate the threat of violence posed by the ARSA.</w:t>
      </w:r>
      <w:r w:rsidRPr="00B63600">
        <w:rPr>
          <w:rStyle w:val="FootnoteReference"/>
          <w:rFonts w:ascii="Times New Roman" w:hAnsi="Times New Roman" w:cs="Times New Roman"/>
          <w:iCs/>
        </w:rPr>
        <w:footnoteReference w:id="20"/>
      </w:r>
      <w:r w:rsidRPr="00B63600">
        <w:rPr>
          <w:rStyle w:val="Emphasis"/>
          <w:rFonts w:ascii="Times New Roman" w:hAnsi="Times New Roman" w:cs="Times New Roman"/>
          <w:i w:val="0"/>
        </w:rPr>
        <w:t xml:space="preserve"> However, this justification appears largely to be a pre-text for a broader operation. Members of the government made several statements su</w:t>
      </w:r>
      <w:r>
        <w:rPr>
          <w:rStyle w:val="Emphasis"/>
          <w:rFonts w:ascii="Times New Roman" w:hAnsi="Times New Roman" w:cs="Times New Roman"/>
          <w:i w:val="0"/>
        </w:rPr>
        <w:t xml:space="preserve">ggesting the operations </w:t>
      </w:r>
      <w:r w:rsidRPr="00B63600">
        <w:rPr>
          <w:rStyle w:val="Emphasis"/>
          <w:rFonts w:ascii="Times New Roman" w:hAnsi="Times New Roman" w:cs="Times New Roman"/>
          <w:i w:val="0"/>
        </w:rPr>
        <w:t xml:space="preserve">had a purpose </w:t>
      </w:r>
      <w:r>
        <w:rPr>
          <w:rStyle w:val="Emphasis"/>
          <w:rFonts w:ascii="Times New Roman" w:hAnsi="Times New Roman" w:cs="Times New Roman"/>
          <w:i w:val="0"/>
        </w:rPr>
        <w:t>that extended beyond</w:t>
      </w:r>
      <w:r w:rsidRPr="00B63600">
        <w:rPr>
          <w:rStyle w:val="Emphasis"/>
          <w:rFonts w:ascii="Times New Roman" w:hAnsi="Times New Roman" w:cs="Times New Roman"/>
          <w:i w:val="0"/>
        </w:rPr>
        <w:t xml:space="preserve"> </w:t>
      </w:r>
      <w:r>
        <w:rPr>
          <w:rStyle w:val="Emphasis"/>
          <w:rFonts w:ascii="Times New Roman" w:hAnsi="Times New Roman" w:cs="Times New Roman"/>
          <w:i w:val="0"/>
        </w:rPr>
        <w:t>just</w:t>
      </w:r>
      <w:r w:rsidRPr="00B63600">
        <w:rPr>
          <w:rStyle w:val="Emphasis"/>
          <w:rFonts w:ascii="Times New Roman" w:hAnsi="Times New Roman" w:cs="Times New Roman"/>
          <w:i w:val="0"/>
        </w:rPr>
        <w:t xml:space="preserve"> purging the Rohingya communi</w:t>
      </w:r>
      <w:r>
        <w:rPr>
          <w:rStyle w:val="Emphasis"/>
          <w:rFonts w:ascii="Times New Roman" w:hAnsi="Times New Roman" w:cs="Times New Roman"/>
          <w:i w:val="0"/>
        </w:rPr>
        <w:t>ty of militants. G</w:t>
      </w:r>
      <w:r w:rsidRPr="00B63600">
        <w:rPr>
          <w:rStyle w:val="Emphasis"/>
          <w:rFonts w:ascii="Times New Roman" w:hAnsi="Times New Roman" w:cs="Times New Roman"/>
          <w:i w:val="0"/>
        </w:rPr>
        <w:t xml:space="preserve">overnment officials </w:t>
      </w:r>
      <w:r>
        <w:rPr>
          <w:rStyle w:val="Emphasis"/>
          <w:rFonts w:ascii="Times New Roman" w:hAnsi="Times New Roman" w:cs="Times New Roman"/>
          <w:i w:val="0"/>
        </w:rPr>
        <w:t>referred to</w:t>
      </w:r>
      <w:r w:rsidRPr="00B63600">
        <w:rPr>
          <w:rStyle w:val="Emphasis"/>
          <w:rFonts w:ascii="Times New Roman" w:hAnsi="Times New Roman" w:cs="Times New Roman"/>
          <w:i w:val="0"/>
        </w:rPr>
        <w:t xml:space="preserve"> the military’s actions</w:t>
      </w:r>
      <w:r>
        <w:rPr>
          <w:rStyle w:val="Emphasis"/>
          <w:rFonts w:ascii="Times New Roman" w:hAnsi="Times New Roman" w:cs="Times New Roman"/>
          <w:i w:val="0"/>
        </w:rPr>
        <w:t xml:space="preserve"> as</w:t>
      </w:r>
      <w:r w:rsidRPr="00B63600">
        <w:rPr>
          <w:rStyle w:val="Emphasis"/>
          <w:rFonts w:ascii="Times New Roman" w:hAnsi="Times New Roman" w:cs="Times New Roman"/>
          <w:i w:val="0"/>
        </w:rPr>
        <w:t xml:space="preserve"> ‘clearance operations’ and the military Commander-In-Chief, </w:t>
      </w:r>
      <w:r>
        <w:rPr>
          <w:rStyle w:val="Emphasis"/>
          <w:rFonts w:ascii="Times New Roman" w:hAnsi="Times New Roman" w:cs="Times New Roman"/>
          <w:i w:val="0"/>
        </w:rPr>
        <w:t>Senior General Min Aung Hlaing stated</w:t>
      </w:r>
      <w:r w:rsidRPr="00B63600">
        <w:rPr>
          <w:rStyle w:val="Emphasis"/>
          <w:rFonts w:ascii="Times New Roman" w:hAnsi="Times New Roman" w:cs="Times New Roman"/>
          <w:i w:val="0"/>
        </w:rPr>
        <w:t xml:space="preserve"> that the ‘problem’ of the Rohingya ‘was a long-standing one’ which the government was ‘taking great care’ to solve.</w:t>
      </w:r>
      <w:r w:rsidRPr="00B63600">
        <w:rPr>
          <w:rStyle w:val="FootnoteReference"/>
          <w:rFonts w:ascii="Times New Roman" w:hAnsi="Times New Roman" w:cs="Times New Roman"/>
          <w:iCs/>
        </w:rPr>
        <w:footnoteReference w:id="21"/>
      </w:r>
      <w:r w:rsidRPr="00B63600">
        <w:rPr>
          <w:rStyle w:val="Emphasis"/>
          <w:rFonts w:ascii="Times New Roman" w:hAnsi="Times New Roman" w:cs="Times New Roman"/>
          <w:i w:val="0"/>
        </w:rPr>
        <w:t xml:space="preserve"> The soldiers directly involved in carrying out the operations also made comments suggesting that the operation was directed against the entire Rohingya population</w:t>
      </w:r>
      <w:r>
        <w:rPr>
          <w:rStyle w:val="Emphasis"/>
          <w:rFonts w:ascii="Times New Roman" w:hAnsi="Times New Roman" w:cs="Times New Roman"/>
          <w:i w:val="0"/>
        </w:rPr>
        <w:t xml:space="preserve">. </w:t>
      </w:r>
      <w:r w:rsidRPr="00B63600">
        <w:rPr>
          <w:rStyle w:val="Emphasis"/>
          <w:rFonts w:ascii="Times New Roman" w:hAnsi="Times New Roman" w:cs="Times New Roman"/>
          <w:i w:val="0"/>
        </w:rPr>
        <w:t xml:space="preserve">Some Rohingya reported being </w:t>
      </w:r>
      <w:r>
        <w:rPr>
          <w:rStyle w:val="Emphasis"/>
          <w:rFonts w:ascii="Times New Roman" w:hAnsi="Times New Roman" w:cs="Times New Roman"/>
          <w:i w:val="0"/>
        </w:rPr>
        <w:t xml:space="preserve">ordered </w:t>
      </w:r>
      <w:r w:rsidRPr="00B63600">
        <w:rPr>
          <w:rStyle w:val="Emphasis"/>
          <w:rFonts w:ascii="Times New Roman" w:hAnsi="Times New Roman" w:cs="Times New Roman"/>
          <w:i w:val="0"/>
        </w:rPr>
        <w:t>to ‘leave the country; this is not your country’ and ‘you can’t live in my country, go away from my country.’</w:t>
      </w:r>
      <w:r w:rsidRPr="00B63600">
        <w:rPr>
          <w:rStyle w:val="FootnoteReference"/>
          <w:rFonts w:ascii="Times New Roman" w:hAnsi="Times New Roman" w:cs="Times New Roman"/>
          <w:iCs/>
        </w:rPr>
        <w:footnoteReference w:id="22"/>
      </w:r>
      <w:r w:rsidRPr="00B63600">
        <w:rPr>
          <w:rStyle w:val="Emphasis"/>
          <w:rFonts w:ascii="Times New Roman" w:hAnsi="Times New Roman" w:cs="Times New Roman"/>
        </w:rPr>
        <w:t xml:space="preserve"> </w:t>
      </w:r>
      <w:r w:rsidRPr="00B63600">
        <w:rPr>
          <w:rStyle w:val="Emphasis"/>
          <w:rFonts w:ascii="Times New Roman" w:hAnsi="Times New Roman" w:cs="Times New Roman"/>
          <w:i w:val="0"/>
        </w:rPr>
        <w:t>Others recounted being told ‘[y]ou do not belong here – go to Bangladesh.’</w:t>
      </w:r>
      <w:r w:rsidRPr="00B63600">
        <w:rPr>
          <w:rStyle w:val="FootnoteReference"/>
          <w:rFonts w:ascii="Times New Roman" w:hAnsi="Times New Roman" w:cs="Times New Roman"/>
          <w:iCs/>
        </w:rPr>
        <w:footnoteReference w:id="23"/>
      </w:r>
      <w:r w:rsidRPr="00B63600">
        <w:rPr>
          <w:rStyle w:val="Emphasis"/>
          <w:rFonts w:ascii="Times New Roman" w:hAnsi="Times New Roman" w:cs="Times New Roman"/>
        </w:rPr>
        <w:t xml:space="preserve"> </w:t>
      </w:r>
      <w:r w:rsidRPr="00B63600">
        <w:rPr>
          <w:rStyle w:val="Emphasis"/>
          <w:rFonts w:ascii="Times New Roman" w:hAnsi="Times New Roman" w:cs="Times New Roman"/>
          <w:i w:val="0"/>
        </w:rPr>
        <w:t>Still othe</w:t>
      </w:r>
      <w:r>
        <w:rPr>
          <w:rStyle w:val="Emphasis"/>
          <w:rFonts w:ascii="Times New Roman" w:hAnsi="Times New Roman" w:cs="Times New Roman"/>
          <w:i w:val="0"/>
        </w:rPr>
        <w:t>rs indicated that they were encouraged</w:t>
      </w:r>
      <w:r w:rsidRPr="00B63600">
        <w:rPr>
          <w:rStyle w:val="Emphasis"/>
          <w:rFonts w:ascii="Times New Roman" w:hAnsi="Times New Roman" w:cs="Times New Roman"/>
          <w:i w:val="0"/>
        </w:rPr>
        <w:t xml:space="preserve"> not to return to Myanmar or they would be killed.</w:t>
      </w:r>
      <w:r w:rsidRPr="00B63600">
        <w:rPr>
          <w:rStyle w:val="FootnoteReference"/>
          <w:rFonts w:ascii="Times New Roman" w:hAnsi="Times New Roman" w:cs="Times New Roman"/>
          <w:iCs/>
        </w:rPr>
        <w:footnoteReference w:id="24"/>
      </w:r>
      <w:r w:rsidRPr="00B63600">
        <w:rPr>
          <w:rStyle w:val="Emphasis"/>
          <w:rFonts w:ascii="Times New Roman" w:hAnsi="Times New Roman" w:cs="Times New Roman"/>
          <w:i w:val="0"/>
        </w:rPr>
        <w:t xml:space="preserve"> While the comments of individual soldiers cannot be understood to represent the overall purpose of the government, they are certainly indicative of the </w:t>
      </w:r>
      <w:r>
        <w:rPr>
          <w:rStyle w:val="Emphasis"/>
          <w:rFonts w:ascii="Times New Roman" w:hAnsi="Times New Roman" w:cs="Times New Roman"/>
          <w:i w:val="0"/>
        </w:rPr>
        <w:t xml:space="preserve">general </w:t>
      </w:r>
      <w:r w:rsidRPr="00B63600">
        <w:rPr>
          <w:rStyle w:val="Emphasis"/>
          <w:rFonts w:ascii="Times New Roman" w:hAnsi="Times New Roman" w:cs="Times New Roman"/>
          <w:i w:val="0"/>
        </w:rPr>
        <w:t>attitude with which the military operation was being carried out.</w:t>
      </w:r>
    </w:p>
    <w:p w14:paraId="537F89CC" w14:textId="77777777" w:rsidR="006D54E3" w:rsidRDefault="006D54E3" w:rsidP="006D54E3">
      <w:pPr>
        <w:widowControl w:val="0"/>
        <w:autoSpaceDE w:val="0"/>
        <w:autoSpaceDN w:val="0"/>
        <w:adjustRightInd w:val="0"/>
        <w:spacing w:line="360" w:lineRule="auto"/>
        <w:jc w:val="both"/>
        <w:rPr>
          <w:rStyle w:val="Emphasis"/>
          <w:rFonts w:ascii="Times New Roman" w:hAnsi="Times New Roman" w:cs="Times New Roman"/>
          <w:i w:val="0"/>
        </w:rPr>
      </w:pPr>
      <w:r w:rsidRPr="00B63600">
        <w:rPr>
          <w:rStyle w:val="Emphasis"/>
          <w:rFonts w:ascii="Times New Roman" w:hAnsi="Times New Roman" w:cs="Times New Roman"/>
          <w:i w:val="0"/>
        </w:rPr>
        <w:t xml:space="preserve"> </w:t>
      </w:r>
      <w:r w:rsidRPr="00B63600">
        <w:rPr>
          <w:rStyle w:val="Emphasis"/>
          <w:rFonts w:ascii="Times New Roman" w:hAnsi="Times New Roman" w:cs="Times New Roman"/>
          <w:i w:val="0"/>
        </w:rPr>
        <w:tab/>
      </w:r>
      <w:r>
        <w:rPr>
          <w:rStyle w:val="Emphasis"/>
          <w:rFonts w:ascii="Times New Roman" w:hAnsi="Times New Roman" w:cs="Times New Roman"/>
          <w:i w:val="0"/>
        </w:rPr>
        <w:t>The evidence suggests that</w:t>
      </w:r>
      <w:r w:rsidRPr="00B63600">
        <w:rPr>
          <w:rStyle w:val="Emphasis"/>
          <w:rFonts w:ascii="Times New Roman" w:hAnsi="Times New Roman" w:cs="Times New Roman"/>
          <w:i w:val="0"/>
        </w:rPr>
        <w:t xml:space="preserve"> the acts of violence carried out by the military were directed at the entire Rohingya community and not just militants within that community.</w:t>
      </w:r>
      <w:r w:rsidRPr="00B63600">
        <w:rPr>
          <w:rStyle w:val="FootnoteReference"/>
          <w:rFonts w:ascii="Times New Roman" w:hAnsi="Times New Roman" w:cs="Times New Roman"/>
          <w:iCs/>
        </w:rPr>
        <w:footnoteReference w:id="25"/>
      </w:r>
      <w:r w:rsidRPr="00B63600">
        <w:rPr>
          <w:rStyle w:val="Emphasis"/>
          <w:rFonts w:ascii="Times New Roman" w:hAnsi="Times New Roman" w:cs="Times New Roman"/>
          <w:i w:val="0"/>
        </w:rPr>
        <w:t xml:space="preserve"> This conclusion is based on the huge impact the operations had on the entire Rohingya community as compared to the relatively small number of Rohingya militants thought to exist at the time. </w:t>
      </w:r>
      <w:r>
        <w:rPr>
          <w:rStyle w:val="Emphasis"/>
          <w:rFonts w:ascii="Times New Roman" w:hAnsi="Times New Roman" w:cs="Times New Roman"/>
          <w:i w:val="0"/>
        </w:rPr>
        <w:t>T</w:t>
      </w:r>
      <w:r w:rsidRPr="00B63600">
        <w:rPr>
          <w:rStyle w:val="Emphasis"/>
          <w:rFonts w:ascii="Times New Roman" w:hAnsi="Times New Roman" w:cs="Times New Roman"/>
          <w:i w:val="0"/>
        </w:rPr>
        <w:t>he Myanmar government estimated that only 1,000 Rohingya militants took part in the 25 August 2017 attacks that lead to the commencement of the military operations.</w:t>
      </w:r>
      <w:r w:rsidRPr="00B63600">
        <w:rPr>
          <w:rStyle w:val="FootnoteReference"/>
          <w:rFonts w:ascii="Times New Roman" w:hAnsi="Times New Roman" w:cs="Times New Roman"/>
          <w:iCs/>
        </w:rPr>
        <w:footnoteReference w:id="26"/>
      </w:r>
      <w:r w:rsidRPr="00B63600">
        <w:rPr>
          <w:rStyle w:val="Emphasis"/>
          <w:rFonts w:ascii="Times New Roman" w:hAnsi="Times New Roman" w:cs="Times New Roman"/>
          <w:i w:val="0"/>
        </w:rPr>
        <w:t xml:space="preserve"> </w:t>
      </w:r>
      <w:r>
        <w:rPr>
          <w:rStyle w:val="Emphasis"/>
          <w:rFonts w:ascii="Times New Roman" w:hAnsi="Times New Roman" w:cs="Times New Roman"/>
          <w:i w:val="0"/>
        </w:rPr>
        <w:t>By comparison, a</w:t>
      </w:r>
      <w:r w:rsidRPr="00B63600">
        <w:rPr>
          <w:rStyle w:val="Emphasis"/>
          <w:rFonts w:ascii="Times New Roman" w:hAnsi="Times New Roman" w:cs="Times New Roman"/>
          <w:i w:val="0"/>
        </w:rPr>
        <w:t xml:space="preserve"> conservative estimate indicates that more than 9,400 people were killed during the month following the beginning of the military operation.</w:t>
      </w:r>
      <w:r w:rsidRPr="00B63600">
        <w:rPr>
          <w:rStyle w:val="FootnoteReference"/>
          <w:rFonts w:ascii="Times New Roman" w:hAnsi="Times New Roman" w:cs="Times New Roman"/>
          <w:iCs/>
        </w:rPr>
        <w:footnoteReference w:id="27"/>
      </w:r>
      <w:r w:rsidRPr="00B63600">
        <w:rPr>
          <w:rStyle w:val="Emphasis"/>
          <w:rFonts w:ascii="Times New Roman" w:hAnsi="Times New Roman" w:cs="Times New Roman"/>
          <w:i w:val="0"/>
        </w:rPr>
        <w:t xml:space="preserve"> 700,000 people fled to Bangladesh.</w:t>
      </w:r>
      <w:r w:rsidRPr="00FF58FB">
        <w:rPr>
          <w:rStyle w:val="FootnoteReference"/>
          <w:rFonts w:ascii="Times New Roman" w:hAnsi="Times New Roman" w:cs="Times New Roman"/>
          <w:iCs/>
        </w:rPr>
        <w:footnoteReference w:id="28"/>
      </w:r>
      <w:r w:rsidRPr="00B63600">
        <w:rPr>
          <w:rStyle w:val="Emphasis"/>
          <w:rFonts w:ascii="Times New Roman" w:hAnsi="Times New Roman" w:cs="Times New Roman"/>
          <w:i w:val="0"/>
        </w:rPr>
        <w:t xml:space="preserve"> Hundreds of villages were attacked by the military, many of which were entirely obliterated either through arson or by being bulldozed.</w:t>
      </w:r>
      <w:r w:rsidRPr="00B63600">
        <w:rPr>
          <w:rStyle w:val="FootnoteReference"/>
          <w:rFonts w:ascii="Times New Roman" w:hAnsi="Times New Roman" w:cs="Times New Roman"/>
          <w:iCs/>
        </w:rPr>
        <w:footnoteReference w:id="29"/>
      </w:r>
      <w:r w:rsidRPr="00B63600">
        <w:rPr>
          <w:rStyle w:val="Emphasis"/>
          <w:rFonts w:ascii="Times New Roman" w:hAnsi="Times New Roman" w:cs="Times New Roman"/>
        </w:rPr>
        <w:t xml:space="preserve"> </w:t>
      </w:r>
      <w:r w:rsidRPr="00B63600">
        <w:rPr>
          <w:rStyle w:val="Emphasis"/>
          <w:rFonts w:ascii="Times New Roman" w:hAnsi="Times New Roman" w:cs="Times New Roman"/>
          <w:i w:val="0"/>
        </w:rPr>
        <w:t>The destruction of crops and infrastructure, the poisoning of sources of drinking water and the theft of livestock all suggest that measures were being taken against the entire community and were aimed at ‘ensuring the Rohingyas’ permanent removal’ from Myanmar.</w:t>
      </w:r>
      <w:r w:rsidRPr="00B63600">
        <w:rPr>
          <w:rStyle w:val="FootnoteReference"/>
          <w:rFonts w:ascii="Times New Roman" w:hAnsi="Times New Roman" w:cs="Times New Roman"/>
          <w:iCs/>
        </w:rPr>
        <w:footnoteReference w:id="30"/>
      </w:r>
      <w:r>
        <w:rPr>
          <w:rStyle w:val="Emphasis"/>
          <w:rFonts w:ascii="Times New Roman" w:hAnsi="Times New Roman" w:cs="Times New Roman"/>
          <w:i w:val="0"/>
        </w:rPr>
        <w:t xml:space="preserve"> This signifies that the extent of the operations far exceeded</w:t>
      </w:r>
      <w:r w:rsidRPr="00B63600">
        <w:rPr>
          <w:rStyle w:val="Emphasis"/>
          <w:rFonts w:ascii="Times New Roman" w:hAnsi="Times New Roman" w:cs="Times New Roman"/>
          <w:i w:val="0"/>
        </w:rPr>
        <w:t xml:space="preserve"> the purported goal of eradicating the terrorist threat posed by Rohingya militants.</w:t>
      </w:r>
    </w:p>
    <w:p w14:paraId="5ED6282E" w14:textId="77777777" w:rsidR="006D54E3" w:rsidRPr="00B63600" w:rsidRDefault="006D54E3" w:rsidP="006D54E3">
      <w:pPr>
        <w:widowControl w:val="0"/>
        <w:autoSpaceDE w:val="0"/>
        <w:autoSpaceDN w:val="0"/>
        <w:adjustRightInd w:val="0"/>
        <w:spacing w:line="360" w:lineRule="auto"/>
        <w:jc w:val="both"/>
        <w:rPr>
          <w:rStyle w:val="Emphasis"/>
          <w:rFonts w:ascii="Times New Roman" w:hAnsi="Times New Roman" w:cs="Times New Roman"/>
          <w:i w:val="0"/>
        </w:rPr>
      </w:pPr>
      <w:r>
        <w:rPr>
          <w:rStyle w:val="Emphasis"/>
          <w:rFonts w:ascii="Times New Roman" w:hAnsi="Times New Roman" w:cs="Times New Roman"/>
          <w:i w:val="0"/>
        </w:rPr>
        <w:tab/>
        <w:t>There is also reason to believe that the Burmese government did not just intend to displace the Rohingya from Myanmar. The incredible brutality of the violence directed at the Rohingya has lead some observers to conclude that at least some of the perpetrators were acting with the goal of exterminating the Rohingya.</w:t>
      </w:r>
      <w:r>
        <w:rPr>
          <w:rStyle w:val="FootnoteReference"/>
          <w:rFonts w:ascii="Times New Roman" w:hAnsi="Times New Roman" w:cs="Times New Roman"/>
          <w:iCs/>
        </w:rPr>
        <w:footnoteReference w:id="31"/>
      </w:r>
      <w:r>
        <w:rPr>
          <w:rStyle w:val="Emphasis"/>
          <w:rFonts w:ascii="Times New Roman" w:hAnsi="Times New Roman" w:cs="Times New Roman"/>
          <w:i w:val="0"/>
        </w:rPr>
        <w:t xml:space="preserve"> One investigator concluded, ‘the Burmese had basically achieved their desire to force the Rohingya into Bangladesh, yet that wasn’t sufficient – instead they preferred the Rohingya dead.’</w:t>
      </w:r>
      <w:r>
        <w:rPr>
          <w:rStyle w:val="FootnoteReference"/>
          <w:rFonts w:ascii="Times New Roman" w:hAnsi="Times New Roman" w:cs="Times New Roman"/>
          <w:iCs/>
        </w:rPr>
        <w:footnoteReference w:id="32"/>
      </w:r>
      <w:r>
        <w:rPr>
          <w:rStyle w:val="Emphasis"/>
          <w:rFonts w:ascii="Times New Roman" w:hAnsi="Times New Roman" w:cs="Times New Roman"/>
          <w:i w:val="0"/>
        </w:rPr>
        <w:t xml:space="preserve"> This raises the prospect that the outcome sought by some of the perpetrators went beyond deportation and may have more closely resembled genocide. </w:t>
      </w:r>
    </w:p>
    <w:p w14:paraId="58D05B14" w14:textId="5D2F03D5" w:rsidR="006D54E3" w:rsidRPr="00B63600" w:rsidRDefault="0088255B" w:rsidP="006D54E3">
      <w:pPr>
        <w:widowControl w:val="0"/>
        <w:autoSpaceDE w:val="0"/>
        <w:autoSpaceDN w:val="0"/>
        <w:adjustRightInd w:val="0"/>
        <w:spacing w:line="360" w:lineRule="auto"/>
        <w:jc w:val="both"/>
        <w:rPr>
          <w:rStyle w:val="Emphasis"/>
          <w:rFonts w:ascii="Times New Roman" w:hAnsi="Times New Roman" w:cs="Times New Roman"/>
          <w:b/>
          <w:i w:val="0"/>
        </w:rPr>
      </w:pPr>
      <w:r>
        <w:rPr>
          <w:rStyle w:val="Emphasis"/>
          <w:rFonts w:ascii="Times New Roman" w:hAnsi="Times New Roman" w:cs="Times New Roman"/>
          <w:b/>
          <w:i w:val="0"/>
        </w:rPr>
        <w:t>3</w:t>
      </w:r>
      <w:r w:rsidR="006D54E3" w:rsidRPr="00B63600">
        <w:rPr>
          <w:rStyle w:val="Emphasis"/>
          <w:rFonts w:ascii="Times New Roman" w:hAnsi="Times New Roman" w:cs="Times New Roman"/>
          <w:b/>
          <w:i w:val="0"/>
        </w:rPr>
        <w:t>.</w:t>
      </w:r>
      <w:r w:rsidR="006D54E3" w:rsidRPr="00B63600">
        <w:rPr>
          <w:rStyle w:val="Emphasis"/>
          <w:rFonts w:ascii="Times New Roman" w:hAnsi="Times New Roman" w:cs="Times New Roman"/>
          <w:b/>
          <w:i w:val="0"/>
        </w:rPr>
        <w:tab/>
        <w:t>The Issues Before the Court</w:t>
      </w:r>
    </w:p>
    <w:p w14:paraId="4C42FD75" w14:textId="77777777" w:rsidR="006D54E3" w:rsidRDefault="006D54E3" w:rsidP="006D54E3">
      <w:pPr>
        <w:widowControl w:val="0"/>
        <w:autoSpaceDE w:val="0"/>
        <w:autoSpaceDN w:val="0"/>
        <w:adjustRightInd w:val="0"/>
        <w:spacing w:line="360" w:lineRule="auto"/>
        <w:jc w:val="both"/>
        <w:rPr>
          <w:rFonts w:ascii="Times New Roman" w:eastAsia="Times New Roman" w:hAnsi="Times New Roman" w:cs="Times New Roman"/>
        </w:rPr>
      </w:pPr>
      <w:r w:rsidRPr="00B63600">
        <w:rPr>
          <w:rStyle w:val="Emphasis"/>
          <w:rFonts w:ascii="Times New Roman" w:hAnsi="Times New Roman" w:cs="Times New Roman"/>
          <w:i w:val="0"/>
        </w:rPr>
        <w:tab/>
        <w:t xml:space="preserve">This is the backdrop against which the Prosecutor’s Office submitted its </w:t>
      </w:r>
      <w:r w:rsidRPr="002E71A7">
        <w:rPr>
          <w:rFonts w:ascii="Times New Roman" w:eastAsia="Times New Roman" w:hAnsi="Times New Roman" w:cs="Times New Roman"/>
        </w:rPr>
        <w:t>Request for a Ruling on Jurisdiction under Article 19(3) of the Statute</w:t>
      </w:r>
      <w:r>
        <w:rPr>
          <w:rFonts w:ascii="Times New Roman" w:eastAsia="Times New Roman" w:hAnsi="Times New Roman" w:cs="Times New Roman"/>
        </w:rPr>
        <w:t xml:space="preserve"> in April 2018.</w:t>
      </w:r>
      <w:r>
        <w:rPr>
          <w:rStyle w:val="FootnoteReference"/>
          <w:rFonts w:ascii="Times New Roman" w:eastAsia="Times New Roman" w:hAnsi="Times New Roman" w:cs="Times New Roman"/>
        </w:rPr>
        <w:footnoteReference w:id="33"/>
      </w:r>
      <w:r>
        <w:rPr>
          <w:rFonts w:ascii="Times New Roman" w:eastAsia="Times New Roman" w:hAnsi="Times New Roman" w:cs="Times New Roman"/>
        </w:rPr>
        <w:t xml:space="preserve"> The Request addressed two issues, one procedural and one substantive. The procedural matter relates to whether Article 19(3) permits the prosecutor to request a jurisdictional ruling during this stage of proceedings while the substantive question is directed towards whether the International Criminal Court could exercise jurisdiction over the forcible deportation of the Rohingya across the border separating Myanmar and Bangladesh. The Prosecutor sought an affirmative answer to both questions. </w:t>
      </w:r>
    </w:p>
    <w:p w14:paraId="4102609F" w14:textId="77777777" w:rsidR="006D54E3" w:rsidRPr="0012284A" w:rsidRDefault="006D54E3" w:rsidP="006D54E3">
      <w:pPr>
        <w:widowControl w:val="0"/>
        <w:autoSpaceDE w:val="0"/>
        <w:autoSpaceDN w:val="0"/>
        <w:adjustRightInd w:val="0"/>
        <w:spacing w:line="360" w:lineRule="auto"/>
        <w:ind w:left="720"/>
        <w:jc w:val="both"/>
        <w:rPr>
          <w:rFonts w:ascii="Times New Roman" w:eastAsia="Times New Roman" w:hAnsi="Times New Roman" w:cs="Times New Roman"/>
          <w:b/>
          <w:i/>
        </w:rPr>
      </w:pPr>
      <w:r w:rsidRPr="0012284A">
        <w:rPr>
          <w:rFonts w:ascii="Times New Roman" w:eastAsia="Times New Roman" w:hAnsi="Times New Roman" w:cs="Times New Roman"/>
          <w:b/>
          <w:i/>
        </w:rPr>
        <w:t>A.</w:t>
      </w:r>
      <w:r w:rsidRPr="0012284A">
        <w:rPr>
          <w:rFonts w:ascii="Times New Roman" w:eastAsia="Times New Roman" w:hAnsi="Times New Roman" w:cs="Times New Roman"/>
          <w:b/>
          <w:i/>
        </w:rPr>
        <w:tab/>
        <w:t>The Procedural Issue</w:t>
      </w:r>
    </w:p>
    <w:p w14:paraId="13419BEA" w14:textId="340B6726" w:rsidR="006D54E3" w:rsidRDefault="006D54E3" w:rsidP="006D54E3">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eastAsia="Times New Roman" w:hAnsi="Times New Roman" w:cs="Times New Roman"/>
        </w:rPr>
        <w:tab/>
        <w:t>The Office of the Prosecutor based its argument about the procedural question on three separate grounds</w:t>
      </w:r>
      <w:r w:rsidRPr="000A55A3">
        <w:rPr>
          <w:rFonts w:ascii="Times New Roman" w:hAnsi="Times New Roman" w:cs="Times New Roman"/>
          <w:color w:val="000000"/>
          <w:lang w:val="en-US"/>
        </w:rPr>
        <w:t>.</w:t>
      </w:r>
      <w:r w:rsidRPr="000A55A3">
        <w:rPr>
          <w:rStyle w:val="FootnoteReference"/>
          <w:rFonts w:ascii="Times New Roman" w:hAnsi="Times New Roman" w:cs="Times New Roman"/>
          <w:color w:val="000000"/>
          <w:lang w:val="en-US"/>
        </w:rPr>
        <w:footnoteReference w:id="34"/>
      </w:r>
      <w:r>
        <w:rPr>
          <w:rFonts w:ascii="Times New Roman" w:hAnsi="Times New Roman" w:cs="Times New Roman"/>
          <w:color w:val="000000"/>
          <w:lang w:val="en-US"/>
        </w:rPr>
        <w:t xml:space="preserve"> First, it</w:t>
      </w:r>
      <w:r w:rsidRPr="000A55A3">
        <w:rPr>
          <w:rFonts w:ascii="Times New Roman" w:hAnsi="Times New Roman" w:cs="Times New Roman"/>
          <w:color w:val="000000"/>
          <w:lang w:val="en-US"/>
        </w:rPr>
        <w:t xml:space="preserve"> suggests that a plain reading of Article 19(3) supports the idea that </w:t>
      </w:r>
      <w:r>
        <w:rPr>
          <w:rFonts w:ascii="Times New Roman" w:hAnsi="Times New Roman" w:cs="Times New Roman"/>
          <w:color w:val="000000"/>
          <w:lang w:val="en-US"/>
        </w:rPr>
        <w:t>the article is broad in scope and permits the Prosecutor’s Office to request a ruling on ‘the full range of jurisdictional issues arising under the Statute’.</w:t>
      </w:r>
      <w:r>
        <w:rPr>
          <w:rStyle w:val="FootnoteReference"/>
          <w:rFonts w:ascii="Times New Roman" w:hAnsi="Times New Roman" w:cs="Times New Roman"/>
          <w:color w:val="000000"/>
          <w:lang w:val="en-US"/>
        </w:rPr>
        <w:footnoteReference w:id="35"/>
      </w:r>
      <w:r w:rsidRPr="000A55A3">
        <w:rPr>
          <w:rFonts w:ascii="Times New Roman" w:hAnsi="Times New Roman" w:cs="Times New Roman"/>
          <w:color w:val="000000"/>
          <w:lang w:val="en-US"/>
        </w:rPr>
        <w:t xml:space="preserve"> </w:t>
      </w:r>
      <w:r>
        <w:rPr>
          <w:rFonts w:ascii="Times New Roman" w:hAnsi="Times New Roman" w:cs="Times New Roman"/>
          <w:color w:val="000000"/>
          <w:lang w:val="en-US"/>
        </w:rPr>
        <w:t>It is also submitted that the article itself contains no language limiting its application to any particular phase of proceedings.</w:t>
      </w:r>
      <w:r>
        <w:rPr>
          <w:rStyle w:val="FootnoteReference"/>
          <w:rFonts w:ascii="Times New Roman" w:hAnsi="Times New Roman" w:cs="Times New Roman"/>
          <w:color w:val="000000"/>
          <w:lang w:val="en-US"/>
        </w:rPr>
        <w:footnoteReference w:id="36"/>
      </w:r>
      <w:r>
        <w:rPr>
          <w:rFonts w:ascii="Times New Roman" w:hAnsi="Times New Roman" w:cs="Times New Roman"/>
          <w:color w:val="000000"/>
          <w:lang w:val="en-US"/>
        </w:rPr>
        <w:t xml:space="preserve"> </w:t>
      </w:r>
      <w:r w:rsidRPr="000A55A3">
        <w:rPr>
          <w:rFonts w:ascii="Times New Roman" w:hAnsi="Times New Roman" w:cs="Times New Roman"/>
          <w:color w:val="000000"/>
          <w:lang w:val="en-US"/>
        </w:rPr>
        <w:t>Next, the Prosecutor</w:t>
      </w:r>
      <w:r>
        <w:rPr>
          <w:rFonts w:ascii="Times New Roman" w:hAnsi="Times New Roman" w:cs="Times New Roman"/>
          <w:color w:val="000000"/>
          <w:lang w:val="en-US"/>
        </w:rPr>
        <w:t>’s Office</w:t>
      </w:r>
      <w:r w:rsidRPr="000A55A3">
        <w:rPr>
          <w:rFonts w:ascii="Times New Roman" w:hAnsi="Times New Roman" w:cs="Times New Roman"/>
          <w:color w:val="000000"/>
          <w:lang w:val="en-US"/>
        </w:rPr>
        <w:t xml:space="preserve"> </w:t>
      </w:r>
      <w:r>
        <w:rPr>
          <w:rFonts w:ascii="Times New Roman" w:hAnsi="Times New Roman" w:cs="Times New Roman"/>
          <w:color w:val="000000"/>
          <w:lang w:val="en-US"/>
        </w:rPr>
        <w:t>argues</w:t>
      </w:r>
      <w:r w:rsidR="00F460FD">
        <w:rPr>
          <w:rFonts w:ascii="Times New Roman" w:hAnsi="Times New Roman" w:cs="Times New Roman"/>
          <w:color w:val="000000"/>
          <w:lang w:val="en-US"/>
        </w:rPr>
        <w:t xml:space="preserve"> that when </w:t>
      </w:r>
      <w:r w:rsidRPr="000A55A3">
        <w:rPr>
          <w:rFonts w:ascii="Times New Roman" w:hAnsi="Times New Roman" w:cs="Times New Roman"/>
          <w:color w:val="000000"/>
          <w:lang w:val="en-US"/>
        </w:rPr>
        <w:t xml:space="preserve">Article 19(3) </w:t>
      </w:r>
      <w:r w:rsidR="00F460FD">
        <w:rPr>
          <w:rFonts w:ascii="Times New Roman" w:hAnsi="Times New Roman" w:cs="Times New Roman"/>
          <w:color w:val="000000"/>
          <w:lang w:val="en-US"/>
        </w:rPr>
        <w:t xml:space="preserve">is placed in the appropriate context its application should not be confined only </w:t>
      </w:r>
      <w:r w:rsidRPr="000A55A3">
        <w:rPr>
          <w:rFonts w:ascii="Times New Roman" w:hAnsi="Times New Roman" w:cs="Times New Roman"/>
          <w:color w:val="000000"/>
          <w:lang w:val="en-US"/>
        </w:rPr>
        <w:t>to the case stage of proceedings.</w:t>
      </w:r>
      <w:r>
        <w:rPr>
          <w:rFonts w:ascii="Times New Roman" w:hAnsi="Times New Roman" w:cs="Times New Roman"/>
          <w:color w:val="000000"/>
          <w:lang w:val="en-US"/>
        </w:rPr>
        <w:t xml:space="preserve"> This argument is supported by </w:t>
      </w:r>
      <w:r w:rsidR="00F460FD">
        <w:rPr>
          <w:rFonts w:ascii="Times New Roman" w:hAnsi="Times New Roman" w:cs="Times New Roman"/>
          <w:color w:val="000000"/>
          <w:lang w:val="en-US"/>
        </w:rPr>
        <w:t>a the claims</w:t>
      </w:r>
      <w:r>
        <w:rPr>
          <w:rFonts w:ascii="Times New Roman" w:hAnsi="Times New Roman" w:cs="Times New Roman"/>
          <w:color w:val="000000"/>
          <w:lang w:val="en-US"/>
        </w:rPr>
        <w:t xml:space="preserve"> that judicial practice, legal commentators and the general principle of law, </w:t>
      </w:r>
      <w:r>
        <w:rPr>
          <w:rFonts w:ascii="Times New Roman" w:hAnsi="Times New Roman" w:cs="Times New Roman"/>
          <w:i/>
          <w:color w:val="000000"/>
          <w:lang w:val="en-US"/>
        </w:rPr>
        <w:t>compétence de la compétence</w:t>
      </w:r>
      <w:r>
        <w:rPr>
          <w:rFonts w:ascii="Times New Roman" w:hAnsi="Times New Roman" w:cs="Times New Roman"/>
          <w:color w:val="000000"/>
          <w:lang w:val="en-US"/>
        </w:rPr>
        <w:t xml:space="preserve"> support the proposition </w:t>
      </w:r>
      <w:r w:rsidR="004615CD">
        <w:rPr>
          <w:rFonts w:ascii="Times New Roman" w:hAnsi="Times New Roman" w:cs="Times New Roman"/>
          <w:color w:val="000000"/>
          <w:lang w:val="en-US"/>
        </w:rPr>
        <w:t>that a determination about the C</w:t>
      </w:r>
      <w:r>
        <w:rPr>
          <w:rFonts w:ascii="Times New Roman" w:hAnsi="Times New Roman" w:cs="Times New Roman"/>
          <w:color w:val="000000"/>
          <w:lang w:val="en-US"/>
        </w:rPr>
        <w:t>ourt’s jurisdiction may be reached at any point in proceedings.</w:t>
      </w:r>
      <w:r>
        <w:rPr>
          <w:rStyle w:val="FootnoteReference"/>
          <w:rFonts w:ascii="Times New Roman" w:hAnsi="Times New Roman" w:cs="Times New Roman"/>
          <w:color w:val="000000"/>
          <w:lang w:val="en-US"/>
        </w:rPr>
        <w:footnoteReference w:id="37"/>
      </w:r>
      <w:r>
        <w:rPr>
          <w:rFonts w:ascii="Times New Roman" w:hAnsi="Times New Roman" w:cs="Times New Roman"/>
          <w:color w:val="000000"/>
          <w:lang w:val="en-US"/>
        </w:rPr>
        <w:t xml:space="preserve"> </w:t>
      </w:r>
      <w:r w:rsidRPr="000A55A3">
        <w:rPr>
          <w:rFonts w:ascii="Times New Roman" w:hAnsi="Times New Roman" w:cs="Times New Roman"/>
          <w:color w:val="000000"/>
          <w:lang w:val="en-US"/>
        </w:rPr>
        <w:t>Finally, the Prosecutor</w:t>
      </w:r>
      <w:r>
        <w:rPr>
          <w:rFonts w:ascii="Times New Roman" w:hAnsi="Times New Roman" w:cs="Times New Roman"/>
          <w:color w:val="000000"/>
          <w:lang w:val="en-US"/>
        </w:rPr>
        <w:t>’s Office</w:t>
      </w:r>
      <w:r w:rsidRPr="000A55A3">
        <w:rPr>
          <w:rFonts w:ascii="Times New Roman" w:hAnsi="Times New Roman" w:cs="Times New Roman"/>
          <w:color w:val="000000"/>
          <w:lang w:val="en-US"/>
        </w:rPr>
        <w:t xml:space="preserve"> </w:t>
      </w:r>
      <w:r>
        <w:rPr>
          <w:rFonts w:ascii="Times New Roman" w:hAnsi="Times New Roman" w:cs="Times New Roman"/>
          <w:color w:val="000000"/>
          <w:lang w:val="en-US"/>
        </w:rPr>
        <w:t xml:space="preserve">found support for its position in the </w:t>
      </w:r>
      <w:r w:rsidRPr="000A55A3">
        <w:rPr>
          <w:rFonts w:ascii="Times New Roman" w:hAnsi="Times New Roman" w:cs="Times New Roman"/>
          <w:color w:val="000000"/>
          <w:lang w:val="en-US"/>
        </w:rPr>
        <w:t>object and purpose of Article 19(3)</w:t>
      </w:r>
      <w:r>
        <w:rPr>
          <w:rFonts w:ascii="Times New Roman" w:hAnsi="Times New Roman" w:cs="Times New Roman"/>
          <w:color w:val="000000"/>
          <w:lang w:val="en-US"/>
        </w:rPr>
        <w:t>.</w:t>
      </w:r>
      <w:r w:rsidRPr="000A55A3">
        <w:rPr>
          <w:rFonts w:ascii="Times New Roman" w:hAnsi="Times New Roman" w:cs="Times New Roman"/>
          <w:color w:val="000000"/>
          <w:lang w:val="en-US"/>
        </w:rPr>
        <w:t xml:space="preserve"> </w:t>
      </w:r>
      <w:r>
        <w:rPr>
          <w:rFonts w:ascii="Times New Roman" w:hAnsi="Times New Roman" w:cs="Times New Roman"/>
          <w:color w:val="000000"/>
          <w:lang w:val="en-US"/>
        </w:rPr>
        <w:t>It submits that Article 19(3), when used properly, can promote judicial economy and the appropriate use of prosecutorial resources, by ‘allowing judicial consideration of certain fundamental questions’ before the Prosecutor pursues potentially contentious actions.</w:t>
      </w:r>
      <w:r>
        <w:rPr>
          <w:rStyle w:val="FootnoteReference"/>
          <w:rFonts w:ascii="Times New Roman" w:hAnsi="Times New Roman" w:cs="Times New Roman"/>
          <w:color w:val="000000"/>
          <w:lang w:val="en-US"/>
        </w:rPr>
        <w:footnoteReference w:id="38"/>
      </w:r>
    </w:p>
    <w:p w14:paraId="570725EA" w14:textId="77777777"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color w:val="000000"/>
          <w:lang w:val="en-US"/>
        </w:rPr>
        <w:t xml:space="preserve">Pre-Trial Chamber I issued its opinion on the Prosecutor’s Request on 6 September 2018. </w:t>
      </w:r>
      <w:r w:rsidRPr="000A55A3">
        <w:rPr>
          <w:rFonts w:ascii="Times New Roman" w:hAnsi="Times New Roman" w:cs="Times New Roman"/>
          <w:color w:val="000000"/>
          <w:lang w:val="en-US"/>
        </w:rPr>
        <w:t>Before fully addressing the Prosecutor’s arguments, the Pre-Trial Chamber remarked on the controversial nature of the Prosecutor’s submissions</w:t>
      </w:r>
      <w:r>
        <w:rPr>
          <w:rFonts w:ascii="Times New Roman" w:hAnsi="Times New Roman" w:cs="Times New Roman"/>
          <w:color w:val="000000"/>
          <w:lang w:val="en-US"/>
        </w:rPr>
        <w:t xml:space="preserve"> regarding Article 19(3)</w:t>
      </w:r>
      <w:r w:rsidRPr="000A55A3">
        <w:rPr>
          <w:rFonts w:ascii="Times New Roman" w:hAnsi="Times New Roman" w:cs="Times New Roman"/>
          <w:color w:val="000000"/>
          <w:lang w:val="en-US"/>
        </w:rPr>
        <w:t xml:space="preserve">. </w:t>
      </w:r>
      <w:r>
        <w:rPr>
          <w:rFonts w:ascii="Times New Roman" w:hAnsi="Times New Roman" w:cs="Times New Roman"/>
          <w:color w:val="000000"/>
          <w:lang w:val="en-US"/>
        </w:rPr>
        <w:t xml:space="preserve">Rather than try to resolve that controversy, the Pre-Trial Chamber chose to avoid it. Instead of considering whether Article 19(3) is applicable under these circumstances, the Pre-Trial Chamber applied Articles 119(1) and 21(1)(b) when reaching its decision. </w:t>
      </w:r>
    </w:p>
    <w:p w14:paraId="48466DE8" w14:textId="77777777" w:rsidR="006D54E3" w:rsidRDefault="006D54E3" w:rsidP="006D54E3">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It is probable that Pre-Trial Chamber I chose the alternative avenues of Article 119(1) and Article 21(1)(b) as the statutory bases for its decision as it knew that Article 19(3) could not be applied at this stage of the proceedings. </w:t>
      </w:r>
      <w:r w:rsidRPr="008859EE">
        <w:rPr>
          <w:rFonts w:ascii="Times New Roman" w:hAnsi="Times New Roman" w:cs="Times New Roman"/>
        </w:rPr>
        <w:t xml:space="preserve">When read on its own, it is reasonable to understand </w:t>
      </w:r>
      <w:r>
        <w:rPr>
          <w:rFonts w:ascii="Times New Roman" w:hAnsi="Times New Roman" w:cs="Times New Roman"/>
        </w:rPr>
        <w:t xml:space="preserve">Article 19(3) </w:t>
      </w:r>
      <w:r w:rsidRPr="008859EE">
        <w:rPr>
          <w:rFonts w:ascii="Times New Roman" w:hAnsi="Times New Roman" w:cs="Times New Roman"/>
        </w:rPr>
        <w:t xml:space="preserve">to mean that the </w:t>
      </w:r>
      <w:r>
        <w:rPr>
          <w:rFonts w:ascii="Times New Roman" w:hAnsi="Times New Roman" w:cs="Times New Roman"/>
        </w:rPr>
        <w:t xml:space="preserve">Office of the </w:t>
      </w:r>
      <w:r w:rsidRPr="008859EE">
        <w:rPr>
          <w:rFonts w:ascii="Times New Roman" w:hAnsi="Times New Roman" w:cs="Times New Roman"/>
        </w:rPr>
        <w:t xml:space="preserve">Prosecutor may seek a ruling about jurisdiction and admissibility at any time. That is because subparagraph </w:t>
      </w:r>
      <w:r>
        <w:rPr>
          <w:rFonts w:ascii="Times New Roman" w:hAnsi="Times New Roman" w:cs="Times New Roman"/>
        </w:rPr>
        <w:t xml:space="preserve">(3) </w:t>
      </w:r>
      <w:r w:rsidRPr="008859EE">
        <w:rPr>
          <w:rFonts w:ascii="Times New Roman" w:hAnsi="Times New Roman" w:cs="Times New Roman"/>
        </w:rPr>
        <w:t>does not contain an explicit qualifier limiting its application to a particular stage of proceedings</w:t>
      </w:r>
      <w:r>
        <w:rPr>
          <w:rFonts w:ascii="Times New Roman" w:hAnsi="Times New Roman" w:cs="Times New Roman"/>
        </w:rPr>
        <w:t>.</w:t>
      </w:r>
      <w:r>
        <w:rPr>
          <w:rStyle w:val="FootnoteReference"/>
          <w:rFonts w:ascii="Times New Roman" w:hAnsi="Times New Roman" w:cs="Times New Roman"/>
        </w:rPr>
        <w:footnoteReference w:id="39"/>
      </w:r>
      <w:r>
        <w:rPr>
          <w:rFonts w:ascii="Times New Roman" w:hAnsi="Times New Roman" w:cs="Times New Roman"/>
        </w:rPr>
        <w:t xml:space="preserve"> </w:t>
      </w:r>
      <w:r w:rsidRPr="008859EE">
        <w:rPr>
          <w:rFonts w:ascii="Times New Roman" w:hAnsi="Times New Roman" w:cs="Times New Roman"/>
        </w:rPr>
        <w:t xml:space="preserve">However, when subparagraph </w:t>
      </w:r>
      <w:r>
        <w:rPr>
          <w:rFonts w:ascii="Times New Roman" w:hAnsi="Times New Roman" w:cs="Times New Roman"/>
        </w:rPr>
        <w:t>(</w:t>
      </w:r>
      <w:r w:rsidRPr="008859EE">
        <w:rPr>
          <w:rFonts w:ascii="Times New Roman" w:hAnsi="Times New Roman" w:cs="Times New Roman"/>
        </w:rPr>
        <w:t>3</w:t>
      </w:r>
      <w:r>
        <w:rPr>
          <w:rFonts w:ascii="Times New Roman" w:hAnsi="Times New Roman" w:cs="Times New Roman"/>
        </w:rPr>
        <w:t>)</w:t>
      </w:r>
      <w:r w:rsidRPr="008859EE">
        <w:rPr>
          <w:rFonts w:ascii="Times New Roman" w:hAnsi="Times New Roman" w:cs="Times New Roman"/>
        </w:rPr>
        <w:t xml:space="preserve"> is placed in context with </w:t>
      </w:r>
      <w:r>
        <w:rPr>
          <w:rFonts w:ascii="Times New Roman" w:hAnsi="Times New Roman" w:cs="Times New Roman"/>
        </w:rPr>
        <w:t xml:space="preserve">the rest of Article 19 it becomes clear that </w:t>
      </w:r>
      <w:r w:rsidRPr="008859EE">
        <w:rPr>
          <w:rFonts w:ascii="Times New Roman" w:hAnsi="Times New Roman" w:cs="Times New Roman"/>
        </w:rPr>
        <w:t>determination</w:t>
      </w:r>
      <w:r>
        <w:rPr>
          <w:rFonts w:ascii="Times New Roman" w:hAnsi="Times New Roman" w:cs="Times New Roman"/>
        </w:rPr>
        <w:t>s</w:t>
      </w:r>
      <w:r w:rsidRPr="008859EE">
        <w:rPr>
          <w:rFonts w:ascii="Times New Roman" w:hAnsi="Times New Roman" w:cs="Times New Roman"/>
        </w:rPr>
        <w:t xml:space="preserve"> </w:t>
      </w:r>
      <w:r>
        <w:rPr>
          <w:rFonts w:ascii="Times New Roman" w:hAnsi="Times New Roman" w:cs="Times New Roman"/>
        </w:rPr>
        <w:t>about</w:t>
      </w:r>
      <w:r w:rsidRPr="008859EE">
        <w:rPr>
          <w:rFonts w:ascii="Times New Roman" w:hAnsi="Times New Roman" w:cs="Times New Roman"/>
        </w:rPr>
        <w:t xml:space="preserve"> jurisdiction or admissibility can only be made once a matter has become a case.</w:t>
      </w:r>
      <w:r>
        <w:rPr>
          <w:rFonts w:ascii="Times New Roman" w:hAnsi="Times New Roman" w:cs="Times New Roman"/>
        </w:rPr>
        <w:t xml:space="preserve"> </w:t>
      </w:r>
    </w:p>
    <w:p w14:paraId="50F32656" w14:textId="77777777"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sidRPr="008859EE">
        <w:rPr>
          <w:rFonts w:ascii="Times New Roman" w:hAnsi="Times New Roman" w:cs="Times New Roman"/>
        </w:rPr>
        <w:t xml:space="preserve">Subparagraph </w:t>
      </w:r>
      <w:r>
        <w:rPr>
          <w:rFonts w:ascii="Times New Roman" w:hAnsi="Times New Roman" w:cs="Times New Roman"/>
        </w:rPr>
        <w:t>(</w:t>
      </w:r>
      <w:r w:rsidRPr="008859EE">
        <w:rPr>
          <w:rFonts w:ascii="Times New Roman" w:hAnsi="Times New Roman" w:cs="Times New Roman"/>
        </w:rPr>
        <w:t>1</w:t>
      </w:r>
      <w:r>
        <w:rPr>
          <w:rFonts w:ascii="Times New Roman" w:hAnsi="Times New Roman" w:cs="Times New Roman"/>
        </w:rPr>
        <w:t>)</w:t>
      </w:r>
      <w:r w:rsidRPr="008859EE">
        <w:rPr>
          <w:rFonts w:ascii="Times New Roman" w:hAnsi="Times New Roman" w:cs="Times New Roman"/>
        </w:rPr>
        <w:t xml:space="preserve"> </w:t>
      </w:r>
      <w:r>
        <w:rPr>
          <w:rFonts w:ascii="Times New Roman" w:hAnsi="Times New Roman" w:cs="Times New Roman"/>
        </w:rPr>
        <w:t xml:space="preserve">of Article 19 </w:t>
      </w:r>
      <w:r w:rsidRPr="008859EE">
        <w:rPr>
          <w:rFonts w:ascii="Times New Roman" w:hAnsi="Times New Roman" w:cs="Times New Roman"/>
        </w:rPr>
        <w:t>permits the Court to ‘satisfy itself that is has jurisdiction in any case brought before it.’</w:t>
      </w:r>
      <w:r>
        <w:rPr>
          <w:rStyle w:val="FootnoteReference"/>
          <w:rFonts w:ascii="Times New Roman" w:hAnsi="Times New Roman" w:cs="Times New Roman"/>
        </w:rPr>
        <w:footnoteReference w:id="40"/>
      </w:r>
      <w:r w:rsidRPr="008859EE">
        <w:rPr>
          <w:rFonts w:ascii="Times New Roman" w:hAnsi="Times New Roman" w:cs="Times New Roman"/>
        </w:rPr>
        <w:t xml:space="preserve"> A similar </w:t>
      </w:r>
      <w:r>
        <w:rPr>
          <w:rFonts w:ascii="Times New Roman" w:hAnsi="Times New Roman" w:cs="Times New Roman"/>
        </w:rPr>
        <w:t xml:space="preserve">limitation is found in </w:t>
      </w:r>
      <w:r w:rsidRPr="008859EE">
        <w:rPr>
          <w:rFonts w:ascii="Times New Roman" w:hAnsi="Times New Roman" w:cs="Times New Roman"/>
        </w:rPr>
        <w:t xml:space="preserve">subparagraph </w:t>
      </w:r>
      <w:r>
        <w:rPr>
          <w:rFonts w:ascii="Times New Roman" w:hAnsi="Times New Roman" w:cs="Times New Roman"/>
        </w:rPr>
        <w:t>(</w:t>
      </w:r>
      <w:r w:rsidRPr="008859EE">
        <w:rPr>
          <w:rFonts w:ascii="Times New Roman" w:hAnsi="Times New Roman" w:cs="Times New Roman"/>
        </w:rPr>
        <w:t>2</w:t>
      </w:r>
      <w:r>
        <w:rPr>
          <w:rFonts w:ascii="Times New Roman" w:hAnsi="Times New Roman" w:cs="Times New Roman"/>
        </w:rPr>
        <w:t>) in relation to challenges to admissibility</w:t>
      </w:r>
      <w:r w:rsidRPr="008859EE">
        <w:rPr>
          <w:rFonts w:ascii="Times New Roman" w:hAnsi="Times New Roman" w:cs="Times New Roman"/>
        </w:rPr>
        <w:t xml:space="preserve">. Subparagraph </w:t>
      </w:r>
      <w:r>
        <w:rPr>
          <w:rFonts w:ascii="Times New Roman" w:hAnsi="Times New Roman" w:cs="Times New Roman"/>
        </w:rPr>
        <w:t>(</w:t>
      </w:r>
      <w:r w:rsidRPr="008859EE">
        <w:rPr>
          <w:rFonts w:ascii="Times New Roman" w:hAnsi="Times New Roman" w:cs="Times New Roman"/>
        </w:rPr>
        <w:t>2</w:t>
      </w:r>
      <w:r>
        <w:rPr>
          <w:rFonts w:ascii="Times New Roman" w:hAnsi="Times New Roman" w:cs="Times New Roman"/>
        </w:rPr>
        <w:t>) grants the ability to challenge ‘the admissibility of a case’ to three different interested groups.</w:t>
      </w:r>
      <w:r>
        <w:rPr>
          <w:rStyle w:val="FootnoteReference"/>
          <w:rFonts w:ascii="Times New Roman" w:hAnsi="Times New Roman" w:cs="Times New Roman"/>
        </w:rPr>
        <w:footnoteReference w:id="41"/>
      </w:r>
      <w:r w:rsidRPr="008859EE">
        <w:rPr>
          <w:rFonts w:ascii="Times New Roman" w:hAnsi="Times New Roman" w:cs="Times New Roman"/>
        </w:rPr>
        <w:t xml:space="preserve"> </w:t>
      </w:r>
      <w:r>
        <w:rPr>
          <w:rFonts w:ascii="Times New Roman" w:hAnsi="Times New Roman" w:cs="Times New Roman"/>
        </w:rPr>
        <w:t xml:space="preserve">Both of these sections explicitly limit inquiries into jurisdiction and admissibility to matters that have become cases. This is significant because a </w:t>
      </w:r>
      <w:r>
        <w:rPr>
          <w:rFonts w:ascii="Times New Roman" w:hAnsi="Times New Roman" w:cs="Times New Roman"/>
          <w:color w:val="000000"/>
          <w:lang w:val="en-US"/>
        </w:rPr>
        <w:t>case does not exist at the International Criminal Court until a warrant of arrest or a summons to appear is issued, i.e. until the accused is formally identified.</w:t>
      </w:r>
      <w:r>
        <w:rPr>
          <w:rStyle w:val="FootnoteReference"/>
          <w:rFonts w:ascii="Times New Roman" w:hAnsi="Times New Roman" w:cs="Times New Roman"/>
          <w:color w:val="000000"/>
          <w:lang w:val="en-US"/>
        </w:rPr>
        <w:footnoteReference w:id="42"/>
      </w:r>
      <w:r>
        <w:rPr>
          <w:rFonts w:ascii="Times New Roman" w:hAnsi="Times New Roman" w:cs="Times New Roman"/>
          <w:color w:val="000000"/>
          <w:lang w:val="en-US"/>
        </w:rPr>
        <w:t xml:space="preserve"> This definition comports with the findings of Pre-Trial Chamber I in a decision relating to victim participation in the Situation in the Democratic Republic of Congo. There, Pre-Trial Chamber I found that a case involves ‘specific incidents during which one or more crimes within the jurisdiction of the Court seem to have been committed by one or more identified suspects’.</w:t>
      </w:r>
      <w:r>
        <w:rPr>
          <w:rStyle w:val="FootnoteReference"/>
          <w:rFonts w:ascii="Times New Roman" w:hAnsi="Times New Roman" w:cs="Times New Roman"/>
          <w:color w:val="000000"/>
          <w:lang w:val="en-US"/>
        </w:rPr>
        <w:footnoteReference w:id="43"/>
      </w:r>
      <w:r>
        <w:rPr>
          <w:rFonts w:ascii="Times New Roman" w:hAnsi="Times New Roman" w:cs="Times New Roman"/>
          <w:color w:val="000000"/>
          <w:lang w:val="en-US"/>
        </w:rPr>
        <w:t xml:space="preserve"> Based on this definition, the Court, interested states including those with jurisdiction over the matter and the accused are only permitted to challenge the jurisdiction of the International Criminal Court or the admissibility of a case after an accused is formally identified.</w:t>
      </w:r>
    </w:p>
    <w:p w14:paraId="1B128EE8" w14:textId="1232548D"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rPr>
        <w:t xml:space="preserve">  In contrast, if Article 19(3) is read in the manner suggested, then the Office of the Prosecutor is not subject to a similar limitation. This</w:t>
      </w:r>
      <w:r w:rsidRPr="008859EE">
        <w:rPr>
          <w:rFonts w:ascii="Times New Roman" w:hAnsi="Times New Roman" w:cs="Times New Roman"/>
        </w:rPr>
        <w:t xml:space="preserve"> would mean that the </w:t>
      </w:r>
      <w:r>
        <w:rPr>
          <w:rFonts w:ascii="Times New Roman" w:hAnsi="Times New Roman" w:cs="Times New Roman"/>
        </w:rPr>
        <w:t>Office of the Prosecutor</w:t>
      </w:r>
      <w:r w:rsidRPr="008859EE">
        <w:rPr>
          <w:rFonts w:ascii="Times New Roman" w:hAnsi="Times New Roman" w:cs="Times New Roman"/>
        </w:rPr>
        <w:t xml:space="preserve"> has a right to question the Court’s jurisdiction that is even more expansive than that which is possessed by the Court itself.</w:t>
      </w:r>
      <w:r>
        <w:rPr>
          <w:rFonts w:ascii="Times New Roman" w:hAnsi="Times New Roman" w:cs="Times New Roman"/>
        </w:rPr>
        <w:t xml:space="preserve"> </w:t>
      </w:r>
      <w:r w:rsidRPr="008859EE">
        <w:rPr>
          <w:rFonts w:ascii="Times New Roman" w:hAnsi="Times New Roman" w:cs="Times New Roman"/>
        </w:rPr>
        <w:t xml:space="preserve">It is an unsupportable conclusion that the drafters of the Statute intended to give the </w:t>
      </w:r>
      <w:r>
        <w:rPr>
          <w:rFonts w:ascii="Times New Roman" w:hAnsi="Times New Roman" w:cs="Times New Roman"/>
        </w:rPr>
        <w:t xml:space="preserve">Office of the </w:t>
      </w:r>
      <w:r w:rsidRPr="008859EE">
        <w:rPr>
          <w:rFonts w:ascii="Times New Roman" w:hAnsi="Times New Roman" w:cs="Times New Roman"/>
        </w:rPr>
        <w:t>Prosecutor more power in this regard than the Court or any other interested parties.</w:t>
      </w:r>
      <w:r>
        <w:rPr>
          <w:rFonts w:ascii="Times New Roman" w:hAnsi="Times New Roman" w:cs="Times New Roman"/>
        </w:rPr>
        <w:t xml:space="preserve"> </w:t>
      </w:r>
      <w:r>
        <w:rPr>
          <w:rFonts w:ascii="Times New Roman" w:hAnsi="Times New Roman" w:cs="Times New Roman"/>
          <w:color w:val="000000"/>
          <w:lang w:val="en-US"/>
        </w:rPr>
        <w:t>Judge Marc Perrin de Brichambaut concurred with this conclusion in his partially dissenting opinion from the Decision of the Court with respect to the Prosecutor’s Request in</w:t>
      </w:r>
      <w:r w:rsidR="004615CD">
        <w:rPr>
          <w:rFonts w:ascii="Times New Roman" w:hAnsi="Times New Roman" w:cs="Times New Roman"/>
          <w:color w:val="000000"/>
          <w:lang w:val="en-US"/>
        </w:rPr>
        <w:t xml:space="preserve"> this matter. He found that</w:t>
      </w:r>
      <w:r>
        <w:rPr>
          <w:rFonts w:ascii="Times New Roman" w:hAnsi="Times New Roman" w:cs="Times New Roman"/>
          <w:color w:val="000000"/>
          <w:lang w:val="en-US"/>
        </w:rPr>
        <w:t xml:space="preserve"> Article 19(3), when placed in its proper context, is not applicable until a matter has reached the case stage of proceedings.</w:t>
      </w:r>
      <w:r>
        <w:rPr>
          <w:rStyle w:val="FootnoteReference"/>
          <w:rFonts w:ascii="Times New Roman" w:hAnsi="Times New Roman" w:cs="Times New Roman"/>
          <w:color w:val="000000"/>
          <w:lang w:val="en-US"/>
        </w:rPr>
        <w:footnoteReference w:id="44"/>
      </w:r>
      <w:r>
        <w:rPr>
          <w:rFonts w:ascii="Times New Roman" w:hAnsi="Times New Roman" w:cs="Times New Roman"/>
          <w:color w:val="000000"/>
          <w:lang w:val="en-US"/>
        </w:rPr>
        <w:t xml:space="preserve"> </w:t>
      </w:r>
    </w:p>
    <w:p w14:paraId="32010FB5" w14:textId="1CF2745A"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color w:val="000000"/>
          <w:lang w:val="en-US"/>
        </w:rPr>
        <w:t xml:space="preserve">This reading of Article 19(3) has its detractors. In their jointly written chapter in Otto Triffterer and Kai Ambos’ commentary on the Rome Statute, Christopher Hall, Daniel Nsereko and Manuel </w:t>
      </w:r>
      <w:r w:rsidRPr="00D55F34">
        <w:rPr>
          <w:rFonts w:ascii="Times New Roman" w:hAnsi="Times New Roman" w:cs="Times New Roman"/>
          <w:color w:val="000000"/>
          <w:lang w:val="en-US"/>
        </w:rPr>
        <w:t xml:space="preserve">Ventura reach the opposite conclusion. In their view, the fact that Article 19(3), unlike Article 19(1) and 19(2), does not contain an explicit restriction </w:t>
      </w:r>
      <w:r>
        <w:rPr>
          <w:rFonts w:ascii="Times New Roman" w:hAnsi="Times New Roman" w:cs="Times New Roman"/>
          <w:color w:val="000000"/>
          <w:lang w:val="en-US"/>
        </w:rPr>
        <w:t xml:space="preserve">limiting its application </w:t>
      </w:r>
      <w:r w:rsidRPr="00D55F34">
        <w:rPr>
          <w:rFonts w:ascii="Times New Roman" w:hAnsi="Times New Roman" w:cs="Times New Roman"/>
          <w:color w:val="000000"/>
          <w:lang w:val="en-US"/>
        </w:rPr>
        <w:t>to the case phase of proceedings is significant.</w:t>
      </w:r>
      <w:r w:rsidRPr="00D55F34">
        <w:rPr>
          <w:rStyle w:val="FootnoteReference"/>
          <w:rFonts w:ascii="Times New Roman" w:hAnsi="Times New Roman" w:cs="Times New Roman"/>
          <w:color w:val="000000"/>
          <w:lang w:val="en-US"/>
        </w:rPr>
        <w:footnoteReference w:id="45"/>
      </w:r>
      <w:r w:rsidRPr="00D55F34">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They do not elaborate on this point and </w:t>
      </w:r>
      <w:r w:rsidR="004615CD">
        <w:rPr>
          <w:rFonts w:ascii="Times New Roman" w:hAnsi="Times New Roman" w:cs="Times New Roman"/>
          <w:color w:val="000000"/>
          <w:lang w:val="en-US"/>
        </w:rPr>
        <w:t>focus</w:t>
      </w:r>
      <w:r>
        <w:rPr>
          <w:rFonts w:ascii="Times New Roman" w:hAnsi="Times New Roman" w:cs="Times New Roman"/>
          <w:color w:val="000000"/>
          <w:lang w:val="en-US"/>
        </w:rPr>
        <w:t xml:space="preserve"> entirely on the plain language of the Statute without making any attempt to understand the articl</w:t>
      </w:r>
      <w:r w:rsidR="00D37035">
        <w:rPr>
          <w:rFonts w:ascii="Times New Roman" w:hAnsi="Times New Roman" w:cs="Times New Roman"/>
          <w:color w:val="000000"/>
          <w:lang w:val="en-US"/>
        </w:rPr>
        <w:t>e in context. T</w:t>
      </w:r>
      <w:r>
        <w:rPr>
          <w:rFonts w:ascii="Times New Roman" w:hAnsi="Times New Roman" w:cs="Times New Roman"/>
          <w:color w:val="000000"/>
          <w:lang w:val="en-US"/>
        </w:rPr>
        <w:t>he Prosecutor</w:t>
      </w:r>
      <w:r w:rsidR="00D37035">
        <w:rPr>
          <w:rFonts w:ascii="Times New Roman" w:hAnsi="Times New Roman" w:cs="Times New Roman"/>
          <w:color w:val="000000"/>
          <w:lang w:val="en-US"/>
        </w:rPr>
        <w:t xml:space="preserve">’s Office relied on this </w:t>
      </w:r>
      <w:r w:rsidR="004615CD">
        <w:rPr>
          <w:rFonts w:ascii="Times New Roman" w:hAnsi="Times New Roman" w:cs="Times New Roman"/>
          <w:color w:val="000000"/>
          <w:lang w:val="en-US"/>
        </w:rPr>
        <w:t>interpretation</w:t>
      </w:r>
      <w:r w:rsidR="00D37035">
        <w:rPr>
          <w:rFonts w:ascii="Times New Roman" w:hAnsi="Times New Roman" w:cs="Times New Roman"/>
          <w:color w:val="000000"/>
          <w:lang w:val="en-US"/>
        </w:rPr>
        <w:t xml:space="preserve"> in its </w:t>
      </w:r>
      <w:r>
        <w:rPr>
          <w:rFonts w:ascii="Times New Roman" w:hAnsi="Times New Roman" w:cs="Times New Roman"/>
          <w:color w:val="000000"/>
          <w:lang w:val="en-US"/>
        </w:rPr>
        <w:t>Request without mentioning any of the opposing commentary.</w:t>
      </w:r>
    </w:p>
    <w:p w14:paraId="6DC459C9" w14:textId="77777777" w:rsidR="006D54E3" w:rsidRDefault="006D54E3" w:rsidP="006D54E3">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color w:val="000000"/>
          <w:lang w:val="en-US"/>
        </w:rPr>
        <w:tab/>
        <w:t xml:space="preserve">Instead of attempting to unpick this thorny issue, the Pre-Trial Chamber ignored it and relied on Article 119(1) as a partial basis for its decision. Article 119(1) states that </w:t>
      </w:r>
      <w:r w:rsidRPr="00DE28CD">
        <w:rPr>
          <w:rFonts w:ascii="Times New Roman" w:hAnsi="Times New Roman" w:cs="Times New Roman"/>
          <w:color w:val="000000"/>
          <w:lang w:val="en-US"/>
        </w:rPr>
        <w:t>‘</w:t>
      </w:r>
      <w:r w:rsidRPr="00DE28CD">
        <w:rPr>
          <w:rFonts w:ascii="Times New Roman" w:hAnsi="Times New Roman" w:cs="Times New Roman"/>
        </w:rPr>
        <w:t>[a]ny dispute concerning the judicial functions of the Court shall be settled by the decision of the Court.’</w:t>
      </w:r>
      <w:r>
        <w:rPr>
          <w:rStyle w:val="FootnoteReference"/>
          <w:rFonts w:ascii="Times New Roman" w:hAnsi="Times New Roman" w:cs="Times New Roman"/>
        </w:rPr>
        <w:footnoteReference w:id="46"/>
      </w:r>
      <w:r>
        <w:rPr>
          <w:rFonts w:ascii="Times New Roman" w:hAnsi="Times New Roman" w:cs="Times New Roman"/>
        </w:rPr>
        <w:t xml:space="preserve"> Although the phrase ‘judicial functions’ is rather vague, it has been defined broadly to include questions of jurisdiction.</w:t>
      </w:r>
      <w:r>
        <w:rPr>
          <w:rStyle w:val="FootnoteReference"/>
          <w:rFonts w:ascii="Times New Roman" w:hAnsi="Times New Roman" w:cs="Times New Roman"/>
        </w:rPr>
        <w:footnoteReference w:id="47"/>
      </w:r>
      <w:r>
        <w:rPr>
          <w:rFonts w:ascii="Times New Roman" w:hAnsi="Times New Roman" w:cs="Times New Roman"/>
        </w:rPr>
        <w:t xml:space="preserve"> The Pre-Trial Chamber interpreted this to mean that it is ‘empowered to rule on the question of jurisdiction set out in the Request.’</w:t>
      </w:r>
      <w:r>
        <w:rPr>
          <w:rStyle w:val="FootnoteReference"/>
          <w:rFonts w:ascii="Times New Roman" w:hAnsi="Times New Roman" w:cs="Times New Roman"/>
        </w:rPr>
        <w:footnoteReference w:id="48"/>
      </w:r>
      <w:r>
        <w:rPr>
          <w:rFonts w:ascii="Times New Roman" w:hAnsi="Times New Roman" w:cs="Times New Roman"/>
        </w:rPr>
        <w:t xml:space="preserve"> </w:t>
      </w:r>
      <w:r w:rsidRPr="00AE1134">
        <w:rPr>
          <w:rFonts w:ascii="Times New Roman" w:hAnsi="Times New Roman" w:cs="Times New Roman"/>
        </w:rPr>
        <w:t>The Pre-Trial Chamber’s approach to Article 119(1) is not universally accepted. William Schabas points out that neither the Rome Statute or the Rules of Procedure and Evidence contain a mechanism for the International Criminal Court to adjudicate disputes about its judicial functions.</w:t>
      </w:r>
      <w:r w:rsidRPr="00AE1134">
        <w:rPr>
          <w:rStyle w:val="FootnoteReference"/>
          <w:rFonts w:ascii="Times New Roman" w:hAnsi="Times New Roman" w:cs="Times New Roman"/>
        </w:rPr>
        <w:footnoteReference w:id="49"/>
      </w:r>
      <w:r w:rsidRPr="00AE1134">
        <w:rPr>
          <w:rFonts w:ascii="Times New Roman" w:hAnsi="Times New Roman" w:cs="Times New Roman"/>
        </w:rPr>
        <w:t xml:space="preserve"> He posits that the purpose of the article is not to authorise the Court to make decisions about its own judicial functions, but instead is meant to bar other bodies from questioning the decisions of the Court.</w:t>
      </w:r>
      <w:r w:rsidRPr="00AE1134">
        <w:rPr>
          <w:rStyle w:val="FootnoteReference"/>
          <w:rFonts w:ascii="Times New Roman" w:hAnsi="Times New Roman" w:cs="Times New Roman"/>
        </w:rPr>
        <w:footnoteReference w:id="50"/>
      </w:r>
      <w:r>
        <w:rPr>
          <w:rFonts w:ascii="Times New Roman" w:hAnsi="Times New Roman" w:cs="Times New Roman"/>
        </w:rPr>
        <w:t xml:space="preserve"> </w:t>
      </w:r>
    </w:p>
    <w:p w14:paraId="20B5555B" w14:textId="185EC3C2" w:rsidR="006D54E3" w:rsidRPr="003622F7" w:rsidRDefault="006D54E3" w:rsidP="006D54E3">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rPr>
        <w:tab/>
        <w:t>I</w:t>
      </w:r>
      <w:r w:rsidRPr="00AE1134">
        <w:rPr>
          <w:rFonts w:ascii="Times New Roman" w:hAnsi="Times New Roman" w:cs="Times New Roman"/>
        </w:rPr>
        <w:t>t is important to point out that Article 19(1) sets out a practice whereby the Court can reach a determination</w:t>
      </w:r>
      <w:r>
        <w:rPr>
          <w:rFonts w:ascii="Times New Roman" w:hAnsi="Times New Roman" w:cs="Times New Roman"/>
        </w:rPr>
        <w:t xml:space="preserve"> about its jurisdiction. </w:t>
      </w:r>
      <w:r w:rsidRPr="00AE1134">
        <w:rPr>
          <w:rFonts w:ascii="Times New Roman" w:hAnsi="Times New Roman" w:cs="Times New Roman"/>
        </w:rPr>
        <w:t xml:space="preserve">Article 19(1) </w:t>
      </w:r>
      <w:r>
        <w:rPr>
          <w:rFonts w:ascii="Times New Roman" w:hAnsi="Times New Roman" w:cs="Times New Roman"/>
        </w:rPr>
        <w:t xml:space="preserve">explicitly </w:t>
      </w:r>
      <w:r w:rsidRPr="00AE1134">
        <w:rPr>
          <w:rFonts w:ascii="Times New Roman" w:hAnsi="Times New Roman" w:cs="Times New Roman"/>
        </w:rPr>
        <w:t>states that ‘The Court shall satisfy itself that it has jurisdiction in any case brought before it.</w:t>
      </w:r>
      <w:r>
        <w:rPr>
          <w:rFonts w:ascii="Times New Roman" w:hAnsi="Times New Roman" w:cs="Times New Roman"/>
        </w:rPr>
        <w:t>’</w:t>
      </w:r>
      <w:r>
        <w:rPr>
          <w:rStyle w:val="FootnoteReference"/>
          <w:rFonts w:ascii="Times New Roman" w:hAnsi="Times New Roman" w:cs="Times New Roman"/>
        </w:rPr>
        <w:footnoteReference w:id="51"/>
      </w:r>
      <w:r>
        <w:rPr>
          <w:rFonts w:ascii="Times New Roman" w:hAnsi="Times New Roman" w:cs="Times New Roman"/>
        </w:rPr>
        <w:t xml:space="preserve"> This provision clearly gives the Court the authority to rule on questions of jurisdiction but limits the exercise of that authority to the case stage of proceedings. </w:t>
      </w:r>
      <w:r>
        <w:rPr>
          <w:rFonts w:ascii="Times New Roman" w:hAnsi="Times New Roman" w:cs="Times New Roman"/>
          <w:color w:val="000000"/>
          <w:lang w:val="en-US"/>
        </w:rPr>
        <w:t>This demonstrates that while the Court does have the authority to rule on questions of jurisdiction like the one raised by the Prosecutor</w:t>
      </w:r>
      <w:r w:rsidR="00D37035">
        <w:rPr>
          <w:rFonts w:ascii="Times New Roman" w:hAnsi="Times New Roman" w:cs="Times New Roman"/>
          <w:color w:val="000000"/>
          <w:lang w:val="en-US"/>
        </w:rPr>
        <w:t>’s Office</w:t>
      </w:r>
      <w:r>
        <w:rPr>
          <w:rFonts w:ascii="Times New Roman" w:hAnsi="Times New Roman" w:cs="Times New Roman"/>
          <w:color w:val="000000"/>
          <w:lang w:val="en-US"/>
        </w:rPr>
        <w:t>, it cannot exercise that authority at this stage of proceedings.</w:t>
      </w:r>
      <w:r>
        <w:rPr>
          <w:rFonts w:ascii="Times New Roman" w:hAnsi="Times New Roman" w:cs="Times New Roman"/>
        </w:rPr>
        <w:t xml:space="preserve"> </w:t>
      </w:r>
      <w:r>
        <w:rPr>
          <w:rFonts w:ascii="Times New Roman" w:hAnsi="Times New Roman" w:cs="Times New Roman"/>
          <w:color w:val="000000"/>
          <w:lang w:val="en-US"/>
        </w:rPr>
        <w:t>To read Article 119(1) in such a way as to permit the Court to enter a decision about jurisdiction at anytime would effectively render Article 19(1) meaningless. It is a well-established legal principle that all of the words used by the drafters when writing a Treaty or Statute should be given effect.</w:t>
      </w:r>
      <w:r>
        <w:rPr>
          <w:rStyle w:val="FootnoteReference"/>
          <w:rFonts w:ascii="Times New Roman" w:hAnsi="Times New Roman" w:cs="Times New Roman"/>
          <w:color w:val="000000"/>
          <w:lang w:val="en-US"/>
        </w:rPr>
        <w:footnoteReference w:id="52"/>
      </w:r>
      <w:r>
        <w:rPr>
          <w:rFonts w:ascii="Times New Roman" w:hAnsi="Times New Roman" w:cs="Times New Roman"/>
          <w:color w:val="000000"/>
          <w:lang w:val="en-US"/>
        </w:rPr>
        <w:t xml:space="preserve"> Trial Chamber V(A) of the International Criminal Court recognised this principle in a decision in the </w:t>
      </w:r>
      <w:r>
        <w:rPr>
          <w:rFonts w:ascii="Times New Roman" w:hAnsi="Times New Roman" w:cs="Times New Roman"/>
          <w:i/>
          <w:color w:val="000000"/>
          <w:lang w:val="en-US"/>
        </w:rPr>
        <w:t>Prosecutor v Ruto et al.</w:t>
      </w:r>
      <w:r>
        <w:rPr>
          <w:rFonts w:ascii="Times New Roman" w:hAnsi="Times New Roman" w:cs="Times New Roman"/>
          <w:color w:val="000000"/>
          <w:lang w:val="en-US"/>
        </w:rPr>
        <w:t xml:space="preserve"> The Trial Chamber found that the Statute should not be read in a manner that results in another part of the Statute being made redundant.</w:t>
      </w:r>
      <w:r>
        <w:rPr>
          <w:rStyle w:val="FootnoteReference"/>
          <w:rFonts w:ascii="Times New Roman" w:hAnsi="Times New Roman" w:cs="Times New Roman"/>
          <w:color w:val="000000"/>
          <w:lang w:val="en-US"/>
        </w:rPr>
        <w:footnoteReference w:id="53"/>
      </w:r>
      <w:r>
        <w:rPr>
          <w:rFonts w:ascii="Times New Roman" w:hAnsi="Times New Roman" w:cs="Times New Roman"/>
          <w:color w:val="000000"/>
          <w:lang w:val="en-US"/>
        </w:rPr>
        <w:t xml:space="preserve"> Instead, the Statute must be read as a whole because there may be provisions in the Statute that impose limitations on the provision under consideration that are not apparent when viewing the relevant part in isolation.</w:t>
      </w:r>
      <w:r>
        <w:rPr>
          <w:rStyle w:val="FootnoteReference"/>
          <w:rFonts w:ascii="Times New Roman" w:hAnsi="Times New Roman" w:cs="Times New Roman"/>
          <w:color w:val="000000"/>
          <w:lang w:val="en-US"/>
        </w:rPr>
        <w:footnoteReference w:id="54"/>
      </w:r>
      <w:r>
        <w:rPr>
          <w:rFonts w:ascii="Times New Roman" w:hAnsi="Times New Roman" w:cs="Times New Roman"/>
          <w:color w:val="000000"/>
          <w:lang w:val="en-US"/>
        </w:rPr>
        <w:t xml:space="preserve"> In reaching this conclusion, the Trial Chamber relied heavily on the jurisprudence of the International Court of Justice and its predecessor, the Permanent Court of International Justice.</w:t>
      </w:r>
      <w:r>
        <w:rPr>
          <w:rStyle w:val="FootnoteReference"/>
          <w:rFonts w:ascii="Times New Roman" w:hAnsi="Times New Roman" w:cs="Times New Roman"/>
          <w:color w:val="000000"/>
          <w:lang w:val="en-US"/>
        </w:rPr>
        <w:footnoteReference w:id="55"/>
      </w:r>
      <w:r>
        <w:rPr>
          <w:rFonts w:ascii="Times New Roman" w:hAnsi="Times New Roman" w:cs="Times New Roman"/>
          <w:color w:val="000000"/>
          <w:lang w:val="en-US"/>
        </w:rPr>
        <w:t xml:space="preserve"> The Pre-Trial Chamber ignored this earlier jurisprudence by reading Article 119(1) in such a way as to render Article 19(1) meaningless. The Pre-Trial Chamber’s decision makes no reference to the limitation on making determinations about jurisdiction found in Article 19(1). This omission casts serious doubt on the applicability of Article 119(1) when de</w:t>
      </w:r>
      <w:r w:rsidR="00F460FD">
        <w:rPr>
          <w:rFonts w:ascii="Times New Roman" w:hAnsi="Times New Roman" w:cs="Times New Roman"/>
          <w:color w:val="000000"/>
          <w:lang w:val="en-US"/>
        </w:rPr>
        <w:t>ciding on the request made by the Prosecutor’s Office.</w:t>
      </w:r>
      <w:r>
        <w:rPr>
          <w:rFonts w:ascii="Times New Roman" w:hAnsi="Times New Roman" w:cs="Times New Roman"/>
          <w:color w:val="000000"/>
          <w:lang w:val="en-US"/>
        </w:rPr>
        <w:t xml:space="preserve"> </w:t>
      </w:r>
    </w:p>
    <w:p w14:paraId="679835BC" w14:textId="77777777"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color w:val="000000"/>
          <w:lang w:val="en-US"/>
        </w:rPr>
        <w:t>Pre-Trial Chamber I also found that Article 21(1)(b) of the Statute gave it the authority to determine whether the Court has jurisdiction over the deportation of the Rohingya. Article 21(1) establishes the various sources of law the Court may rely on when reaching a decision. The sources contained in subparagraph (a) are the Statute, Rules of Procedure and Evidence and Elements of Crimes; subparagraph (b) includes applicable treaties and the principles and rules of international law; and subparagraph (c) encompasses general principles of law.</w:t>
      </w:r>
      <w:r>
        <w:rPr>
          <w:rStyle w:val="FootnoteReference"/>
          <w:rFonts w:ascii="Times New Roman" w:hAnsi="Times New Roman" w:cs="Times New Roman"/>
          <w:color w:val="000000"/>
          <w:lang w:val="en-US"/>
        </w:rPr>
        <w:footnoteReference w:id="56"/>
      </w:r>
      <w:r>
        <w:rPr>
          <w:rFonts w:ascii="Times New Roman" w:hAnsi="Times New Roman" w:cs="Times New Roman"/>
          <w:color w:val="000000"/>
          <w:lang w:val="en-US"/>
        </w:rPr>
        <w:t xml:space="preserve"> These sources are placed in a three-tiered hierarchy, with the Article 21(1)(a) sources at the top and the Article 21(1)(c) sources at the bottom.</w:t>
      </w:r>
      <w:r>
        <w:rPr>
          <w:rStyle w:val="FootnoteReference"/>
          <w:rFonts w:ascii="Times New Roman" w:hAnsi="Times New Roman" w:cs="Times New Roman"/>
          <w:color w:val="000000"/>
          <w:lang w:val="en-US"/>
        </w:rPr>
        <w:footnoteReference w:id="57"/>
      </w:r>
      <w:r>
        <w:rPr>
          <w:rFonts w:ascii="Times New Roman" w:hAnsi="Times New Roman" w:cs="Times New Roman"/>
          <w:color w:val="000000"/>
          <w:lang w:val="en-US"/>
        </w:rPr>
        <w:t xml:space="preserve"> In </w:t>
      </w:r>
      <w:r>
        <w:rPr>
          <w:rFonts w:ascii="Times New Roman" w:hAnsi="Times New Roman" w:cs="Times New Roman"/>
          <w:i/>
          <w:color w:val="000000"/>
          <w:lang w:val="en-US"/>
        </w:rPr>
        <w:t>Prosecutor v Bashir</w:t>
      </w:r>
      <w:r>
        <w:rPr>
          <w:rFonts w:ascii="Times New Roman" w:hAnsi="Times New Roman" w:cs="Times New Roman"/>
          <w:color w:val="000000"/>
          <w:lang w:val="en-US"/>
        </w:rPr>
        <w:t>, Pre-Trial Chamber I confirmed the place of the Statute, Rules of Procedure and Evidence and Elements of Crimes at the apex of the hierarchy and went on to find that the sources described in Articles 21(1)(b) and (c) should only be applied when: 1) there is a lacuna in the Article 21(1)(a) sources; and 2) that lacuna cannot be filled by the application of the criteria found in Articles 31 and 32 of the Vienna Convention on the Law of Treaties and Article 21(3) of the Rome Statute.</w:t>
      </w:r>
      <w:r>
        <w:rPr>
          <w:rStyle w:val="FootnoteReference"/>
          <w:rFonts w:ascii="Times New Roman" w:hAnsi="Times New Roman" w:cs="Times New Roman"/>
          <w:color w:val="000000"/>
          <w:lang w:val="en-US"/>
        </w:rPr>
        <w:footnoteReference w:id="58"/>
      </w:r>
      <w:r>
        <w:rPr>
          <w:rFonts w:ascii="Times New Roman" w:hAnsi="Times New Roman" w:cs="Times New Roman"/>
          <w:color w:val="000000"/>
          <w:lang w:val="en-US"/>
        </w:rPr>
        <w:t xml:space="preserve"> </w:t>
      </w:r>
    </w:p>
    <w:p w14:paraId="5552578B" w14:textId="77777777"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color w:val="000000"/>
          <w:lang w:val="en-US"/>
        </w:rPr>
        <w:t xml:space="preserve">The first criterion established in the </w:t>
      </w:r>
      <w:r>
        <w:rPr>
          <w:rFonts w:ascii="Times New Roman" w:hAnsi="Times New Roman" w:cs="Times New Roman"/>
          <w:i/>
          <w:color w:val="000000"/>
          <w:lang w:val="en-US"/>
        </w:rPr>
        <w:t xml:space="preserve">Bashir </w:t>
      </w:r>
      <w:r>
        <w:rPr>
          <w:rFonts w:ascii="Times New Roman" w:hAnsi="Times New Roman" w:cs="Times New Roman"/>
          <w:color w:val="000000"/>
          <w:lang w:val="en-US"/>
        </w:rPr>
        <w:t>case, that there must be a lacuna in the Statute before recourse can be made to the Article 21(1)(b) and (c) sources, would seem to preclude the Pre-Trial Chamber from basing its decision on one of those sources. Clearly, if the Pre-Trial Chamber believes that Article 119(1) applies to this matter it cannot also think that there is a gap in the Statute permitting recourse to Article 21(1)(b). Additionally, Article 19(1) explicitly identifies the stage of proceedings at which the International Criminal Court may make a determination about jurisdiction. However, despite the absence of a lacuna in the Statute, t</w:t>
      </w:r>
      <w:r w:rsidRPr="000A55A3">
        <w:rPr>
          <w:rFonts w:ascii="Times New Roman" w:hAnsi="Times New Roman" w:cs="Times New Roman"/>
          <w:color w:val="000000"/>
          <w:lang w:val="en-US"/>
        </w:rPr>
        <w:t>he Pre-Trial</w:t>
      </w:r>
      <w:r>
        <w:rPr>
          <w:rFonts w:ascii="Times New Roman" w:hAnsi="Times New Roman" w:cs="Times New Roman"/>
          <w:color w:val="000000"/>
          <w:lang w:val="en-US"/>
        </w:rPr>
        <w:t xml:space="preserve"> Chamber saw fit to demonstrate </w:t>
      </w:r>
      <w:r w:rsidRPr="000A55A3">
        <w:rPr>
          <w:rFonts w:ascii="Times New Roman" w:hAnsi="Times New Roman" w:cs="Times New Roman"/>
          <w:color w:val="000000"/>
          <w:lang w:val="en-US"/>
        </w:rPr>
        <w:t xml:space="preserve">that it possessed the necessary competence to decide the </w:t>
      </w:r>
      <w:r>
        <w:rPr>
          <w:rFonts w:ascii="Times New Roman" w:hAnsi="Times New Roman" w:cs="Times New Roman"/>
          <w:color w:val="000000"/>
          <w:lang w:val="en-US"/>
        </w:rPr>
        <w:t xml:space="preserve">jurisdictional </w:t>
      </w:r>
      <w:r w:rsidRPr="000A55A3">
        <w:rPr>
          <w:rFonts w:ascii="Times New Roman" w:hAnsi="Times New Roman" w:cs="Times New Roman"/>
          <w:color w:val="000000"/>
          <w:lang w:val="en-US"/>
        </w:rPr>
        <w:t>issue</w:t>
      </w:r>
      <w:r>
        <w:rPr>
          <w:rFonts w:ascii="Times New Roman" w:hAnsi="Times New Roman" w:cs="Times New Roman"/>
          <w:color w:val="000000"/>
          <w:lang w:val="en-US"/>
        </w:rPr>
        <w:t xml:space="preserve"> pursuant to an Article 21(1)(b) source</w:t>
      </w:r>
      <w:r w:rsidRPr="000A55A3">
        <w:rPr>
          <w:rFonts w:ascii="Times New Roman" w:hAnsi="Times New Roman" w:cs="Times New Roman"/>
          <w:color w:val="000000"/>
          <w:lang w:val="en-US"/>
        </w:rPr>
        <w:t xml:space="preserve">. </w:t>
      </w:r>
      <w:r>
        <w:rPr>
          <w:rFonts w:ascii="Times New Roman" w:hAnsi="Times New Roman" w:cs="Times New Roman"/>
          <w:color w:val="000000"/>
          <w:lang w:val="en-US"/>
        </w:rPr>
        <w:t>In this case it relied</w:t>
      </w:r>
      <w:r w:rsidRPr="000A55A3">
        <w:rPr>
          <w:rFonts w:ascii="Times New Roman" w:hAnsi="Times New Roman" w:cs="Times New Roman"/>
          <w:color w:val="000000"/>
          <w:lang w:val="en-US"/>
        </w:rPr>
        <w:t xml:space="preserve"> on the </w:t>
      </w:r>
      <w:r>
        <w:rPr>
          <w:rFonts w:ascii="Times New Roman" w:hAnsi="Times New Roman" w:cs="Times New Roman"/>
          <w:color w:val="000000"/>
          <w:lang w:val="en-US"/>
        </w:rPr>
        <w:t xml:space="preserve">established </w:t>
      </w:r>
      <w:r w:rsidRPr="000A55A3">
        <w:rPr>
          <w:rFonts w:ascii="Times New Roman" w:hAnsi="Times New Roman" w:cs="Times New Roman"/>
          <w:color w:val="000000"/>
          <w:lang w:val="en-US"/>
        </w:rPr>
        <w:t>principle of</w:t>
      </w:r>
      <w:r>
        <w:rPr>
          <w:rFonts w:ascii="Times New Roman" w:hAnsi="Times New Roman" w:cs="Times New Roman"/>
          <w:color w:val="000000"/>
          <w:lang w:val="en-US"/>
        </w:rPr>
        <w:t xml:space="preserve"> law of</w:t>
      </w:r>
      <w:r w:rsidRPr="000A55A3">
        <w:rPr>
          <w:rFonts w:ascii="Times New Roman" w:hAnsi="Times New Roman" w:cs="Times New Roman"/>
          <w:color w:val="000000"/>
          <w:lang w:val="en-US"/>
        </w:rPr>
        <w:t xml:space="preserve"> </w:t>
      </w:r>
      <w:r w:rsidRPr="000A55A3">
        <w:rPr>
          <w:rFonts w:ascii="Times New Roman" w:hAnsi="Times New Roman" w:cs="Times New Roman"/>
          <w:i/>
          <w:color w:val="000000"/>
          <w:lang w:val="en-US"/>
        </w:rPr>
        <w:t>la compétence de la competence</w:t>
      </w:r>
      <w:r>
        <w:rPr>
          <w:rFonts w:ascii="Times New Roman" w:hAnsi="Times New Roman" w:cs="Times New Roman"/>
          <w:color w:val="000000"/>
          <w:lang w:val="en-US"/>
        </w:rPr>
        <w:t>, which is the</w:t>
      </w:r>
      <w:r w:rsidRPr="000A55A3">
        <w:rPr>
          <w:rFonts w:ascii="Times New Roman" w:hAnsi="Times New Roman" w:cs="Times New Roman"/>
          <w:color w:val="000000"/>
          <w:lang w:val="en-US"/>
        </w:rPr>
        <w:t xml:space="preserve"> long-</w:t>
      </w:r>
      <w:r>
        <w:rPr>
          <w:rFonts w:ascii="Times New Roman" w:hAnsi="Times New Roman" w:cs="Times New Roman"/>
          <w:color w:val="000000"/>
          <w:lang w:val="en-US"/>
        </w:rPr>
        <w:t>established</w:t>
      </w:r>
      <w:r w:rsidRPr="000A55A3">
        <w:rPr>
          <w:rFonts w:ascii="Times New Roman" w:hAnsi="Times New Roman" w:cs="Times New Roman"/>
          <w:color w:val="000000"/>
          <w:lang w:val="en-US"/>
        </w:rPr>
        <w:t xml:space="preserve"> idea that a body possessing jurisdictional authority has the ability to delineate the extent of its </w:t>
      </w:r>
      <w:r>
        <w:rPr>
          <w:rFonts w:ascii="Times New Roman" w:hAnsi="Times New Roman" w:cs="Times New Roman"/>
          <w:color w:val="000000"/>
          <w:lang w:val="en-US"/>
        </w:rPr>
        <w:t xml:space="preserve">own </w:t>
      </w:r>
      <w:r w:rsidRPr="000A55A3">
        <w:rPr>
          <w:rFonts w:ascii="Times New Roman" w:hAnsi="Times New Roman" w:cs="Times New Roman"/>
          <w:color w:val="000000"/>
          <w:lang w:val="en-US"/>
        </w:rPr>
        <w:t>authority.</w:t>
      </w:r>
      <w:r w:rsidRPr="000A55A3">
        <w:rPr>
          <w:rStyle w:val="FootnoteReference"/>
          <w:rFonts w:ascii="Times New Roman" w:hAnsi="Times New Roman" w:cs="Times New Roman"/>
          <w:color w:val="000000"/>
          <w:lang w:val="en-US"/>
        </w:rPr>
        <w:footnoteReference w:id="59"/>
      </w:r>
      <w:r>
        <w:rPr>
          <w:rFonts w:ascii="Times New Roman" w:hAnsi="Times New Roman" w:cs="Times New Roman"/>
          <w:color w:val="000000"/>
          <w:lang w:val="en-US"/>
        </w:rPr>
        <w:t xml:space="preserve"> </w:t>
      </w:r>
      <w:r w:rsidRPr="000A55A3">
        <w:rPr>
          <w:rFonts w:ascii="Times New Roman" w:hAnsi="Times New Roman" w:cs="Times New Roman"/>
          <w:color w:val="000000"/>
          <w:lang w:val="en-US"/>
        </w:rPr>
        <w:t xml:space="preserve">The International Court of Justice defined the principle when ruling on the preliminary objections in the </w:t>
      </w:r>
      <w:r w:rsidRPr="000A55A3">
        <w:rPr>
          <w:rFonts w:ascii="Times New Roman" w:hAnsi="Times New Roman" w:cs="Times New Roman"/>
          <w:i/>
          <w:color w:val="000000"/>
          <w:lang w:val="en-US"/>
        </w:rPr>
        <w:t>Nottebahm Case (Liechtenstein v Guatemala)</w:t>
      </w:r>
      <w:r w:rsidRPr="000A55A3">
        <w:rPr>
          <w:rFonts w:ascii="Times New Roman" w:hAnsi="Times New Roman" w:cs="Times New Roman"/>
          <w:color w:val="000000"/>
          <w:lang w:val="en-US"/>
        </w:rPr>
        <w:t>, as standing for the proposition that ‘in the absence of any agreement to the contrary, an international tribunal has the right to decide as to its own jurisdiction and has the power to interpret for this purpose the instruments which govern that jurisdiction’.</w:t>
      </w:r>
      <w:r w:rsidRPr="000A55A3">
        <w:rPr>
          <w:rStyle w:val="FootnoteReference"/>
          <w:rFonts w:ascii="Times New Roman" w:hAnsi="Times New Roman" w:cs="Times New Roman"/>
          <w:color w:val="000000"/>
          <w:lang w:val="en-US"/>
        </w:rPr>
        <w:footnoteReference w:id="60"/>
      </w:r>
      <w:r w:rsidRPr="000A55A3">
        <w:rPr>
          <w:rFonts w:ascii="Times New Roman" w:hAnsi="Times New Roman" w:cs="Times New Roman"/>
          <w:color w:val="000000"/>
          <w:lang w:val="en-US"/>
        </w:rPr>
        <w:t xml:space="preserve"> Pre-Trial Chamber I then explained that this concept had been extended to international and regional criminal law and human rights courts and tribunals, and specifically to the International Criminal Court.</w:t>
      </w:r>
      <w:r w:rsidRPr="000A55A3">
        <w:rPr>
          <w:rStyle w:val="FootnoteReference"/>
          <w:rFonts w:ascii="Times New Roman" w:hAnsi="Times New Roman" w:cs="Times New Roman"/>
          <w:color w:val="000000"/>
          <w:lang w:val="en-US"/>
        </w:rPr>
        <w:footnoteReference w:id="61"/>
      </w:r>
      <w:r>
        <w:rPr>
          <w:rFonts w:ascii="Times New Roman" w:hAnsi="Times New Roman" w:cs="Times New Roman"/>
          <w:color w:val="000000"/>
          <w:lang w:val="en-US"/>
        </w:rPr>
        <w:t xml:space="preserve"> The Pre-Trial Chamber concluded that the principle of </w:t>
      </w:r>
      <w:r w:rsidRPr="000A55A3">
        <w:rPr>
          <w:rFonts w:ascii="Times New Roman" w:hAnsi="Times New Roman" w:cs="Times New Roman"/>
          <w:i/>
          <w:color w:val="000000"/>
          <w:lang w:val="en-US"/>
        </w:rPr>
        <w:t>la compétence de la competence</w:t>
      </w:r>
      <w:r>
        <w:rPr>
          <w:rFonts w:ascii="Times New Roman" w:hAnsi="Times New Roman" w:cs="Times New Roman"/>
          <w:color w:val="000000"/>
          <w:lang w:val="en-US"/>
        </w:rPr>
        <w:t xml:space="preserve"> endows it with the ability to Rule on the Prosecutor’s Request.</w:t>
      </w:r>
      <w:r>
        <w:rPr>
          <w:rStyle w:val="FootnoteReference"/>
          <w:rFonts w:ascii="Times New Roman" w:hAnsi="Times New Roman" w:cs="Times New Roman"/>
          <w:color w:val="000000"/>
          <w:lang w:val="en-US"/>
        </w:rPr>
        <w:footnoteReference w:id="62"/>
      </w:r>
    </w:p>
    <w:p w14:paraId="52F55F10" w14:textId="1C66664E" w:rsidR="006D54E3" w:rsidRPr="00BF002A"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color w:val="000000"/>
          <w:lang w:val="en-US"/>
        </w:rPr>
        <w:t>An analysis of the relevant sections of the Statute tends to indicate that, contrary to its decision, the Pre-Trial Chamber did not have the competence to decide the issue of jurisdiction before it. Three different possible bases are suggested under which the Court may be able to exercise its authority in this matter</w:t>
      </w:r>
      <w:r w:rsidR="004615CD">
        <w:rPr>
          <w:rFonts w:ascii="Times New Roman" w:hAnsi="Times New Roman" w:cs="Times New Roman"/>
          <w:color w:val="000000"/>
          <w:lang w:val="en-US"/>
        </w:rPr>
        <w:t>.</w:t>
      </w:r>
      <w:r>
        <w:rPr>
          <w:rFonts w:ascii="Times New Roman" w:hAnsi="Times New Roman" w:cs="Times New Roman"/>
          <w:color w:val="000000"/>
          <w:lang w:val="en-US"/>
        </w:rPr>
        <w:t xml:space="preserve"> A close examination of all three indicates that none of them authorise the Pre-Trial Chamber to make a decision in this area. Article 19(3) is only applicable during the case stage of proceedings, a stage that this matter has not yet reached. Additionally, reading Article 19(3) in the manner proposed by the Prosecutor would mean that the Prosecutor has more power than the Court itself to raise inquiries regarding jurisdiction. Article 119(1) also cannot be relied upon. If it is read in such a way to permit the Court to reach a decision about jurisdiction at any time, as suggested by the Pre-Trial Chamber, it would render Article 19(1) meaningless. Such an interpretation does not comport with international law, which mandates that effect needs to be given to all aspects of the treaty or statute under consideration. Resort can also not be made to Article 21(1)(b). This article is only operative if there is a lacuna in the Statute, which there clearly is not in this situation.  As a result, there is no statutory basis upon which the Pre-Trial Chamber can justify making a decision about whether the Court has jurisdiction over the crime against humanity of deportation as it relates to the forcible transfer of the Rohingya from Myanmar to Bangladesh.  </w:t>
      </w:r>
    </w:p>
    <w:p w14:paraId="0FEF3D95" w14:textId="59B39054" w:rsidR="00254B3C" w:rsidRPr="0012284A" w:rsidRDefault="006D54E3" w:rsidP="00254B3C">
      <w:pPr>
        <w:widowControl w:val="0"/>
        <w:autoSpaceDE w:val="0"/>
        <w:autoSpaceDN w:val="0"/>
        <w:adjustRightInd w:val="0"/>
        <w:spacing w:line="360" w:lineRule="auto"/>
        <w:jc w:val="both"/>
        <w:rPr>
          <w:rFonts w:ascii="Times New Roman" w:hAnsi="Times New Roman" w:cs="Times New Roman"/>
          <w:b/>
          <w:i/>
          <w:iCs/>
        </w:rPr>
      </w:pPr>
      <w:r>
        <w:rPr>
          <w:rFonts w:ascii="Times New Roman" w:hAnsi="Times New Roman" w:cs="Times New Roman"/>
          <w:iCs/>
        </w:rPr>
        <w:tab/>
      </w:r>
      <w:r w:rsidR="00254B3C" w:rsidRPr="0012284A">
        <w:rPr>
          <w:rFonts w:ascii="Times New Roman" w:hAnsi="Times New Roman" w:cs="Times New Roman"/>
          <w:b/>
          <w:i/>
          <w:iCs/>
        </w:rPr>
        <w:t>B.</w:t>
      </w:r>
      <w:r w:rsidR="00254B3C" w:rsidRPr="0012284A">
        <w:rPr>
          <w:rFonts w:ascii="Times New Roman" w:hAnsi="Times New Roman" w:cs="Times New Roman"/>
          <w:b/>
          <w:i/>
          <w:iCs/>
        </w:rPr>
        <w:tab/>
        <w:t>The Substantive Issue</w:t>
      </w:r>
    </w:p>
    <w:p w14:paraId="681A389F" w14:textId="63C5C907" w:rsidR="00254B3C" w:rsidRDefault="00254B3C" w:rsidP="00254B3C">
      <w:pPr>
        <w:widowControl w:val="0"/>
        <w:autoSpaceDE w:val="0"/>
        <w:autoSpaceDN w:val="0"/>
        <w:adjustRightInd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Pro</w:t>
      </w:r>
      <w:r w:rsidR="005F281F">
        <w:rPr>
          <w:rFonts w:ascii="Times New Roman" w:eastAsia="Times New Roman" w:hAnsi="Times New Roman" w:cs="Times New Roman"/>
        </w:rPr>
        <w:t>secutor’s substantive request i</w:t>
      </w:r>
      <w:r>
        <w:rPr>
          <w:rFonts w:ascii="Times New Roman" w:eastAsia="Times New Roman" w:hAnsi="Times New Roman" w:cs="Times New Roman"/>
        </w:rPr>
        <w:t>s framed as a question about whether the International Criminal Court could exercise jurisdiction over the alleged forcible dep</w:t>
      </w:r>
      <w:r w:rsidR="006F15B5">
        <w:rPr>
          <w:rFonts w:ascii="Times New Roman" w:eastAsia="Times New Roman" w:hAnsi="Times New Roman" w:cs="Times New Roman"/>
        </w:rPr>
        <w:t>ortation of the Rohingya</w:t>
      </w:r>
      <w:r>
        <w:rPr>
          <w:rFonts w:ascii="Times New Roman" w:eastAsia="Times New Roman" w:hAnsi="Times New Roman" w:cs="Times New Roman"/>
        </w:rPr>
        <w:t xml:space="preserve"> from Myanmar to Bangladesh.</w:t>
      </w:r>
      <w:r>
        <w:rPr>
          <w:rStyle w:val="FootnoteReference"/>
          <w:rFonts w:ascii="Times New Roman" w:eastAsia="Times New Roman" w:hAnsi="Times New Roman" w:cs="Times New Roman"/>
        </w:rPr>
        <w:footnoteReference w:id="63"/>
      </w:r>
      <w:r>
        <w:rPr>
          <w:rFonts w:ascii="Times New Roman" w:eastAsia="Times New Roman" w:hAnsi="Times New Roman" w:cs="Times New Roman"/>
        </w:rPr>
        <w:t xml:space="preserve"> Deportation is a crime against humanity pursuant to Article 7(1)(d) of the Rome Statute that outlaws the ‘[d]eportation or forcible transfer of population’</w:t>
      </w:r>
      <w:r w:rsidRPr="00FF31D4">
        <w:rPr>
          <w:rFonts w:ascii="Times New Roman" w:eastAsia="Times New Roman" w:hAnsi="Times New Roman" w:cs="Times New Roman"/>
        </w:rPr>
        <w:t xml:space="preserve"> ‘</w:t>
      </w:r>
      <w:r w:rsidRPr="00FF31D4">
        <w:rPr>
          <w:rFonts w:ascii="Times New Roman" w:hAnsi="Times New Roman" w:cs="Times New Roman"/>
        </w:rPr>
        <w:t>when committed as part of a widespread or systematic attack directed against any civilian population, with knowledge of the attack’</w:t>
      </w:r>
      <w:r w:rsidRPr="00FF31D4">
        <w:rPr>
          <w:rFonts w:ascii="Times New Roman" w:eastAsia="Times New Roman" w:hAnsi="Times New Roman" w:cs="Times New Roman"/>
        </w:rPr>
        <w:t>.</w:t>
      </w:r>
      <w:r w:rsidRPr="00FF31D4">
        <w:rPr>
          <w:rStyle w:val="FootnoteReference"/>
          <w:rFonts w:ascii="Times New Roman" w:eastAsia="Times New Roman" w:hAnsi="Times New Roman" w:cs="Times New Roman"/>
        </w:rPr>
        <w:footnoteReference w:id="64"/>
      </w:r>
      <w:r w:rsidRPr="00FF31D4">
        <w:rPr>
          <w:rFonts w:ascii="Times New Roman" w:eastAsia="Times New Roman" w:hAnsi="Times New Roman" w:cs="Times New Roman"/>
        </w:rPr>
        <w:t xml:space="preserve"> The Statute goes on to define deportation </w:t>
      </w:r>
      <w:r>
        <w:rPr>
          <w:rFonts w:ascii="Times New Roman" w:eastAsia="Times New Roman" w:hAnsi="Times New Roman" w:cs="Times New Roman"/>
        </w:rPr>
        <w:t xml:space="preserve">and forcible transfer </w:t>
      </w:r>
      <w:r w:rsidRPr="00FF31D4">
        <w:rPr>
          <w:rFonts w:ascii="Times New Roman" w:eastAsia="Times New Roman" w:hAnsi="Times New Roman" w:cs="Times New Roman"/>
        </w:rPr>
        <w:t>more specifically as the</w:t>
      </w:r>
      <w:r w:rsidRPr="00FF31D4">
        <w:rPr>
          <w:rFonts w:ascii="Times New Roman" w:hAnsi="Times New Roman" w:cs="Times New Roman"/>
        </w:rPr>
        <w:t xml:space="preserve"> ‘forced displacement of the persons concerned by expulsion or other coercive acts from the area in which they are lawfully present, without grounds permitted under international law’.</w:t>
      </w:r>
      <w:r>
        <w:rPr>
          <w:rStyle w:val="FootnoteReference"/>
          <w:rFonts w:ascii="Times New Roman" w:hAnsi="Times New Roman" w:cs="Times New Roman"/>
        </w:rPr>
        <w:footnoteReference w:id="65"/>
      </w:r>
      <w:r>
        <w:rPr>
          <w:rFonts w:ascii="Times New Roman" w:hAnsi="Times New Roman" w:cs="Times New Roman"/>
          <w:b/>
          <w:iCs/>
        </w:rPr>
        <w:t xml:space="preserve"> </w:t>
      </w:r>
      <w:r>
        <w:rPr>
          <w:rFonts w:ascii="Times New Roman" w:eastAsia="Times New Roman" w:hAnsi="Times New Roman" w:cs="Times New Roman"/>
        </w:rPr>
        <w:t>The Prosecutor</w:t>
      </w:r>
      <w:r w:rsidR="00754A42">
        <w:rPr>
          <w:rFonts w:ascii="Times New Roman" w:eastAsia="Times New Roman" w:hAnsi="Times New Roman" w:cs="Times New Roman"/>
        </w:rPr>
        <w:t>’s Office suggests in its r</w:t>
      </w:r>
      <w:r>
        <w:rPr>
          <w:rFonts w:ascii="Times New Roman" w:eastAsia="Times New Roman" w:hAnsi="Times New Roman" w:cs="Times New Roman"/>
        </w:rPr>
        <w:t>equest that although ‘the coercive acts relevant to the deportation’ occurred in the territory of Myanmar, a non-state party, an essential legal element of the crime, crossing an international border, happened in Bangladesh, which is a state party.</w:t>
      </w:r>
      <w:r>
        <w:rPr>
          <w:rStyle w:val="FootnoteReference"/>
          <w:rFonts w:ascii="Times New Roman" w:eastAsia="Times New Roman" w:hAnsi="Times New Roman" w:cs="Times New Roman"/>
        </w:rPr>
        <w:footnoteReference w:id="66"/>
      </w:r>
      <w:r>
        <w:rPr>
          <w:rFonts w:ascii="Times New Roman" w:eastAsia="Times New Roman" w:hAnsi="Times New Roman" w:cs="Times New Roman"/>
        </w:rPr>
        <w:t xml:space="preserve"> The purpose of the request was to clarify whether the Court would have jurisdiction over these crimes before the </w:t>
      </w:r>
      <w:r w:rsidR="00754A42">
        <w:rPr>
          <w:rFonts w:ascii="Times New Roman" w:eastAsia="Times New Roman" w:hAnsi="Times New Roman" w:cs="Times New Roman"/>
        </w:rPr>
        <w:t xml:space="preserve">Office of the </w:t>
      </w:r>
      <w:r>
        <w:rPr>
          <w:rFonts w:ascii="Times New Roman" w:eastAsia="Times New Roman" w:hAnsi="Times New Roman" w:cs="Times New Roman"/>
        </w:rPr>
        <w:t>Prosecutor embarked on a preliminary examination of the situation.</w:t>
      </w:r>
      <w:r>
        <w:rPr>
          <w:rStyle w:val="FootnoteReference"/>
          <w:rFonts w:ascii="Times New Roman" w:eastAsia="Times New Roman" w:hAnsi="Times New Roman" w:cs="Times New Roman"/>
        </w:rPr>
        <w:footnoteReference w:id="67"/>
      </w:r>
      <w:r>
        <w:rPr>
          <w:rFonts w:ascii="Times New Roman" w:eastAsia="Times New Roman" w:hAnsi="Times New Roman" w:cs="Times New Roman"/>
        </w:rPr>
        <w:t xml:space="preserve"> </w:t>
      </w:r>
    </w:p>
    <w:p w14:paraId="50FB0E24" w14:textId="40880F2C" w:rsidR="00254B3C" w:rsidRDefault="00254B3C" w:rsidP="00254B3C">
      <w:pPr>
        <w:widowControl w:val="0"/>
        <w:autoSpaceDE w:val="0"/>
        <w:autoSpaceDN w:val="0"/>
        <w:adjustRightInd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As a preliminary point, it is generally agreed that Article 7(1)(d) describes two separate but related crimes: deportation and forcible transfer.</w:t>
      </w:r>
      <w:r>
        <w:rPr>
          <w:rStyle w:val="FootnoteReference"/>
          <w:rFonts w:ascii="Times New Roman" w:eastAsia="Times New Roman" w:hAnsi="Times New Roman" w:cs="Times New Roman"/>
        </w:rPr>
        <w:footnoteReference w:id="68"/>
      </w:r>
      <w:r>
        <w:rPr>
          <w:rFonts w:ascii="Times New Roman" w:eastAsia="Times New Roman" w:hAnsi="Times New Roman" w:cs="Times New Roman"/>
        </w:rPr>
        <w:t xml:space="preserve"> Both crimes involve similar conduct; what distinguishes the two is the final destination of the victims of the crime. Deportation occurs when people are displaced across a</w:t>
      </w:r>
      <w:r w:rsidR="006F15B5">
        <w:rPr>
          <w:rFonts w:ascii="Times New Roman" w:eastAsia="Times New Roman" w:hAnsi="Times New Roman" w:cs="Times New Roman"/>
        </w:rPr>
        <w:t>n</w:t>
      </w:r>
      <w:r>
        <w:rPr>
          <w:rFonts w:ascii="Times New Roman" w:eastAsia="Times New Roman" w:hAnsi="Times New Roman" w:cs="Times New Roman"/>
        </w:rPr>
        <w:t xml:space="preserve"> </w:t>
      </w:r>
      <w:r w:rsidR="006F15B5">
        <w:rPr>
          <w:rFonts w:ascii="Times New Roman" w:eastAsia="Times New Roman" w:hAnsi="Times New Roman" w:cs="Times New Roman"/>
        </w:rPr>
        <w:t>inter</w:t>
      </w:r>
      <w:r>
        <w:rPr>
          <w:rFonts w:ascii="Times New Roman" w:eastAsia="Times New Roman" w:hAnsi="Times New Roman" w:cs="Times New Roman"/>
        </w:rPr>
        <w:t>national border while forcible transfer results when they are displaced but remain in the territory of one state.</w:t>
      </w:r>
      <w:r>
        <w:rPr>
          <w:rStyle w:val="FootnoteReference"/>
          <w:rFonts w:ascii="Times New Roman" w:eastAsia="Times New Roman" w:hAnsi="Times New Roman" w:cs="Times New Roman"/>
        </w:rPr>
        <w:footnoteReference w:id="69"/>
      </w:r>
      <w:r>
        <w:rPr>
          <w:rFonts w:ascii="Times New Roman" w:eastAsia="Times New Roman" w:hAnsi="Times New Roman" w:cs="Times New Roman"/>
        </w:rPr>
        <w:t xml:space="preserve"> Therefore, an implicit element of the crime of deportation is that the people </w:t>
      </w:r>
      <w:r w:rsidR="006F15B5">
        <w:rPr>
          <w:rFonts w:ascii="Times New Roman" w:eastAsia="Times New Roman" w:hAnsi="Times New Roman" w:cs="Times New Roman"/>
        </w:rPr>
        <w:t>involved are displaced across an inter</w:t>
      </w:r>
      <w:r>
        <w:rPr>
          <w:rFonts w:ascii="Times New Roman" w:eastAsia="Times New Roman" w:hAnsi="Times New Roman" w:cs="Times New Roman"/>
        </w:rPr>
        <w:t>national border. This is consistent with the International Criminal Court’s Elements of Crimes, which indicates that deportation occurs when ‘one or more persons’ is displaced into ‘another State…by expulsion or other coercive acts.’</w:t>
      </w:r>
      <w:r>
        <w:rPr>
          <w:rStyle w:val="FootnoteReference"/>
          <w:rFonts w:ascii="Times New Roman" w:eastAsia="Times New Roman" w:hAnsi="Times New Roman" w:cs="Times New Roman"/>
        </w:rPr>
        <w:footnoteReference w:id="70"/>
      </w:r>
      <w:r>
        <w:rPr>
          <w:rFonts w:ascii="Times New Roman" w:eastAsia="Times New Roman" w:hAnsi="Times New Roman" w:cs="Times New Roman"/>
        </w:rPr>
        <w:t xml:space="preserve"> While the Pre-Trial Chamber went to great lengths to demonstrate its conclusion on this point, there is nothing particularly controversial about it.</w:t>
      </w:r>
    </w:p>
    <w:p w14:paraId="4A5A67E0" w14:textId="51AD2351" w:rsidR="00254B3C" w:rsidRDefault="00254B3C" w:rsidP="00254B3C">
      <w:pPr>
        <w:widowControl w:val="0"/>
        <w:autoSpaceDE w:val="0"/>
        <w:autoSpaceDN w:val="0"/>
        <w:adjustRightInd w:val="0"/>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The Pre-Trial Chamber’s approach to Article 12(2) proved to be more provocative. Article 12(2) delineates the preconditions that must exist before the Court can exercise its jurisdiction following the referral of a situation to the Court by a state party or where the prosecutor has initiated an investigation </w:t>
      </w:r>
      <w:r>
        <w:rPr>
          <w:rFonts w:ascii="Times New Roman" w:eastAsia="Times New Roman" w:hAnsi="Times New Roman" w:cs="Times New Roman"/>
          <w:i/>
        </w:rPr>
        <w:t>propio motu</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71"/>
      </w:r>
      <w:r>
        <w:rPr>
          <w:rFonts w:ascii="Times New Roman" w:eastAsia="Times New Roman" w:hAnsi="Times New Roman" w:cs="Times New Roman"/>
        </w:rPr>
        <w:t xml:space="preserve"> Jurisdiction can be exercised in these situations when either: the place in which the alleged conduct </w:t>
      </w:r>
      <w:r w:rsidR="005F281F">
        <w:rPr>
          <w:rFonts w:ascii="Times New Roman" w:eastAsia="Times New Roman" w:hAnsi="Times New Roman" w:cs="Times New Roman"/>
        </w:rPr>
        <w:t xml:space="preserve">in question </w:t>
      </w:r>
      <w:r>
        <w:rPr>
          <w:rFonts w:ascii="Times New Roman" w:eastAsia="Times New Roman" w:hAnsi="Times New Roman" w:cs="Times New Roman"/>
        </w:rPr>
        <w:t>occurred is located in a state that is a party to the Rome Statute; or a person accused of a crime is a national of a state party.</w:t>
      </w:r>
      <w:r>
        <w:rPr>
          <w:rStyle w:val="FootnoteReference"/>
          <w:rFonts w:ascii="Times New Roman" w:eastAsia="Times New Roman" w:hAnsi="Times New Roman" w:cs="Times New Roman"/>
        </w:rPr>
        <w:footnoteReference w:id="72"/>
      </w:r>
      <w:r>
        <w:rPr>
          <w:rFonts w:ascii="Times New Roman" w:eastAsia="Times New Roman" w:hAnsi="Times New Roman" w:cs="Times New Roman"/>
        </w:rPr>
        <w:t xml:space="preserve"> The </w:t>
      </w:r>
      <w:r w:rsidR="00754A42">
        <w:rPr>
          <w:rFonts w:ascii="Times New Roman" w:eastAsia="Times New Roman" w:hAnsi="Times New Roman" w:cs="Times New Roman"/>
        </w:rPr>
        <w:t xml:space="preserve">Office of the </w:t>
      </w:r>
      <w:r>
        <w:rPr>
          <w:rFonts w:ascii="Times New Roman" w:eastAsia="Times New Roman" w:hAnsi="Times New Roman" w:cs="Times New Roman"/>
        </w:rPr>
        <w:t xml:space="preserve">Prosecutor’s Request to the Pre-Trial Chamber is concerned with the first </w:t>
      </w:r>
      <w:r w:rsidR="00B90A12">
        <w:rPr>
          <w:rFonts w:ascii="Times New Roman" w:eastAsia="Times New Roman" w:hAnsi="Times New Roman" w:cs="Times New Roman"/>
        </w:rPr>
        <w:t>of these two situations. T</w:t>
      </w:r>
      <w:r>
        <w:rPr>
          <w:rFonts w:ascii="Times New Roman" w:eastAsia="Times New Roman" w:hAnsi="Times New Roman" w:cs="Times New Roman"/>
        </w:rPr>
        <w:t xml:space="preserve">he Pre-Trial Chamber </w:t>
      </w:r>
      <w:r w:rsidR="00B90A12">
        <w:rPr>
          <w:rFonts w:ascii="Times New Roman" w:eastAsia="Times New Roman" w:hAnsi="Times New Roman" w:cs="Times New Roman"/>
        </w:rPr>
        <w:t>found that</w:t>
      </w:r>
      <w:r>
        <w:rPr>
          <w:rFonts w:ascii="Times New Roman" w:eastAsia="Times New Roman" w:hAnsi="Times New Roman" w:cs="Times New Roman"/>
        </w:rPr>
        <w:t xml:space="preserve"> for jurisdiction to exist under Article 12(2)(a) at least one legal element of the crime alleged must take pl</w:t>
      </w:r>
      <w:r w:rsidR="006F15B5">
        <w:rPr>
          <w:rFonts w:ascii="Times New Roman" w:eastAsia="Times New Roman" w:hAnsi="Times New Roman" w:cs="Times New Roman"/>
        </w:rPr>
        <w:t>ace within the territory of a s</w:t>
      </w:r>
      <w:r>
        <w:rPr>
          <w:rFonts w:ascii="Times New Roman" w:eastAsia="Times New Roman" w:hAnsi="Times New Roman" w:cs="Times New Roman"/>
        </w:rPr>
        <w:t>tate that is a party to the Rome Statute.</w:t>
      </w:r>
      <w:r>
        <w:rPr>
          <w:rStyle w:val="FootnoteReference"/>
          <w:rFonts w:ascii="Times New Roman" w:eastAsia="Times New Roman" w:hAnsi="Times New Roman" w:cs="Times New Roman"/>
        </w:rPr>
        <w:footnoteReference w:id="73"/>
      </w:r>
      <w:r>
        <w:rPr>
          <w:rFonts w:ascii="Times New Roman" w:eastAsia="Times New Roman" w:hAnsi="Times New Roman" w:cs="Times New Roman"/>
        </w:rPr>
        <w:t xml:space="preserve"> The Pre-Trial Chamber further reasons that because the crime of deportation involves the affected people crossing </w:t>
      </w:r>
      <w:r w:rsidR="00754A42">
        <w:rPr>
          <w:rFonts w:ascii="Times New Roman" w:eastAsia="Times New Roman" w:hAnsi="Times New Roman" w:cs="Times New Roman"/>
        </w:rPr>
        <w:t>an international border</w:t>
      </w:r>
      <w:r>
        <w:rPr>
          <w:rFonts w:ascii="Times New Roman" w:eastAsia="Times New Roman" w:hAnsi="Times New Roman" w:cs="Times New Roman"/>
        </w:rPr>
        <w:t>, the conduct involved must necessari</w:t>
      </w:r>
      <w:r w:rsidR="00B90A12">
        <w:rPr>
          <w:rFonts w:ascii="Times New Roman" w:eastAsia="Times New Roman" w:hAnsi="Times New Roman" w:cs="Times New Roman"/>
        </w:rPr>
        <w:t>ly take place in two different s</w:t>
      </w:r>
      <w:r>
        <w:rPr>
          <w:rFonts w:ascii="Times New Roman" w:eastAsia="Times New Roman" w:hAnsi="Times New Roman" w:cs="Times New Roman"/>
        </w:rPr>
        <w:t>tates.</w:t>
      </w:r>
      <w:r>
        <w:rPr>
          <w:rStyle w:val="FootnoteReference"/>
          <w:rFonts w:ascii="Times New Roman" w:eastAsia="Times New Roman" w:hAnsi="Times New Roman" w:cs="Times New Roman"/>
        </w:rPr>
        <w:footnoteReference w:id="74"/>
      </w:r>
      <w:r w:rsidR="00754A42">
        <w:rPr>
          <w:rFonts w:ascii="Times New Roman" w:eastAsia="Times New Roman" w:hAnsi="Times New Roman" w:cs="Times New Roman"/>
        </w:rPr>
        <w:t xml:space="preserve"> In the Pre-Trial Chamber’s</w:t>
      </w:r>
      <w:r>
        <w:rPr>
          <w:rFonts w:ascii="Times New Roman" w:eastAsia="Times New Roman" w:hAnsi="Times New Roman" w:cs="Times New Roman"/>
        </w:rPr>
        <w:t xml:space="preserve"> view that means that because the Rohingya were forced into Bangladesh some of the conduct making up the crime against humanity of deportation took place in the territory of a state party providing the Court with jurisdiction over the crime.</w:t>
      </w:r>
      <w:r>
        <w:rPr>
          <w:rStyle w:val="FootnoteReference"/>
          <w:rFonts w:ascii="Times New Roman" w:eastAsia="Times New Roman" w:hAnsi="Times New Roman" w:cs="Times New Roman"/>
        </w:rPr>
        <w:footnoteReference w:id="75"/>
      </w:r>
    </w:p>
    <w:p w14:paraId="2064BF7E" w14:textId="4BB257D4" w:rsidR="00254B3C" w:rsidRPr="00B90A12" w:rsidRDefault="00254B3C" w:rsidP="00B90A12">
      <w:pPr>
        <w:widowControl w:val="0"/>
        <w:autoSpaceDE w:val="0"/>
        <w:autoSpaceDN w:val="0"/>
        <w:adjustRightInd w:val="0"/>
        <w:spacing w:line="360" w:lineRule="auto"/>
        <w:jc w:val="both"/>
        <w:rPr>
          <w:rFonts w:ascii="Times New Roman" w:hAnsi="Times New Roman" w:cs="Times New Roman"/>
        </w:rPr>
      </w:pPr>
      <w:r w:rsidRPr="00B90A12">
        <w:rPr>
          <w:rFonts w:ascii="Times New Roman" w:eastAsia="Times New Roman" w:hAnsi="Times New Roman" w:cs="Times New Roman"/>
        </w:rPr>
        <w:tab/>
        <w:t xml:space="preserve">The </w:t>
      </w:r>
      <w:r w:rsidR="005F281F">
        <w:rPr>
          <w:rFonts w:ascii="Times New Roman" w:eastAsia="Times New Roman" w:hAnsi="Times New Roman" w:cs="Times New Roman"/>
        </w:rPr>
        <w:t xml:space="preserve">trouble </w:t>
      </w:r>
      <w:r w:rsidR="00754A42">
        <w:rPr>
          <w:rFonts w:ascii="Times New Roman" w:eastAsia="Times New Roman" w:hAnsi="Times New Roman" w:cs="Times New Roman"/>
        </w:rPr>
        <w:t xml:space="preserve">the Pre-Trial Chamber’s decision </w:t>
      </w:r>
      <w:r w:rsidR="005F281F">
        <w:rPr>
          <w:rFonts w:ascii="Times New Roman" w:eastAsia="Times New Roman" w:hAnsi="Times New Roman" w:cs="Times New Roman"/>
        </w:rPr>
        <w:t xml:space="preserve">is that it </w:t>
      </w:r>
      <w:r w:rsidR="00754A42">
        <w:rPr>
          <w:rFonts w:ascii="Times New Roman" w:eastAsia="Times New Roman" w:hAnsi="Times New Roman" w:cs="Times New Roman"/>
        </w:rPr>
        <w:t xml:space="preserve">may not </w:t>
      </w:r>
      <w:r w:rsidR="005F281F">
        <w:rPr>
          <w:rFonts w:ascii="Times New Roman" w:eastAsia="Times New Roman" w:hAnsi="Times New Roman" w:cs="Times New Roman"/>
        </w:rPr>
        <w:t xml:space="preserve">properly interpret </w:t>
      </w:r>
      <w:r w:rsidRPr="00B90A12">
        <w:rPr>
          <w:rFonts w:ascii="Times New Roman" w:hAnsi="Times New Roman" w:cs="Times New Roman"/>
        </w:rPr>
        <w:t xml:space="preserve">Article 12(2)(a) </w:t>
      </w:r>
      <w:r w:rsidR="00754A42">
        <w:rPr>
          <w:rFonts w:ascii="Times New Roman" w:hAnsi="Times New Roman" w:cs="Times New Roman"/>
        </w:rPr>
        <w:t>of the Rome Statute. T</w:t>
      </w:r>
      <w:r w:rsidRPr="00B90A12">
        <w:rPr>
          <w:rFonts w:ascii="Times New Roman" w:hAnsi="Times New Roman" w:cs="Times New Roman"/>
        </w:rPr>
        <w:t xml:space="preserve">he Pre-Trial Chamber </w:t>
      </w:r>
      <w:r w:rsidR="005F281F">
        <w:rPr>
          <w:rFonts w:ascii="Times New Roman" w:hAnsi="Times New Roman" w:cs="Times New Roman"/>
        </w:rPr>
        <w:t>understood</w:t>
      </w:r>
      <w:r w:rsidR="00754A42">
        <w:rPr>
          <w:rFonts w:ascii="Times New Roman" w:hAnsi="Times New Roman" w:cs="Times New Roman"/>
        </w:rPr>
        <w:t xml:space="preserve"> </w:t>
      </w:r>
      <w:r w:rsidR="0021468A">
        <w:rPr>
          <w:rFonts w:ascii="Times New Roman" w:hAnsi="Times New Roman" w:cs="Times New Roman"/>
        </w:rPr>
        <w:t>the term ‘conduct’ expansively</w:t>
      </w:r>
      <w:r w:rsidRPr="00B90A12">
        <w:rPr>
          <w:rFonts w:ascii="Times New Roman" w:hAnsi="Times New Roman" w:cs="Times New Roman"/>
        </w:rPr>
        <w:t xml:space="preserve"> </w:t>
      </w:r>
      <w:r w:rsidR="0021468A">
        <w:rPr>
          <w:rFonts w:ascii="Times New Roman" w:hAnsi="Times New Roman" w:cs="Times New Roman"/>
        </w:rPr>
        <w:t xml:space="preserve">so </w:t>
      </w:r>
      <w:r w:rsidR="005F281F">
        <w:rPr>
          <w:rFonts w:ascii="Times New Roman" w:hAnsi="Times New Roman" w:cs="Times New Roman"/>
        </w:rPr>
        <w:t xml:space="preserve">as to mean </w:t>
      </w:r>
      <w:r w:rsidR="0021468A">
        <w:rPr>
          <w:rFonts w:ascii="Times New Roman" w:hAnsi="Times New Roman" w:cs="Times New Roman"/>
        </w:rPr>
        <w:t xml:space="preserve">that any element </w:t>
      </w:r>
      <w:r w:rsidRPr="00B90A12">
        <w:rPr>
          <w:rFonts w:ascii="Times New Roman" w:hAnsi="Times New Roman" w:cs="Times New Roman"/>
        </w:rPr>
        <w:t>of a</w:t>
      </w:r>
      <w:r w:rsidR="0021468A">
        <w:rPr>
          <w:rFonts w:ascii="Times New Roman" w:hAnsi="Times New Roman" w:cs="Times New Roman"/>
        </w:rPr>
        <w:t>n alleged</w:t>
      </w:r>
      <w:r w:rsidRPr="00B90A12">
        <w:rPr>
          <w:rFonts w:ascii="Times New Roman" w:hAnsi="Times New Roman" w:cs="Times New Roman"/>
        </w:rPr>
        <w:t xml:space="preserve"> crime</w:t>
      </w:r>
      <w:r w:rsidR="00754A42">
        <w:rPr>
          <w:rFonts w:ascii="Times New Roman" w:hAnsi="Times New Roman" w:cs="Times New Roman"/>
        </w:rPr>
        <w:t xml:space="preserve"> </w:t>
      </w:r>
      <w:r w:rsidR="005F281F">
        <w:rPr>
          <w:rFonts w:ascii="Times New Roman" w:hAnsi="Times New Roman" w:cs="Times New Roman"/>
        </w:rPr>
        <w:t xml:space="preserve">is </w:t>
      </w:r>
      <w:r w:rsidR="00754A42">
        <w:rPr>
          <w:rFonts w:ascii="Times New Roman" w:hAnsi="Times New Roman" w:cs="Times New Roman"/>
        </w:rPr>
        <w:t xml:space="preserve">conduct </w:t>
      </w:r>
      <w:r w:rsidR="005F281F">
        <w:rPr>
          <w:rFonts w:ascii="Times New Roman" w:hAnsi="Times New Roman" w:cs="Times New Roman"/>
        </w:rPr>
        <w:t xml:space="preserve">within the meaning of the article. This led it to </w:t>
      </w:r>
      <w:r w:rsidR="00754A42">
        <w:rPr>
          <w:rFonts w:ascii="Times New Roman" w:hAnsi="Times New Roman" w:cs="Times New Roman"/>
        </w:rPr>
        <w:t xml:space="preserve">the conclusion </w:t>
      </w:r>
      <w:r w:rsidR="0021468A">
        <w:rPr>
          <w:rFonts w:ascii="Times New Roman" w:hAnsi="Times New Roman" w:cs="Times New Roman"/>
        </w:rPr>
        <w:t>that</w:t>
      </w:r>
      <w:r w:rsidR="005F281F">
        <w:rPr>
          <w:rFonts w:ascii="Times New Roman" w:hAnsi="Times New Roman" w:cs="Times New Roman"/>
        </w:rPr>
        <w:t xml:space="preserve"> the International Criminal Court</w:t>
      </w:r>
      <w:r w:rsidR="0021468A">
        <w:rPr>
          <w:rFonts w:ascii="Times New Roman" w:hAnsi="Times New Roman" w:cs="Times New Roman"/>
        </w:rPr>
        <w:t xml:space="preserve"> has jurisdiction</w:t>
      </w:r>
      <w:r w:rsidR="00754A42">
        <w:rPr>
          <w:rFonts w:ascii="Times New Roman" w:hAnsi="Times New Roman" w:cs="Times New Roman"/>
        </w:rPr>
        <w:t xml:space="preserve"> in this matter</w:t>
      </w:r>
      <w:r w:rsidR="0021468A">
        <w:rPr>
          <w:rFonts w:ascii="Times New Roman" w:hAnsi="Times New Roman" w:cs="Times New Roman"/>
        </w:rPr>
        <w:t xml:space="preserve">. </w:t>
      </w:r>
      <w:r w:rsidR="005F281F">
        <w:rPr>
          <w:rFonts w:ascii="Times New Roman" w:hAnsi="Times New Roman" w:cs="Times New Roman"/>
        </w:rPr>
        <w:t>However</w:t>
      </w:r>
      <w:r w:rsidR="00754A42">
        <w:rPr>
          <w:rFonts w:ascii="Times New Roman" w:hAnsi="Times New Roman" w:cs="Times New Roman"/>
        </w:rPr>
        <w:t xml:space="preserve">, the Statute </w:t>
      </w:r>
      <w:r w:rsidR="00754A42" w:rsidRPr="00B90A12">
        <w:rPr>
          <w:rFonts w:ascii="Times New Roman" w:hAnsi="Times New Roman" w:cs="Times New Roman"/>
        </w:rPr>
        <w:t>does not say that jurisdiction exists so long as some element of the crime takes place in the territory of a state party. Instead, it requires that ‘the conduct in question’ must occur in the territory of a state party.</w:t>
      </w:r>
      <w:r w:rsidR="00754A42" w:rsidRPr="00B90A12">
        <w:rPr>
          <w:rStyle w:val="FootnoteReference"/>
          <w:rFonts w:ascii="Times New Roman" w:hAnsi="Times New Roman" w:cs="Times New Roman"/>
        </w:rPr>
        <w:footnoteReference w:id="76"/>
      </w:r>
      <w:r w:rsidR="00754A42">
        <w:rPr>
          <w:rFonts w:ascii="Times New Roman" w:hAnsi="Times New Roman" w:cs="Times New Roman"/>
        </w:rPr>
        <w:t xml:space="preserve"> </w:t>
      </w:r>
      <w:r w:rsidR="0021468A">
        <w:rPr>
          <w:rFonts w:ascii="Times New Roman" w:hAnsi="Times New Roman" w:cs="Times New Roman"/>
        </w:rPr>
        <w:t xml:space="preserve">The confusion surrounding this issue </w:t>
      </w:r>
      <w:r w:rsidRPr="00B90A12">
        <w:rPr>
          <w:rFonts w:ascii="Times New Roman" w:hAnsi="Times New Roman" w:cs="Times New Roman"/>
        </w:rPr>
        <w:t>is a product of t</w:t>
      </w:r>
      <w:r w:rsidR="00754A42">
        <w:rPr>
          <w:rFonts w:ascii="Times New Roman" w:hAnsi="Times New Roman" w:cs="Times New Roman"/>
        </w:rPr>
        <w:t>he fact that the Court has not previously</w:t>
      </w:r>
      <w:r w:rsidRPr="00B90A12">
        <w:rPr>
          <w:rFonts w:ascii="Times New Roman" w:hAnsi="Times New Roman" w:cs="Times New Roman"/>
        </w:rPr>
        <w:t xml:space="preserve"> defined the term ‘conduct’, either generally or in terms of Article 12(2)(a). </w:t>
      </w:r>
      <w:r w:rsidR="00754A42">
        <w:rPr>
          <w:rFonts w:ascii="Times New Roman" w:hAnsi="Times New Roman" w:cs="Times New Roman"/>
        </w:rPr>
        <w:t>This raises</w:t>
      </w:r>
      <w:r w:rsidRPr="00B90A12">
        <w:rPr>
          <w:rFonts w:ascii="Times New Roman" w:hAnsi="Times New Roman" w:cs="Times New Roman"/>
        </w:rPr>
        <w:t xml:space="preserve"> the following questions: Does ‘conduct’ refer to the criminal conduct of the accused? Or can any action taken by anyone that makes up some element of the crime be considered ‘conduct’ under this section of the Statute? </w:t>
      </w:r>
    </w:p>
    <w:p w14:paraId="541307E9" w14:textId="77370CC4" w:rsidR="00254B3C" w:rsidRDefault="00254B3C" w:rsidP="00254B3C">
      <w:pPr>
        <w:pStyle w:val="NormalWeb"/>
        <w:shd w:val="clear" w:color="auto" w:fill="FFFFFF"/>
        <w:spacing w:before="0" w:beforeAutospacing="0" w:after="0" w:afterAutospacing="0" w:line="360" w:lineRule="auto"/>
        <w:jc w:val="both"/>
        <w:rPr>
          <w:sz w:val="24"/>
          <w:szCs w:val="24"/>
        </w:rPr>
      </w:pPr>
      <w:r w:rsidRPr="00BB52BB">
        <w:rPr>
          <w:sz w:val="24"/>
          <w:szCs w:val="24"/>
        </w:rPr>
        <w:tab/>
        <w:t>The Office of the Prosecutor foresaw this problem</w:t>
      </w:r>
      <w:r w:rsidR="00754A42">
        <w:rPr>
          <w:sz w:val="24"/>
          <w:szCs w:val="24"/>
        </w:rPr>
        <w:t xml:space="preserve"> in its request</w:t>
      </w:r>
      <w:r w:rsidRPr="00BB52BB">
        <w:rPr>
          <w:sz w:val="24"/>
          <w:szCs w:val="24"/>
        </w:rPr>
        <w:t xml:space="preserve"> </w:t>
      </w:r>
      <w:r w:rsidR="00754A42">
        <w:rPr>
          <w:sz w:val="24"/>
          <w:szCs w:val="24"/>
        </w:rPr>
        <w:t xml:space="preserve">and advocated in favour of understanding </w:t>
      </w:r>
      <w:r w:rsidRPr="00BB52BB">
        <w:rPr>
          <w:sz w:val="24"/>
          <w:szCs w:val="24"/>
        </w:rPr>
        <w:t xml:space="preserve">conduct </w:t>
      </w:r>
      <w:r w:rsidR="00754A42">
        <w:rPr>
          <w:sz w:val="24"/>
          <w:szCs w:val="24"/>
        </w:rPr>
        <w:t xml:space="preserve">broadly so </w:t>
      </w:r>
      <w:r w:rsidRPr="00BB52BB">
        <w:rPr>
          <w:sz w:val="24"/>
          <w:szCs w:val="24"/>
        </w:rPr>
        <w:t xml:space="preserve">that </w:t>
      </w:r>
      <w:r w:rsidR="00397193">
        <w:rPr>
          <w:sz w:val="24"/>
          <w:szCs w:val="24"/>
        </w:rPr>
        <w:t xml:space="preserve">its meaning </w:t>
      </w:r>
      <w:r w:rsidRPr="00BB52BB">
        <w:rPr>
          <w:sz w:val="24"/>
          <w:szCs w:val="24"/>
        </w:rPr>
        <w:t xml:space="preserve">is not limited </w:t>
      </w:r>
      <w:r w:rsidR="00754A42">
        <w:rPr>
          <w:sz w:val="24"/>
          <w:szCs w:val="24"/>
        </w:rPr>
        <w:t xml:space="preserve">only </w:t>
      </w:r>
      <w:r w:rsidRPr="00BB52BB">
        <w:rPr>
          <w:sz w:val="24"/>
          <w:szCs w:val="24"/>
        </w:rPr>
        <w:t>to the criminal acts committed by the alleged perpetrator.</w:t>
      </w:r>
      <w:r w:rsidRPr="00BB52BB">
        <w:rPr>
          <w:rStyle w:val="FootnoteReference"/>
          <w:sz w:val="24"/>
          <w:szCs w:val="24"/>
        </w:rPr>
        <w:footnoteReference w:id="77"/>
      </w:r>
      <w:r w:rsidRPr="00BB52BB">
        <w:rPr>
          <w:sz w:val="24"/>
          <w:szCs w:val="24"/>
        </w:rPr>
        <w:t xml:space="preserve"> The Office of the Prosecutor </w:t>
      </w:r>
      <w:r w:rsidR="00754A42">
        <w:rPr>
          <w:sz w:val="24"/>
          <w:szCs w:val="24"/>
        </w:rPr>
        <w:t>argument rests on its application of</w:t>
      </w:r>
      <w:r w:rsidRPr="00BB52BB">
        <w:rPr>
          <w:sz w:val="24"/>
          <w:szCs w:val="24"/>
        </w:rPr>
        <w:t xml:space="preserve"> the rules of interpretation set out in Article 31(1) of the Vienna Convention on the Law of Treaties.</w:t>
      </w:r>
      <w:r w:rsidRPr="00BB52BB">
        <w:rPr>
          <w:rStyle w:val="FootnoteReference"/>
          <w:sz w:val="24"/>
          <w:szCs w:val="24"/>
        </w:rPr>
        <w:footnoteReference w:id="78"/>
      </w:r>
      <w:r w:rsidRPr="00BB52BB">
        <w:rPr>
          <w:sz w:val="24"/>
          <w:szCs w:val="24"/>
        </w:rPr>
        <w:t xml:space="preserve"> First, it </w:t>
      </w:r>
      <w:r w:rsidR="00754A42">
        <w:rPr>
          <w:sz w:val="24"/>
          <w:szCs w:val="24"/>
        </w:rPr>
        <w:t>claimed</w:t>
      </w:r>
      <w:r w:rsidRPr="00BB52BB">
        <w:rPr>
          <w:sz w:val="24"/>
          <w:szCs w:val="24"/>
        </w:rPr>
        <w:t xml:space="preserve"> that the plain-meaning of the term ‘conduct’ is not instructive because it fails to establish “</w:t>
      </w:r>
      <w:r w:rsidRPr="00BB52BB">
        <w:rPr>
          <w:i/>
          <w:sz w:val="24"/>
          <w:szCs w:val="24"/>
        </w:rPr>
        <w:t>how much</w:t>
      </w:r>
      <w:r w:rsidRPr="00BB52BB">
        <w:rPr>
          <w:sz w:val="24"/>
          <w:szCs w:val="24"/>
        </w:rPr>
        <w:t xml:space="preserve"> conduct is required or </w:t>
      </w:r>
      <w:r w:rsidRPr="00BB52BB">
        <w:rPr>
          <w:i/>
          <w:sz w:val="24"/>
          <w:szCs w:val="24"/>
        </w:rPr>
        <w:t xml:space="preserve">what constitutes </w:t>
      </w:r>
      <w:r w:rsidRPr="00BB52BB">
        <w:rPr>
          <w:sz w:val="24"/>
          <w:szCs w:val="24"/>
        </w:rPr>
        <w:t>conduct.’</w:t>
      </w:r>
      <w:r w:rsidRPr="00BB52BB">
        <w:rPr>
          <w:rStyle w:val="FootnoteReference"/>
          <w:sz w:val="24"/>
          <w:szCs w:val="24"/>
        </w:rPr>
        <w:footnoteReference w:id="79"/>
      </w:r>
      <w:r w:rsidRPr="00BB52BB">
        <w:rPr>
          <w:sz w:val="24"/>
          <w:szCs w:val="24"/>
        </w:rPr>
        <w:t xml:space="preserve"> This is an interesting </w:t>
      </w:r>
      <w:r w:rsidR="0021468A" w:rsidRPr="00BB52BB">
        <w:rPr>
          <w:sz w:val="24"/>
          <w:szCs w:val="24"/>
        </w:rPr>
        <w:t>supposition</w:t>
      </w:r>
      <w:r w:rsidR="0021468A">
        <w:rPr>
          <w:sz w:val="24"/>
          <w:szCs w:val="24"/>
        </w:rPr>
        <w:t xml:space="preserve"> </w:t>
      </w:r>
      <w:r w:rsidRPr="00BB52BB">
        <w:rPr>
          <w:sz w:val="24"/>
          <w:szCs w:val="24"/>
        </w:rPr>
        <w:t xml:space="preserve">by virtue of </w:t>
      </w:r>
      <w:r w:rsidR="006F15B5">
        <w:rPr>
          <w:sz w:val="24"/>
          <w:szCs w:val="24"/>
        </w:rPr>
        <w:t xml:space="preserve">the fact that the </w:t>
      </w:r>
      <w:r w:rsidR="00EB260D">
        <w:rPr>
          <w:sz w:val="24"/>
          <w:szCs w:val="24"/>
        </w:rPr>
        <w:t xml:space="preserve">Office of the </w:t>
      </w:r>
      <w:r w:rsidR="00F460FD">
        <w:rPr>
          <w:sz w:val="24"/>
          <w:szCs w:val="24"/>
        </w:rPr>
        <w:t>Prosecutor’s request</w:t>
      </w:r>
      <w:r w:rsidRPr="00BB52BB">
        <w:rPr>
          <w:sz w:val="24"/>
          <w:szCs w:val="24"/>
        </w:rPr>
        <w:t xml:space="preserve"> does not </w:t>
      </w:r>
      <w:r w:rsidR="0021468A">
        <w:rPr>
          <w:sz w:val="24"/>
          <w:szCs w:val="24"/>
        </w:rPr>
        <w:t xml:space="preserve">actually </w:t>
      </w:r>
      <w:r w:rsidR="00633E93">
        <w:rPr>
          <w:sz w:val="24"/>
          <w:szCs w:val="24"/>
        </w:rPr>
        <w:t>provide a definition of</w:t>
      </w:r>
      <w:r w:rsidRPr="00BB52BB">
        <w:rPr>
          <w:sz w:val="24"/>
          <w:szCs w:val="24"/>
        </w:rPr>
        <w:t xml:space="preserve"> ‘c</w:t>
      </w:r>
      <w:r w:rsidR="00754A42">
        <w:rPr>
          <w:sz w:val="24"/>
          <w:szCs w:val="24"/>
        </w:rPr>
        <w:t xml:space="preserve">onduct’. </w:t>
      </w:r>
      <w:r w:rsidR="00633E93">
        <w:rPr>
          <w:sz w:val="24"/>
          <w:szCs w:val="24"/>
        </w:rPr>
        <w:t xml:space="preserve">In the end, this may be of relatively little import. </w:t>
      </w:r>
      <w:r w:rsidR="00A02DC2">
        <w:rPr>
          <w:sz w:val="24"/>
          <w:szCs w:val="24"/>
        </w:rPr>
        <w:t>When used as a noun, ‘conduct’ can be defined generally as ‘the manner in which a person behaves’, ‘personal behavior’ or ‘a person’s deeds.’</w:t>
      </w:r>
      <w:r w:rsidR="00A02DC2">
        <w:rPr>
          <w:rStyle w:val="FootnoteReference"/>
          <w:sz w:val="24"/>
          <w:szCs w:val="24"/>
        </w:rPr>
        <w:footnoteReference w:id="80"/>
      </w:r>
      <w:r w:rsidR="00A02DC2">
        <w:rPr>
          <w:sz w:val="24"/>
          <w:szCs w:val="24"/>
        </w:rPr>
        <w:t xml:space="preserve"> </w:t>
      </w:r>
      <w:r w:rsidR="006F15B5">
        <w:rPr>
          <w:sz w:val="24"/>
          <w:szCs w:val="24"/>
        </w:rPr>
        <w:t xml:space="preserve">These definitions </w:t>
      </w:r>
      <w:r w:rsidR="00EB260D">
        <w:rPr>
          <w:sz w:val="24"/>
          <w:szCs w:val="24"/>
        </w:rPr>
        <w:t>are quite broad and not particularly responsive to the questions posed by the</w:t>
      </w:r>
      <w:r w:rsidR="00F460FD">
        <w:rPr>
          <w:sz w:val="24"/>
          <w:szCs w:val="24"/>
        </w:rPr>
        <w:t xml:space="preserve"> </w:t>
      </w:r>
      <w:r w:rsidR="00D21C53">
        <w:rPr>
          <w:sz w:val="24"/>
          <w:szCs w:val="24"/>
        </w:rPr>
        <w:t xml:space="preserve">Prosecutor’s Office’s </w:t>
      </w:r>
      <w:r w:rsidR="00F460FD">
        <w:rPr>
          <w:sz w:val="24"/>
          <w:szCs w:val="24"/>
        </w:rPr>
        <w:t>request</w:t>
      </w:r>
      <w:r w:rsidR="00EB260D">
        <w:rPr>
          <w:sz w:val="24"/>
          <w:szCs w:val="24"/>
        </w:rPr>
        <w:t xml:space="preserve">. They do suggest that conduct can </w:t>
      </w:r>
      <w:r w:rsidR="00D21C53">
        <w:rPr>
          <w:sz w:val="24"/>
          <w:szCs w:val="24"/>
        </w:rPr>
        <w:t xml:space="preserve">be understood broadly to </w:t>
      </w:r>
      <w:r w:rsidR="00EB260D">
        <w:rPr>
          <w:sz w:val="24"/>
          <w:szCs w:val="24"/>
        </w:rPr>
        <w:t xml:space="preserve">refer to the acts or omissions of any person but do not address how </w:t>
      </w:r>
      <w:r w:rsidR="00D21C53">
        <w:rPr>
          <w:sz w:val="24"/>
          <w:szCs w:val="24"/>
        </w:rPr>
        <w:t>extensive activities must be to be considered conduct.</w:t>
      </w:r>
    </w:p>
    <w:p w14:paraId="792345E4" w14:textId="792A1FFD" w:rsidR="00254B3C" w:rsidRDefault="00254B3C" w:rsidP="00254B3C">
      <w:pPr>
        <w:pStyle w:val="NormalWeb"/>
        <w:shd w:val="clear" w:color="auto" w:fill="FFFFFF"/>
        <w:spacing w:before="0" w:beforeAutospacing="0" w:after="0" w:afterAutospacing="0" w:line="360" w:lineRule="auto"/>
        <w:jc w:val="both"/>
        <w:rPr>
          <w:sz w:val="24"/>
          <w:szCs w:val="24"/>
        </w:rPr>
      </w:pPr>
      <w:r>
        <w:rPr>
          <w:sz w:val="24"/>
          <w:szCs w:val="24"/>
        </w:rPr>
        <w:tab/>
      </w:r>
      <w:r w:rsidR="00031701">
        <w:rPr>
          <w:sz w:val="24"/>
          <w:szCs w:val="24"/>
        </w:rPr>
        <w:t>However, a</w:t>
      </w:r>
      <w:r w:rsidRPr="00BB52BB">
        <w:rPr>
          <w:sz w:val="24"/>
          <w:szCs w:val="24"/>
        </w:rPr>
        <w:t>n inquiry into understanding the plain meaning of a term should not sto</w:t>
      </w:r>
      <w:r w:rsidR="00EB260D">
        <w:rPr>
          <w:sz w:val="24"/>
          <w:szCs w:val="24"/>
        </w:rPr>
        <w:t>p with dictionary definitions</w:t>
      </w:r>
      <w:r w:rsidR="00D21C53">
        <w:rPr>
          <w:sz w:val="24"/>
          <w:szCs w:val="24"/>
        </w:rPr>
        <w:t>. T</w:t>
      </w:r>
      <w:r w:rsidRPr="00BB52BB">
        <w:rPr>
          <w:sz w:val="24"/>
          <w:szCs w:val="24"/>
        </w:rPr>
        <w:t>he test for determining the plain meaning of a term is not necessarily ‘what the ordinary person would understand it to mean’</w:t>
      </w:r>
      <w:r w:rsidR="00D21C53">
        <w:rPr>
          <w:sz w:val="24"/>
          <w:szCs w:val="24"/>
        </w:rPr>
        <w:t>, but</w:t>
      </w:r>
      <w:r w:rsidR="00D21C53" w:rsidRPr="00BB52BB">
        <w:rPr>
          <w:sz w:val="24"/>
          <w:szCs w:val="24"/>
        </w:rPr>
        <w:t xml:space="preserve"> </w:t>
      </w:r>
      <w:r w:rsidRPr="00BB52BB">
        <w:rPr>
          <w:sz w:val="24"/>
          <w:szCs w:val="24"/>
        </w:rPr>
        <w:t>should also take account of how ‘a person reasonably informed in that subject’ might understand the term.</w:t>
      </w:r>
      <w:r>
        <w:rPr>
          <w:rStyle w:val="FootnoteReference"/>
          <w:sz w:val="24"/>
          <w:szCs w:val="24"/>
        </w:rPr>
        <w:footnoteReference w:id="81"/>
      </w:r>
      <w:r>
        <w:rPr>
          <w:sz w:val="24"/>
          <w:szCs w:val="24"/>
        </w:rPr>
        <w:t xml:space="preserve"> </w:t>
      </w:r>
      <w:r w:rsidR="00B90A12">
        <w:rPr>
          <w:sz w:val="24"/>
          <w:szCs w:val="24"/>
        </w:rPr>
        <w:t xml:space="preserve">A variety of scholars have attempted to explain ‘conduct’ in the context of the Rome Statute. </w:t>
      </w:r>
      <w:r>
        <w:rPr>
          <w:sz w:val="24"/>
          <w:szCs w:val="24"/>
        </w:rPr>
        <w:t xml:space="preserve">Antonio Cassese </w:t>
      </w:r>
      <w:r w:rsidR="00B90A12">
        <w:rPr>
          <w:sz w:val="24"/>
          <w:szCs w:val="24"/>
        </w:rPr>
        <w:t>defined</w:t>
      </w:r>
      <w:r>
        <w:rPr>
          <w:sz w:val="24"/>
          <w:szCs w:val="24"/>
        </w:rPr>
        <w:t xml:space="preserve"> ‘conduct’ as ‘certain behaviour’ that is criminalized under international rules.</w:t>
      </w:r>
      <w:r>
        <w:rPr>
          <w:rStyle w:val="FootnoteReference"/>
          <w:sz w:val="24"/>
          <w:szCs w:val="24"/>
        </w:rPr>
        <w:footnoteReference w:id="82"/>
      </w:r>
      <w:r>
        <w:rPr>
          <w:sz w:val="24"/>
          <w:szCs w:val="24"/>
        </w:rPr>
        <w:t xml:space="preserve"> Gerhard Werle indicates that conduct is ‘an act or omission’ set out in the definition of the crime.</w:t>
      </w:r>
      <w:r>
        <w:rPr>
          <w:rStyle w:val="FootnoteReference"/>
          <w:sz w:val="24"/>
          <w:szCs w:val="24"/>
        </w:rPr>
        <w:footnoteReference w:id="83"/>
      </w:r>
      <w:r>
        <w:rPr>
          <w:sz w:val="24"/>
          <w:szCs w:val="24"/>
        </w:rPr>
        <w:t xml:space="preserve"> Douglas Guilfoyle describes conduct as an act or omission ‘prohibited by a rule of international law.’</w:t>
      </w:r>
      <w:r>
        <w:rPr>
          <w:rStyle w:val="FootnoteReference"/>
          <w:sz w:val="24"/>
          <w:szCs w:val="24"/>
        </w:rPr>
        <w:footnoteReference w:id="84"/>
      </w:r>
      <w:r>
        <w:rPr>
          <w:sz w:val="24"/>
          <w:szCs w:val="24"/>
        </w:rPr>
        <w:t xml:space="preserve"> These definitions are responsive to both of the questions the Office of the Prosecutor suggested were not adequately answered when considering the plain meaning of the term ‘conduct’. The</w:t>
      </w:r>
      <w:r w:rsidR="00D21C53">
        <w:rPr>
          <w:sz w:val="24"/>
          <w:szCs w:val="24"/>
        </w:rPr>
        <w:t xml:space="preserve">y </w:t>
      </w:r>
      <w:r>
        <w:rPr>
          <w:sz w:val="24"/>
          <w:szCs w:val="24"/>
        </w:rPr>
        <w:t xml:space="preserve">demonstrate that conduct consists of those activities that are described as criminal under international law. Further, the amount of conduct required is that which is enough to constitute criminal acts. Therefore, the Office of the Prosecutor may have been incorrect when it asserted that the meaning of conduct could not be understood by its plain meaning. </w:t>
      </w:r>
    </w:p>
    <w:p w14:paraId="593D2A45" w14:textId="3480F093" w:rsidR="00254B3C" w:rsidRPr="00250F9F" w:rsidRDefault="00254B3C" w:rsidP="00254B3C">
      <w:pPr>
        <w:widowControl w:val="0"/>
        <w:autoSpaceDE w:val="0"/>
        <w:autoSpaceDN w:val="0"/>
        <w:adjustRightInd w:val="0"/>
        <w:spacing w:line="360" w:lineRule="auto"/>
        <w:jc w:val="both"/>
        <w:rPr>
          <w:rFonts w:ascii="Times New Roman" w:hAnsi="Times New Roman" w:cs="Times New Roman"/>
        </w:rPr>
      </w:pPr>
      <w:r>
        <w:rPr>
          <w:rFonts w:ascii="Times New Roman" w:eastAsia="Times New Roman" w:hAnsi="Times New Roman" w:cs="Times New Roman"/>
        </w:rPr>
        <w:tab/>
      </w:r>
      <w:r w:rsidR="00D86981">
        <w:rPr>
          <w:rFonts w:ascii="Times New Roman" w:eastAsia="Times New Roman" w:hAnsi="Times New Roman" w:cs="Times New Roman"/>
        </w:rPr>
        <w:t>Additionally, t</w:t>
      </w:r>
      <w:r w:rsidRPr="00F37FC3">
        <w:rPr>
          <w:rFonts w:ascii="Times New Roman" w:eastAsia="Times New Roman" w:hAnsi="Times New Roman" w:cs="Times New Roman"/>
        </w:rPr>
        <w:t xml:space="preserve">he Rome Statute and the Elements of Crimes </w:t>
      </w:r>
      <w:r>
        <w:rPr>
          <w:rFonts w:ascii="Times New Roman" w:eastAsia="Times New Roman" w:hAnsi="Times New Roman" w:cs="Times New Roman"/>
        </w:rPr>
        <w:t xml:space="preserve">can reasonably be read to mean </w:t>
      </w:r>
      <w:r w:rsidRPr="00F37FC3">
        <w:rPr>
          <w:rFonts w:ascii="Times New Roman" w:eastAsia="Times New Roman" w:hAnsi="Times New Roman" w:cs="Times New Roman"/>
        </w:rPr>
        <w:t xml:space="preserve">that </w:t>
      </w:r>
      <w:r>
        <w:rPr>
          <w:rFonts w:ascii="Times New Roman" w:eastAsia="Times New Roman" w:hAnsi="Times New Roman" w:cs="Times New Roman"/>
        </w:rPr>
        <w:t xml:space="preserve">it is the </w:t>
      </w:r>
      <w:r w:rsidR="00D86981">
        <w:rPr>
          <w:rFonts w:ascii="Times New Roman" w:eastAsia="Times New Roman" w:hAnsi="Times New Roman" w:cs="Times New Roman"/>
        </w:rPr>
        <w:t>acts attributable to the alleged perpetrator that constitute conduct within the meaning of the Statute</w:t>
      </w:r>
      <w:r w:rsidRPr="00F37FC3">
        <w:rPr>
          <w:rFonts w:ascii="Times New Roman" w:eastAsia="Times New Roman" w:hAnsi="Times New Roman" w:cs="Times New Roman"/>
        </w:rPr>
        <w:t>. Article 7 of the Statute states ‘</w:t>
      </w:r>
      <w:r w:rsidRPr="00F37FC3">
        <w:rPr>
          <w:rFonts w:ascii="Times New Roman" w:hAnsi="Times New Roman" w:cs="Times New Roman"/>
        </w:rPr>
        <w:t>[f]or the purpose of this Statute, ‘crime against humanity’ means any of the following acts when committed as part of a widespread or systematic attack directed against any civilian population, with knowledge of the attack:</w:t>
      </w:r>
      <w:r>
        <w:rPr>
          <w:rFonts w:ascii="Times New Roman" w:hAnsi="Times New Roman" w:cs="Times New Roman"/>
        </w:rPr>
        <w:t>…</w:t>
      </w:r>
      <w:r w:rsidRPr="00F37FC3">
        <w:rPr>
          <w:rFonts w:ascii="Times New Roman" w:hAnsi="Times New Roman" w:cs="Times New Roman"/>
        </w:rPr>
        <w:t>(d) deportation or forcible transfer of population.’</w:t>
      </w:r>
      <w:r>
        <w:rPr>
          <w:rStyle w:val="FootnoteReference"/>
          <w:rFonts w:ascii="Times New Roman" w:hAnsi="Times New Roman" w:cs="Times New Roman"/>
        </w:rPr>
        <w:footnoteReference w:id="85"/>
      </w:r>
      <w:r>
        <w:rPr>
          <w:rFonts w:ascii="Times New Roman" w:hAnsi="Times New Roman" w:cs="Times New Roman"/>
        </w:rPr>
        <w:t xml:space="preserve"> This formulation specifically defines crimes against humanity as acts being directed against civilians, that is to say, which by their very nature must be committed by the alleged criminal perpetrators. The victims are only involved to the extent that they are the objects of those acts. No requirement exists mandating that victims behave in any particular way for the crime to be completed. This suggests that the actions about which the Statute is concerned are the acts of the alleged perpetrators of crimes against humanity. T</w:t>
      </w:r>
      <w:r w:rsidRPr="0090684C">
        <w:rPr>
          <w:rFonts w:ascii="Times New Roman" w:hAnsi="Times New Roman" w:cs="Times New Roman"/>
        </w:rPr>
        <w:t xml:space="preserve">he </w:t>
      </w:r>
      <w:r>
        <w:rPr>
          <w:rFonts w:ascii="Times New Roman" w:hAnsi="Times New Roman" w:cs="Times New Roman"/>
        </w:rPr>
        <w:t xml:space="preserve">text of the </w:t>
      </w:r>
      <w:r w:rsidRPr="0090684C">
        <w:rPr>
          <w:rFonts w:ascii="Times New Roman" w:hAnsi="Times New Roman" w:cs="Times New Roman"/>
        </w:rPr>
        <w:t>Elements of Crimes also supports this conclusion. The introduction to the section on crimes against humanity states that the conduct involved is that which ‘is impermissible under generally applicable international law’</w:t>
      </w:r>
      <w:r>
        <w:rPr>
          <w:rFonts w:ascii="Times New Roman" w:hAnsi="Times New Roman" w:cs="Times New Roman"/>
        </w:rPr>
        <w:t xml:space="preserve">, i.e. illegal acts performed by the people perpetrating crimes. </w:t>
      </w:r>
      <w:r w:rsidRPr="0090684C">
        <w:rPr>
          <w:rStyle w:val="FootnoteReference"/>
          <w:rFonts w:ascii="Times New Roman" w:hAnsi="Times New Roman" w:cs="Times New Roman"/>
        </w:rPr>
        <w:footnoteReference w:id="86"/>
      </w:r>
      <w:r w:rsidRPr="0090684C">
        <w:rPr>
          <w:rFonts w:ascii="Times New Roman" w:hAnsi="Times New Roman" w:cs="Times New Roman"/>
        </w:rPr>
        <w:t xml:space="preserve"> There is no reference to </w:t>
      </w:r>
      <w:r>
        <w:rPr>
          <w:rFonts w:ascii="Times New Roman" w:hAnsi="Times New Roman" w:cs="Times New Roman"/>
        </w:rPr>
        <w:t>how victims must behave for a crime against humanity to exist</w:t>
      </w:r>
      <w:r w:rsidRPr="0090684C">
        <w:rPr>
          <w:rFonts w:ascii="Times New Roman" w:hAnsi="Times New Roman" w:cs="Times New Roman"/>
        </w:rPr>
        <w:t xml:space="preserve">. </w:t>
      </w:r>
      <w:r>
        <w:rPr>
          <w:rFonts w:ascii="Times New Roman" w:hAnsi="Times New Roman" w:cs="Times New Roman"/>
        </w:rPr>
        <w:t>The statement, ‘[a] particular conduct may constitute one or more crimes’ further reinforces this point.</w:t>
      </w:r>
      <w:r>
        <w:rPr>
          <w:rStyle w:val="FootnoteReference"/>
          <w:rFonts w:ascii="Times New Roman" w:hAnsi="Times New Roman" w:cs="Times New Roman"/>
        </w:rPr>
        <w:footnoteReference w:id="87"/>
      </w:r>
      <w:r>
        <w:rPr>
          <w:rFonts w:ascii="Times New Roman" w:hAnsi="Times New Roman" w:cs="Times New Roman"/>
        </w:rPr>
        <w:t xml:space="preserve"> This implies that the conduct about which the Elements of Crimes are concerned is criminal conduct</w:t>
      </w:r>
      <w:r w:rsidR="00F460FD">
        <w:rPr>
          <w:rFonts w:ascii="Times New Roman" w:hAnsi="Times New Roman" w:cs="Times New Roman"/>
        </w:rPr>
        <w:t xml:space="preserve"> committed by the alleged perpetrator</w:t>
      </w:r>
      <w:r>
        <w:rPr>
          <w:rFonts w:ascii="Times New Roman" w:hAnsi="Times New Roman" w:cs="Times New Roman"/>
        </w:rPr>
        <w:t xml:space="preserve">, not how people act after a crime has been committed against them. </w:t>
      </w:r>
    </w:p>
    <w:p w14:paraId="4EF393C2" w14:textId="77777777" w:rsidR="000E687E" w:rsidRDefault="00254B3C" w:rsidP="000E687E">
      <w:pPr>
        <w:pStyle w:val="NormalWeb"/>
        <w:shd w:val="clear" w:color="auto" w:fill="FFFFFF"/>
        <w:spacing w:before="0" w:beforeAutospacing="0" w:after="0" w:afterAutospacing="0" w:line="360" w:lineRule="auto"/>
        <w:jc w:val="both"/>
        <w:rPr>
          <w:sz w:val="24"/>
          <w:szCs w:val="24"/>
        </w:rPr>
      </w:pPr>
      <w:r>
        <w:rPr>
          <w:sz w:val="24"/>
          <w:szCs w:val="24"/>
        </w:rPr>
        <w:t xml:space="preserve"> </w:t>
      </w:r>
      <w:r w:rsidR="000E687E">
        <w:rPr>
          <w:sz w:val="24"/>
          <w:szCs w:val="24"/>
        </w:rPr>
        <w:tab/>
        <w:t>The Office of the Prosecutor next argued that ‘conduct’ should be understood more broadly when placed in the context of the Rome Statute.</w:t>
      </w:r>
      <w:r w:rsidR="000E687E">
        <w:rPr>
          <w:rStyle w:val="FootnoteReference"/>
          <w:sz w:val="24"/>
          <w:szCs w:val="24"/>
        </w:rPr>
        <w:footnoteReference w:id="88"/>
      </w:r>
      <w:r w:rsidR="000E687E">
        <w:rPr>
          <w:sz w:val="24"/>
          <w:szCs w:val="24"/>
        </w:rPr>
        <w:t xml:space="preserve"> It supports its opinion on two bases. The first suggests that ‘conduct’ is synonymous with ‘crime’, and that because a crime necessarily includes each individual element so to does conduct.</w:t>
      </w:r>
      <w:r w:rsidR="000E687E">
        <w:rPr>
          <w:rStyle w:val="FootnoteReference"/>
          <w:sz w:val="24"/>
          <w:szCs w:val="24"/>
        </w:rPr>
        <w:footnoteReference w:id="89"/>
      </w:r>
      <w:r w:rsidR="000E687E">
        <w:rPr>
          <w:sz w:val="24"/>
          <w:szCs w:val="24"/>
        </w:rPr>
        <w:t xml:space="preserve"> The second ground alleges that there is no clear distinction between conduct and consequence and that they should be considered one and the same. The Office of the Prosecutor supports its first argument by advocating that the term ‘conduct’ is used in the first clause of Article 12(2)(a), while ‘crime’ is used in the second clause, although both words appear to be describing the same thing. On that basis it is argued that it would be illogical for ‘conduct’ and ‘crime’ to not be synonymous as that would mean that the jurisdictional test would change depending on where the crime occurred.</w:t>
      </w:r>
      <w:r w:rsidR="000E687E">
        <w:rPr>
          <w:rStyle w:val="FootnoteReference"/>
          <w:sz w:val="24"/>
          <w:szCs w:val="24"/>
        </w:rPr>
        <w:footnoteReference w:id="90"/>
      </w:r>
      <w:r w:rsidR="000E687E">
        <w:rPr>
          <w:sz w:val="24"/>
          <w:szCs w:val="24"/>
        </w:rPr>
        <w:t xml:space="preserve"> </w:t>
      </w:r>
    </w:p>
    <w:p w14:paraId="71784C6B" w14:textId="77777777" w:rsidR="000E687E" w:rsidRDefault="000E687E" w:rsidP="000E687E">
      <w:pPr>
        <w:pStyle w:val="NormalWeb"/>
        <w:shd w:val="clear" w:color="auto" w:fill="FFFFFF"/>
        <w:spacing w:before="0" w:beforeAutospacing="0" w:after="0" w:afterAutospacing="0" w:line="360" w:lineRule="auto"/>
        <w:jc w:val="both"/>
        <w:rPr>
          <w:sz w:val="24"/>
          <w:szCs w:val="24"/>
        </w:rPr>
      </w:pPr>
      <w:r>
        <w:rPr>
          <w:sz w:val="24"/>
          <w:szCs w:val="24"/>
        </w:rPr>
        <w:tab/>
        <w:t>While there is some foundation for the Office of the Prosecutor’s claim when considered in the limited context of Article 12(2), it may be undermined when ‘conduct’ is placed in the larger context of the Statute as a whole. There are numerous references in the Statute that support the conclusion that ‘conduct’ refers specifically to the acts of the alleged perpetrator. The use of the term ‘conduct’ in Article 22 is particularly interesting because it not only refers to conduct, but also uses the identical term ‘conduct in question’ found in Article 12(2)(a). It states, ‘[a] person shall not be criminally responsible under this Statute unless the conduct in question constitutes, at the time it takes place, a crime within the jurisdiction of the Court.’</w:t>
      </w:r>
      <w:r>
        <w:rPr>
          <w:rStyle w:val="FootnoteReference"/>
          <w:sz w:val="24"/>
          <w:szCs w:val="24"/>
        </w:rPr>
        <w:footnoteReference w:id="91"/>
      </w:r>
      <w:r>
        <w:rPr>
          <w:sz w:val="24"/>
          <w:szCs w:val="24"/>
        </w:rPr>
        <w:t xml:space="preserve"> This formulation appears to equate the terms ‘conduct’ and ‘crime’, but in such a way that it is reasonable to understand ‘crime’ to refer to the criminally culpable acts of the alleged perpetrator and not all of the elements that make up a crime. </w:t>
      </w:r>
    </w:p>
    <w:p w14:paraId="2F18A7FF" w14:textId="2D4F3503" w:rsidR="000E687E" w:rsidRDefault="000E687E" w:rsidP="000E687E">
      <w:pPr>
        <w:pStyle w:val="NormalWeb"/>
        <w:shd w:val="clear" w:color="auto" w:fill="FFFFFF"/>
        <w:spacing w:before="0" w:beforeAutospacing="0" w:after="0" w:afterAutospacing="0" w:line="360" w:lineRule="auto"/>
        <w:jc w:val="both"/>
        <w:rPr>
          <w:sz w:val="24"/>
          <w:szCs w:val="24"/>
        </w:rPr>
      </w:pPr>
      <w:r>
        <w:rPr>
          <w:sz w:val="24"/>
          <w:szCs w:val="24"/>
        </w:rPr>
        <w:tab/>
        <w:t>There are other references to ‘conduct’ in the Statute that support the conclusion that ‘conduct’ refers to the actions of the alleged perpetrator. Article 17 declares inadmissible cases in which the accused ‘has already been tried for conduct which is the subject of the complaint.’</w:t>
      </w:r>
      <w:r>
        <w:rPr>
          <w:rStyle w:val="FootnoteReference"/>
          <w:sz w:val="24"/>
          <w:szCs w:val="24"/>
        </w:rPr>
        <w:footnoteReference w:id="92"/>
      </w:r>
      <w:r>
        <w:rPr>
          <w:sz w:val="24"/>
          <w:szCs w:val="24"/>
        </w:rPr>
        <w:t xml:space="preserve"> Similarly, Article 20, the provision on </w:t>
      </w:r>
      <w:r>
        <w:rPr>
          <w:i/>
          <w:sz w:val="24"/>
          <w:szCs w:val="24"/>
        </w:rPr>
        <w:t>ne bis in idem</w:t>
      </w:r>
      <w:r>
        <w:rPr>
          <w:sz w:val="24"/>
          <w:szCs w:val="24"/>
        </w:rPr>
        <w:t xml:space="preserve">, refers to ‘conduct which formed the basis of crimes’ and ‘conduct also proscribed under article 6, 7, 8 or 8 </w:t>
      </w:r>
      <w:r>
        <w:rPr>
          <w:i/>
          <w:sz w:val="24"/>
          <w:szCs w:val="24"/>
        </w:rPr>
        <w:t>bis</w:t>
      </w:r>
      <w:r>
        <w:rPr>
          <w:sz w:val="24"/>
          <w:szCs w:val="24"/>
        </w:rPr>
        <w:t>’.</w:t>
      </w:r>
      <w:r>
        <w:rPr>
          <w:rStyle w:val="FootnoteReference"/>
          <w:sz w:val="24"/>
          <w:szCs w:val="24"/>
        </w:rPr>
        <w:footnoteReference w:id="93"/>
      </w:r>
      <w:r>
        <w:rPr>
          <w:sz w:val="24"/>
          <w:szCs w:val="24"/>
        </w:rPr>
        <w:t xml:space="preserve"> These references to ‘conduct’ can also be read narrowly to refer only to the criminal conduct of the alleged culprit. Further instances in which conduct is equated to the criminal acts of the accused but not necessarily the crime itself can also be found in Articles 24, 30, 31, 32, 78, 90, 93 </w:t>
      </w:r>
      <w:r w:rsidR="00D21C53">
        <w:rPr>
          <w:sz w:val="24"/>
          <w:szCs w:val="24"/>
        </w:rPr>
        <w:t>and 101. An examination of these</w:t>
      </w:r>
      <w:r>
        <w:rPr>
          <w:sz w:val="24"/>
          <w:szCs w:val="24"/>
        </w:rPr>
        <w:t xml:space="preserve"> references leads to the conclusion that conduct may be used in more than one way in the Statute but that it can be understood to refer only to the acts or omissions of the person thought to have committed criminal acts. As a result, the meaning of ‘conduct’ is not entirely clear when place in the larger context of the Rome Statute. </w:t>
      </w:r>
    </w:p>
    <w:p w14:paraId="77084ECE" w14:textId="2FA0F48E" w:rsidR="00254B3C" w:rsidRDefault="00611FAF" w:rsidP="00254B3C">
      <w:pPr>
        <w:pStyle w:val="NormalWeb"/>
        <w:shd w:val="clear" w:color="auto" w:fill="FFFFFF"/>
        <w:spacing w:before="0" w:beforeAutospacing="0" w:after="0" w:afterAutospacing="0" w:line="360" w:lineRule="auto"/>
        <w:jc w:val="both"/>
        <w:rPr>
          <w:sz w:val="24"/>
          <w:szCs w:val="24"/>
        </w:rPr>
      </w:pPr>
      <w:r>
        <w:rPr>
          <w:sz w:val="24"/>
          <w:szCs w:val="24"/>
        </w:rPr>
        <w:tab/>
        <w:t>Next</w:t>
      </w:r>
      <w:r w:rsidR="00254B3C">
        <w:rPr>
          <w:sz w:val="24"/>
          <w:szCs w:val="24"/>
        </w:rPr>
        <w:t>, the Office of the Prosecutor asserted that the Statute’s drafters struggled with distinguishing between conduct and consequence and ‘“sometimes views on where to draw the line […] differed.”’</w:t>
      </w:r>
      <w:r w:rsidR="00254B3C">
        <w:rPr>
          <w:rStyle w:val="FootnoteReference"/>
          <w:sz w:val="24"/>
          <w:szCs w:val="24"/>
        </w:rPr>
        <w:footnoteReference w:id="94"/>
      </w:r>
      <w:r>
        <w:rPr>
          <w:sz w:val="24"/>
          <w:szCs w:val="24"/>
        </w:rPr>
        <w:t xml:space="preserve"> This</w:t>
      </w:r>
      <w:r w:rsidR="00254B3C">
        <w:rPr>
          <w:sz w:val="24"/>
          <w:szCs w:val="24"/>
        </w:rPr>
        <w:t xml:space="preserve"> argument is somewhat specious as it relies on the notion that because the drafters of the Rome Statute disagreed about the distinction between ‘conduct’ and ‘consequence’ it means that there is no r</w:t>
      </w:r>
      <w:r>
        <w:rPr>
          <w:sz w:val="24"/>
          <w:szCs w:val="24"/>
        </w:rPr>
        <w:t>eal difference between the</w:t>
      </w:r>
      <w:r w:rsidR="00254B3C">
        <w:rPr>
          <w:sz w:val="24"/>
          <w:szCs w:val="24"/>
        </w:rPr>
        <w:t xml:space="preserve"> terms. </w:t>
      </w:r>
      <w:r>
        <w:rPr>
          <w:sz w:val="24"/>
          <w:szCs w:val="24"/>
        </w:rPr>
        <w:t>In fact, t</w:t>
      </w:r>
      <w:r w:rsidR="00254B3C">
        <w:rPr>
          <w:sz w:val="24"/>
          <w:szCs w:val="24"/>
        </w:rPr>
        <w:t>he opinions of the drafters differed a</w:t>
      </w:r>
      <w:r w:rsidR="007E5756">
        <w:rPr>
          <w:sz w:val="24"/>
          <w:szCs w:val="24"/>
        </w:rPr>
        <w:t xml:space="preserve">bout a great number of topics and very few </w:t>
      </w:r>
      <w:r w:rsidR="00254B3C">
        <w:rPr>
          <w:sz w:val="24"/>
          <w:szCs w:val="24"/>
        </w:rPr>
        <w:t>of the terms in the Statute would have any meaning at all if unanimity amongst the drafters is a necessary criterio</w:t>
      </w:r>
      <w:r w:rsidR="000E687E">
        <w:rPr>
          <w:sz w:val="24"/>
          <w:szCs w:val="24"/>
        </w:rPr>
        <w:t>n. The Office of the Prosecutor</w:t>
      </w:r>
      <w:r w:rsidR="00254B3C">
        <w:rPr>
          <w:sz w:val="24"/>
          <w:szCs w:val="24"/>
        </w:rPr>
        <w:t xml:space="preserve"> also supported its argument by suggesting that contemporary commentators were unable to clearly define the term ‘consequence’ or explain how it differed from ‘conduct’ in their review of the discussions of the subject during the Rome Conference.</w:t>
      </w:r>
      <w:r w:rsidR="00254B3C">
        <w:rPr>
          <w:rStyle w:val="FootnoteReference"/>
          <w:sz w:val="24"/>
          <w:szCs w:val="24"/>
        </w:rPr>
        <w:footnoteReference w:id="95"/>
      </w:r>
      <w:r w:rsidR="00254B3C">
        <w:rPr>
          <w:sz w:val="24"/>
          <w:szCs w:val="24"/>
        </w:rPr>
        <w:t xml:space="preserve"> While this may be, it is clear from the Elements of Crimes that the terms ‘conduct’ and ‘co</w:t>
      </w:r>
      <w:r w:rsidR="0021468A">
        <w:rPr>
          <w:sz w:val="24"/>
          <w:szCs w:val="24"/>
        </w:rPr>
        <w:t xml:space="preserve">nsequences’ are not synonymous. </w:t>
      </w:r>
      <w:r w:rsidR="00254B3C">
        <w:rPr>
          <w:sz w:val="24"/>
          <w:szCs w:val="24"/>
        </w:rPr>
        <w:t>The General Introduction to the Elements of Crimes indicates that crimes falling under the jurisdiction of the International Criminal Court can be made up of as many as four different types of elements: conduct, consequence, circumstance and for some crimes, a mental element.</w:t>
      </w:r>
      <w:r w:rsidR="00254B3C">
        <w:rPr>
          <w:rStyle w:val="FootnoteReference"/>
          <w:sz w:val="24"/>
          <w:szCs w:val="24"/>
        </w:rPr>
        <w:footnoteReference w:id="96"/>
      </w:r>
      <w:r w:rsidR="00254B3C">
        <w:rPr>
          <w:sz w:val="24"/>
          <w:szCs w:val="24"/>
        </w:rPr>
        <w:t xml:space="preserve"> These elements are listed in order when describing each crime, with the conduct element always coming first.</w:t>
      </w:r>
      <w:r w:rsidR="00254B3C">
        <w:rPr>
          <w:rStyle w:val="FootnoteReference"/>
          <w:sz w:val="24"/>
          <w:szCs w:val="24"/>
        </w:rPr>
        <w:footnoteReference w:id="97"/>
      </w:r>
      <w:r w:rsidR="00254B3C">
        <w:rPr>
          <w:sz w:val="24"/>
          <w:szCs w:val="24"/>
        </w:rPr>
        <w:t xml:space="preserve"> Organising the elements in this way suggests that everything contained in the first element describes the conduct that must occur for the crime to be committed. </w:t>
      </w:r>
    </w:p>
    <w:p w14:paraId="14C43B7C" w14:textId="4EA38CE5" w:rsidR="00254B3C" w:rsidRDefault="00254B3C" w:rsidP="00254B3C">
      <w:pPr>
        <w:pStyle w:val="NormalWeb"/>
        <w:shd w:val="clear" w:color="auto" w:fill="FFFFFF"/>
        <w:spacing w:before="0" w:beforeAutospacing="0" w:after="0" w:afterAutospacing="0" w:line="360" w:lineRule="auto"/>
        <w:jc w:val="both"/>
        <w:rPr>
          <w:sz w:val="24"/>
          <w:szCs w:val="24"/>
        </w:rPr>
      </w:pPr>
      <w:r>
        <w:rPr>
          <w:sz w:val="24"/>
          <w:szCs w:val="24"/>
        </w:rPr>
        <w:tab/>
        <w:t xml:space="preserve">Further, scholars have also </w:t>
      </w:r>
      <w:r w:rsidR="00611FAF">
        <w:rPr>
          <w:sz w:val="24"/>
          <w:szCs w:val="24"/>
        </w:rPr>
        <w:t>delineated</w:t>
      </w:r>
      <w:r>
        <w:rPr>
          <w:sz w:val="24"/>
          <w:szCs w:val="24"/>
        </w:rPr>
        <w:t xml:space="preserve"> the difference between these two terms. Gerhard Werle </w:t>
      </w:r>
      <w:r w:rsidR="00611FAF">
        <w:rPr>
          <w:sz w:val="24"/>
          <w:szCs w:val="24"/>
        </w:rPr>
        <w:t>defines</w:t>
      </w:r>
      <w:r>
        <w:rPr>
          <w:sz w:val="24"/>
          <w:szCs w:val="24"/>
        </w:rPr>
        <w:t xml:space="preserve"> ‘consequence’ </w:t>
      </w:r>
      <w:r w:rsidR="00611FAF">
        <w:rPr>
          <w:sz w:val="24"/>
          <w:szCs w:val="24"/>
        </w:rPr>
        <w:t xml:space="preserve">so as </w:t>
      </w:r>
      <w:r>
        <w:rPr>
          <w:sz w:val="24"/>
          <w:szCs w:val="24"/>
        </w:rPr>
        <w:t>to include all of the effects of the conduct.</w:t>
      </w:r>
      <w:r>
        <w:rPr>
          <w:rStyle w:val="FootnoteReference"/>
          <w:sz w:val="24"/>
          <w:szCs w:val="24"/>
        </w:rPr>
        <w:footnoteReference w:id="98"/>
      </w:r>
      <w:r>
        <w:rPr>
          <w:sz w:val="24"/>
          <w:szCs w:val="24"/>
        </w:rPr>
        <w:t xml:space="preserve"> </w:t>
      </w:r>
      <w:r w:rsidR="00611FAF">
        <w:rPr>
          <w:sz w:val="24"/>
          <w:szCs w:val="24"/>
        </w:rPr>
        <w:t xml:space="preserve">Antonio </w:t>
      </w:r>
      <w:r>
        <w:rPr>
          <w:sz w:val="24"/>
          <w:szCs w:val="24"/>
        </w:rPr>
        <w:t>Cassese describes ‘consequences’ as ‘the effects caused by one’s conduct.’</w:t>
      </w:r>
      <w:r>
        <w:rPr>
          <w:rStyle w:val="FootnoteReference"/>
          <w:sz w:val="24"/>
          <w:szCs w:val="24"/>
        </w:rPr>
        <w:footnoteReference w:id="99"/>
      </w:r>
      <w:r>
        <w:rPr>
          <w:sz w:val="24"/>
          <w:szCs w:val="24"/>
        </w:rPr>
        <w:t xml:space="preserve"> Kai Ambos asserts that Article 30 of the Rome Statute makes clear that ‘conduct’ is distinct from ‘consequence’.</w:t>
      </w:r>
      <w:r>
        <w:rPr>
          <w:rStyle w:val="FootnoteReference"/>
          <w:sz w:val="24"/>
          <w:szCs w:val="24"/>
        </w:rPr>
        <w:footnoteReference w:id="100"/>
      </w:r>
      <w:r w:rsidR="00611FAF">
        <w:rPr>
          <w:sz w:val="24"/>
          <w:szCs w:val="24"/>
        </w:rPr>
        <w:t xml:space="preserve"> He concludes that t</w:t>
      </w:r>
      <w:r>
        <w:rPr>
          <w:sz w:val="24"/>
          <w:szCs w:val="24"/>
        </w:rPr>
        <w:t>his distinction ‘makes it difficult’ to allow the exercise of jurisdiction based only on the consequences of a crime being felt on the territory of a state party.</w:t>
      </w:r>
      <w:r>
        <w:rPr>
          <w:rStyle w:val="FootnoteReference"/>
          <w:sz w:val="24"/>
          <w:szCs w:val="24"/>
        </w:rPr>
        <w:footnoteReference w:id="101"/>
      </w:r>
      <w:r>
        <w:rPr>
          <w:sz w:val="24"/>
          <w:szCs w:val="24"/>
        </w:rPr>
        <w:t xml:space="preserve"> </w:t>
      </w:r>
    </w:p>
    <w:p w14:paraId="472AC742" w14:textId="554FD570" w:rsidR="00254B3C" w:rsidRDefault="00254B3C" w:rsidP="00254B3C">
      <w:pPr>
        <w:pStyle w:val="NormalWeb"/>
        <w:shd w:val="clear" w:color="auto" w:fill="FFFFFF"/>
        <w:spacing w:before="0" w:beforeAutospacing="0" w:after="0" w:afterAutospacing="0" w:line="360" w:lineRule="auto"/>
        <w:jc w:val="both"/>
        <w:rPr>
          <w:sz w:val="24"/>
          <w:szCs w:val="24"/>
        </w:rPr>
      </w:pPr>
      <w:r>
        <w:rPr>
          <w:sz w:val="24"/>
          <w:szCs w:val="24"/>
        </w:rPr>
        <w:tab/>
        <w:t>The difference between ‘conduct’ and ‘consequence’ is also borne out by the specific definition of deportation</w:t>
      </w:r>
      <w:r w:rsidR="00611FAF">
        <w:rPr>
          <w:sz w:val="24"/>
          <w:szCs w:val="24"/>
        </w:rPr>
        <w:t xml:space="preserve"> found in the Elements of Crimes</w:t>
      </w:r>
      <w:r>
        <w:rPr>
          <w:sz w:val="24"/>
          <w:szCs w:val="24"/>
        </w:rPr>
        <w:t>. Deportation or forcible transfer occurs when the perpetrator expels or engages in other coercive acts that result in a person or people relocating to another state or location.</w:t>
      </w:r>
      <w:r>
        <w:rPr>
          <w:rStyle w:val="FootnoteReference"/>
          <w:sz w:val="24"/>
          <w:szCs w:val="24"/>
        </w:rPr>
        <w:footnoteReference w:id="102"/>
      </w:r>
      <w:r w:rsidR="00333ECE">
        <w:rPr>
          <w:sz w:val="24"/>
          <w:szCs w:val="24"/>
        </w:rPr>
        <w:t xml:space="preserve"> </w:t>
      </w:r>
      <w:r>
        <w:rPr>
          <w:sz w:val="24"/>
          <w:szCs w:val="24"/>
        </w:rPr>
        <w:t xml:space="preserve">Under this definition, the conduct attributable to the perpetrator are the acts of expulsion and/or other forms of coercion while the </w:t>
      </w:r>
      <w:r w:rsidR="003D4DEC">
        <w:rPr>
          <w:sz w:val="24"/>
          <w:szCs w:val="24"/>
        </w:rPr>
        <w:t>consequence</w:t>
      </w:r>
      <w:r>
        <w:rPr>
          <w:sz w:val="24"/>
          <w:szCs w:val="24"/>
        </w:rPr>
        <w:t xml:space="preserve"> of that behaviour is that the victims are forced to relocate. There is a clear relationship bet</w:t>
      </w:r>
      <w:r w:rsidR="003D4DEC">
        <w:rPr>
          <w:sz w:val="24"/>
          <w:szCs w:val="24"/>
        </w:rPr>
        <w:t>ween the conduct and its consequence</w:t>
      </w:r>
      <w:r>
        <w:rPr>
          <w:sz w:val="24"/>
          <w:szCs w:val="24"/>
        </w:rPr>
        <w:t>, but tha</w:t>
      </w:r>
      <w:r w:rsidR="003D4DEC">
        <w:rPr>
          <w:sz w:val="24"/>
          <w:szCs w:val="24"/>
        </w:rPr>
        <w:t xml:space="preserve">t does not mean that the consequence is </w:t>
      </w:r>
      <w:r>
        <w:rPr>
          <w:sz w:val="24"/>
          <w:szCs w:val="24"/>
        </w:rPr>
        <w:t xml:space="preserve">part of the conduct. The Office of the Prosecutor fails to explore this distinction </w:t>
      </w:r>
      <w:r w:rsidR="003D4DEC">
        <w:rPr>
          <w:sz w:val="24"/>
          <w:szCs w:val="24"/>
        </w:rPr>
        <w:t xml:space="preserve">in its request </w:t>
      </w:r>
      <w:r>
        <w:rPr>
          <w:sz w:val="24"/>
          <w:szCs w:val="24"/>
        </w:rPr>
        <w:t xml:space="preserve">and the Pre-Trial Chamber did not address when, if ever, the consequences of conduct can be considered part of the conduct itself. </w:t>
      </w:r>
    </w:p>
    <w:p w14:paraId="4F2B0631" w14:textId="7555807C" w:rsidR="00254B3C" w:rsidRDefault="00254B3C" w:rsidP="00254B3C">
      <w:pPr>
        <w:pStyle w:val="NormalWeb"/>
        <w:shd w:val="clear" w:color="auto" w:fill="FFFFFF"/>
        <w:spacing w:before="0" w:beforeAutospacing="0" w:after="0" w:afterAutospacing="0" w:line="360" w:lineRule="auto"/>
        <w:jc w:val="both"/>
        <w:rPr>
          <w:sz w:val="24"/>
          <w:szCs w:val="24"/>
        </w:rPr>
      </w:pPr>
      <w:r>
        <w:rPr>
          <w:sz w:val="24"/>
          <w:szCs w:val="24"/>
        </w:rPr>
        <w:tab/>
        <w:t xml:space="preserve">The Prosecutor’s Office has, in other contexts, examined how close the relationship between conduct and its consequences must be for those consequences to serve as the basis for jurisdiction under Article 12(2)(a). In its Article 5 Report on the </w:t>
      </w:r>
      <w:r w:rsidRPr="00C938AE">
        <w:rPr>
          <w:i/>
          <w:sz w:val="24"/>
          <w:szCs w:val="24"/>
        </w:rPr>
        <w:t>Situation in the Republic of Korea</w:t>
      </w:r>
      <w:r>
        <w:rPr>
          <w:sz w:val="24"/>
          <w:szCs w:val="24"/>
        </w:rPr>
        <w:t>, the Prosecutor’s Office evaluated whether aggressive military acts performed by North Korea and directed towards the territory of South Korea could give rise to the exercise of jurisdiction by the International Criminal Court.</w:t>
      </w:r>
      <w:r>
        <w:rPr>
          <w:rStyle w:val="FootnoteReference"/>
          <w:sz w:val="24"/>
          <w:szCs w:val="24"/>
        </w:rPr>
        <w:footnoteReference w:id="103"/>
      </w:r>
      <w:r>
        <w:rPr>
          <w:sz w:val="24"/>
          <w:szCs w:val="24"/>
        </w:rPr>
        <w:t xml:space="preserve"> The jurisdictional situation under consideration in the Korean context was similar to the Myanmar and Rohingya matter to </w:t>
      </w:r>
      <w:r w:rsidR="000E687E">
        <w:rPr>
          <w:sz w:val="24"/>
          <w:szCs w:val="24"/>
        </w:rPr>
        <w:t xml:space="preserve">the </w:t>
      </w:r>
      <w:r>
        <w:rPr>
          <w:sz w:val="24"/>
          <w:szCs w:val="24"/>
        </w:rPr>
        <w:t>extent that the state in which the criminal conduct took place, North Korea, is not a state party to the Rome Statute, while the place in which the effects of those actions were felt, South Korea, is a state party.</w:t>
      </w:r>
      <w:r>
        <w:rPr>
          <w:rStyle w:val="FootnoteReference"/>
          <w:sz w:val="24"/>
          <w:szCs w:val="24"/>
        </w:rPr>
        <w:footnoteReference w:id="104"/>
      </w:r>
      <w:r>
        <w:rPr>
          <w:sz w:val="24"/>
          <w:szCs w:val="24"/>
        </w:rPr>
        <w:t xml:space="preserve"> The Prosecutor’s Office concluded that in that matter the Court did have jurisdiction pursuant to Article 12(2)(a) because the conduct of firing military ordinance could not be separated from the consequence of hitting the area at which it was targeted.</w:t>
      </w:r>
      <w:r>
        <w:rPr>
          <w:rStyle w:val="FootnoteReference"/>
          <w:sz w:val="24"/>
          <w:szCs w:val="24"/>
        </w:rPr>
        <w:footnoteReference w:id="105"/>
      </w:r>
      <w:r>
        <w:rPr>
          <w:sz w:val="24"/>
          <w:szCs w:val="24"/>
        </w:rPr>
        <w:t xml:space="preserve"> In the view of the Prosecutor, differentiating between the two under these circumstances would create an artificial distinction when the conduct and the consequences ‘are one and the same’.</w:t>
      </w:r>
      <w:r>
        <w:rPr>
          <w:rStyle w:val="FootnoteReference"/>
          <w:sz w:val="24"/>
          <w:szCs w:val="24"/>
        </w:rPr>
        <w:footnoteReference w:id="106"/>
      </w:r>
    </w:p>
    <w:p w14:paraId="40997020" w14:textId="77777777" w:rsidR="00254B3C" w:rsidRPr="00F311F1" w:rsidRDefault="00254B3C" w:rsidP="00254B3C">
      <w:pPr>
        <w:pStyle w:val="NormalWeb"/>
        <w:shd w:val="clear" w:color="auto" w:fill="FFFFFF"/>
        <w:spacing w:before="0" w:beforeAutospacing="0" w:after="0" w:afterAutospacing="0" w:line="360" w:lineRule="auto"/>
        <w:ind w:firstLine="720"/>
        <w:jc w:val="both"/>
        <w:rPr>
          <w:sz w:val="24"/>
          <w:szCs w:val="24"/>
        </w:rPr>
      </w:pPr>
      <w:r>
        <w:rPr>
          <w:sz w:val="24"/>
          <w:szCs w:val="24"/>
        </w:rPr>
        <w:t xml:space="preserve">In a subsequent report, the Prosecutor’s Office further elaborated on its understanding of the requisite closeness between conduct and consequences to support an exercise of jurisdiction by the Court. It demonstrated that there needed to be a very close relationship between the conduct and the consequences to form an adequate basis for jurisdiction. In the Article 53(1) report submitted by the Office of the Prosecutor in the </w:t>
      </w:r>
      <w:r>
        <w:rPr>
          <w:i/>
          <w:sz w:val="24"/>
          <w:szCs w:val="24"/>
        </w:rPr>
        <w:t>Situation on Registered Vessels of Comoros, Greece and Cambodia</w:t>
      </w:r>
      <w:r>
        <w:rPr>
          <w:sz w:val="24"/>
          <w:szCs w:val="24"/>
        </w:rPr>
        <w:t>, it indicated that there needed to be a very close connection between conduct and consequences for the latter to provide a sound basis for a finding of jurisdiction.</w:t>
      </w:r>
      <w:r>
        <w:rPr>
          <w:rStyle w:val="FootnoteReference"/>
          <w:sz w:val="24"/>
          <w:szCs w:val="24"/>
        </w:rPr>
        <w:footnoteReference w:id="107"/>
      </w:r>
      <w:r>
        <w:rPr>
          <w:sz w:val="24"/>
          <w:szCs w:val="24"/>
        </w:rPr>
        <w:t xml:space="preserve"> There, the Office of the Prosecutor was considering the extent of its jurisdiction to open an investigation into an incident that occurred on a flotilla of ships on 31 May 2010.</w:t>
      </w:r>
      <w:r>
        <w:rPr>
          <w:rStyle w:val="FootnoteReference"/>
          <w:sz w:val="24"/>
          <w:szCs w:val="24"/>
        </w:rPr>
        <w:footnoteReference w:id="108"/>
      </w:r>
      <w:r>
        <w:rPr>
          <w:sz w:val="24"/>
          <w:szCs w:val="24"/>
        </w:rPr>
        <w:t xml:space="preserve"> The Office of the Prosecutor asserted that the Court only had jurisdiction over events that took place on the vessels registered to state parties of the Rome Statute.</w:t>
      </w:r>
      <w:r>
        <w:rPr>
          <w:rStyle w:val="FootnoteReference"/>
          <w:sz w:val="24"/>
          <w:szCs w:val="24"/>
        </w:rPr>
        <w:footnoteReference w:id="109"/>
      </w:r>
      <w:r>
        <w:rPr>
          <w:sz w:val="24"/>
          <w:szCs w:val="24"/>
        </w:rPr>
        <w:t xml:space="preserve"> The Office of the </w:t>
      </w:r>
      <w:r w:rsidRPr="004869A3">
        <w:rPr>
          <w:sz w:val="24"/>
          <w:szCs w:val="24"/>
        </w:rPr>
        <w:t xml:space="preserve">Prosecutor reached this conclusion on the basis that ‘[n]othing in the Statute, commentary, or relevant jurisprudence supports the proposition </w:t>
      </w:r>
      <w:r w:rsidRPr="00F311F1">
        <w:rPr>
          <w:sz w:val="24"/>
          <w:szCs w:val="24"/>
        </w:rPr>
        <w:t>that the Court’s jurisdiction would also extend to any events that, while related to the events on board the vessels in the flotilla, occurred after individuals were taken off the vessels.’</w:t>
      </w:r>
      <w:r w:rsidRPr="00F311F1">
        <w:rPr>
          <w:rStyle w:val="FootnoteReference"/>
          <w:sz w:val="24"/>
          <w:szCs w:val="24"/>
        </w:rPr>
        <w:footnoteReference w:id="110"/>
      </w:r>
      <w:r w:rsidRPr="00F311F1">
        <w:rPr>
          <w:sz w:val="24"/>
          <w:szCs w:val="24"/>
        </w:rPr>
        <w:t xml:space="preserve"> </w:t>
      </w:r>
    </w:p>
    <w:p w14:paraId="596F4BCC" w14:textId="7A057DCE" w:rsidR="00254B3C" w:rsidRDefault="00254B3C" w:rsidP="00254B3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Pr="00F311F1">
        <w:rPr>
          <w:rFonts w:ascii="Times New Roman" w:hAnsi="Times New Roman" w:cs="Times New Roman"/>
        </w:rPr>
        <w:t xml:space="preserve">These two reports </w:t>
      </w:r>
      <w:r>
        <w:rPr>
          <w:rFonts w:ascii="Times New Roman" w:hAnsi="Times New Roman" w:cs="Times New Roman"/>
        </w:rPr>
        <w:t xml:space="preserve">support the proposition </w:t>
      </w:r>
      <w:r w:rsidRPr="00F311F1">
        <w:rPr>
          <w:rFonts w:ascii="Times New Roman" w:hAnsi="Times New Roman" w:cs="Times New Roman"/>
        </w:rPr>
        <w:t xml:space="preserve">that for the International Criminal Court to exercise its jurisdiction on the basis of the consequences occurring in the territory of a state party, there must be more than a mere relationship between the perpetrator’s conduct and its consequences. Instead, there must be a sufficiently close relationship between the events so as to suggest that they are essentially indivisible. Whether a close enough relationship exists between the actions that took place in Myanmar and the Rohingyas’ entry into Bangladesh is open to debate. It could be argued, as the Pre-Trial Chamber found, that the crossing of an international border is a necessary part of deportation and that the very act of crossing a border under such circumstances is inextricably linked to the conduct that precipitated the crossing.  Alternatively, one might assert that </w:t>
      </w:r>
      <w:r w:rsidR="000E687E">
        <w:rPr>
          <w:rFonts w:ascii="Times New Roman" w:hAnsi="Times New Roman" w:cs="Times New Roman"/>
        </w:rPr>
        <w:t>although</w:t>
      </w:r>
      <w:r w:rsidRPr="00F311F1">
        <w:rPr>
          <w:rFonts w:ascii="Times New Roman" w:hAnsi="Times New Roman" w:cs="Times New Roman"/>
        </w:rPr>
        <w:t xml:space="preserve"> the actions that took place in Myanmar</w:t>
      </w:r>
      <w:r w:rsidR="000E687E">
        <w:rPr>
          <w:rFonts w:ascii="Times New Roman" w:hAnsi="Times New Roman" w:cs="Times New Roman"/>
        </w:rPr>
        <w:t xml:space="preserve"> </w:t>
      </w:r>
      <w:r w:rsidRPr="00F311F1">
        <w:rPr>
          <w:rFonts w:ascii="Times New Roman" w:hAnsi="Times New Roman" w:cs="Times New Roman"/>
        </w:rPr>
        <w:t>did result in the Rohingya crossing the border with Bangladesh, it was not the necess</w:t>
      </w:r>
      <w:r w:rsidR="000E687E">
        <w:rPr>
          <w:rFonts w:ascii="Times New Roman" w:hAnsi="Times New Roman" w:cs="Times New Roman"/>
        </w:rPr>
        <w:t>ary outcome of those actions. These actions</w:t>
      </w:r>
      <w:r w:rsidRPr="00F311F1">
        <w:rPr>
          <w:rFonts w:ascii="Times New Roman" w:hAnsi="Times New Roman" w:cs="Times New Roman"/>
        </w:rPr>
        <w:t xml:space="preserve"> could have equally </w:t>
      </w:r>
      <w:r w:rsidR="000E687E" w:rsidRPr="00F311F1">
        <w:rPr>
          <w:rFonts w:ascii="Times New Roman" w:hAnsi="Times New Roman" w:cs="Times New Roman"/>
        </w:rPr>
        <w:t>caused</w:t>
      </w:r>
      <w:r w:rsidR="000E687E">
        <w:rPr>
          <w:rFonts w:ascii="Times New Roman" w:hAnsi="Times New Roman" w:cs="Times New Roman"/>
        </w:rPr>
        <w:t xml:space="preserve"> a</w:t>
      </w:r>
      <w:r w:rsidRPr="00F311F1">
        <w:rPr>
          <w:rFonts w:ascii="Times New Roman" w:hAnsi="Times New Roman" w:cs="Times New Roman"/>
        </w:rPr>
        <w:t>n internal displacement, as it had in the past, further persecution of the Rohingya within the borders of Myanmar, the displacement of the Rohingya to India, also not a party to the Rome Statute, or</w:t>
      </w:r>
      <w:r w:rsidR="005E0AE0">
        <w:rPr>
          <w:rFonts w:ascii="Times New Roman" w:hAnsi="Times New Roman" w:cs="Times New Roman"/>
        </w:rPr>
        <w:t xml:space="preserve"> some other unforeseen outcome. </w:t>
      </w:r>
      <w:r w:rsidRPr="00F311F1">
        <w:rPr>
          <w:rFonts w:ascii="Times New Roman" w:hAnsi="Times New Roman" w:cs="Times New Roman"/>
        </w:rPr>
        <w:t>That more than one possible outcome existed may indicate that the consequence, which is the only part of the alleged crime to occur in the territory of a state party, may not have been sufficiently connected to the conduct to support a finding that the International Criminal Court has jurisdiction in this matter.</w:t>
      </w:r>
    </w:p>
    <w:p w14:paraId="155DDCCB" w14:textId="72BC1DF9" w:rsidR="00BA4840" w:rsidRDefault="00254B3C" w:rsidP="00254B3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Finally, the Prosecutor’s Office asserted that the object and purpose of the Statute requires that only one element of a crime need occur in the territory of a state party for the International Criminal Court to have jurisdiction. It argues that such a finding would be in line with national and internation</w:t>
      </w:r>
      <w:r w:rsidR="006451D5">
        <w:rPr>
          <w:rFonts w:ascii="Times New Roman" w:hAnsi="Times New Roman" w:cs="Times New Roman"/>
        </w:rPr>
        <w:t>al law and to read the Statute</w:t>
      </w:r>
      <w:r w:rsidR="00CC6FFB">
        <w:rPr>
          <w:rFonts w:ascii="Times New Roman" w:hAnsi="Times New Roman" w:cs="Times New Roman"/>
        </w:rPr>
        <w:t xml:space="preserve"> otherwise would undermine the Court’s complementarity regime</w:t>
      </w:r>
      <w:r>
        <w:rPr>
          <w:rFonts w:ascii="Times New Roman" w:hAnsi="Times New Roman" w:cs="Times New Roman"/>
        </w:rPr>
        <w:t>.</w:t>
      </w:r>
      <w:r>
        <w:rPr>
          <w:rStyle w:val="FootnoteReference"/>
          <w:rFonts w:ascii="Times New Roman" w:hAnsi="Times New Roman" w:cs="Times New Roman"/>
        </w:rPr>
        <w:footnoteReference w:id="111"/>
      </w:r>
      <w:r>
        <w:rPr>
          <w:rFonts w:ascii="Times New Roman" w:hAnsi="Times New Roman" w:cs="Times New Roman"/>
        </w:rPr>
        <w:t xml:space="preserve"> In </w:t>
      </w:r>
      <w:r w:rsidR="00F460FD">
        <w:rPr>
          <w:rFonts w:ascii="Times New Roman" w:hAnsi="Times New Roman" w:cs="Times New Roman"/>
        </w:rPr>
        <w:t>support of that position</w:t>
      </w:r>
      <w:r w:rsidR="003D4DEC">
        <w:rPr>
          <w:rFonts w:ascii="Times New Roman" w:hAnsi="Times New Roman" w:cs="Times New Roman"/>
        </w:rPr>
        <w:t>,</w:t>
      </w:r>
      <w:r w:rsidR="00F460FD">
        <w:rPr>
          <w:rFonts w:ascii="Times New Roman" w:hAnsi="Times New Roman" w:cs="Times New Roman"/>
        </w:rPr>
        <w:t xml:space="preserve"> the request by the Office of the Prosecutor</w:t>
      </w:r>
      <w:r>
        <w:rPr>
          <w:rFonts w:ascii="Times New Roman" w:hAnsi="Times New Roman" w:cs="Times New Roman"/>
        </w:rPr>
        <w:t xml:space="preserve"> identifies a variety of states that allow jurisdiction to be exercised so long as one element of a crime takes place on its territory.</w:t>
      </w:r>
      <w:r>
        <w:rPr>
          <w:rStyle w:val="FootnoteReference"/>
          <w:rFonts w:ascii="Times New Roman" w:hAnsi="Times New Roman" w:cs="Times New Roman"/>
        </w:rPr>
        <w:footnoteReference w:id="112"/>
      </w:r>
      <w:r>
        <w:rPr>
          <w:rFonts w:ascii="Times New Roman" w:hAnsi="Times New Roman" w:cs="Times New Roman"/>
        </w:rPr>
        <w:t xml:space="preserve"> The Pre-Trial Chamber picked up on this argument and implicitly agreed with the approach advanced by the Prosecutor’s Office.</w:t>
      </w:r>
      <w:r>
        <w:rPr>
          <w:rStyle w:val="FootnoteReference"/>
          <w:rFonts w:ascii="Times New Roman" w:hAnsi="Times New Roman" w:cs="Times New Roman"/>
        </w:rPr>
        <w:footnoteReference w:id="113"/>
      </w:r>
      <w:r>
        <w:rPr>
          <w:rFonts w:ascii="Times New Roman" w:hAnsi="Times New Roman" w:cs="Times New Roman"/>
        </w:rPr>
        <w:t xml:space="preserve"> In particular, the Pre-Trial Chamber found that the drafters of the Statute intended to allow the International Criminal Court to exercise jurisdiction to the same extent as its states parties.</w:t>
      </w:r>
      <w:r>
        <w:rPr>
          <w:rStyle w:val="FootnoteReference"/>
          <w:rFonts w:ascii="Times New Roman" w:hAnsi="Times New Roman" w:cs="Times New Roman"/>
        </w:rPr>
        <w:footnoteReference w:id="114"/>
      </w:r>
      <w:r>
        <w:rPr>
          <w:rFonts w:ascii="Times New Roman" w:hAnsi="Times New Roman" w:cs="Times New Roman"/>
        </w:rPr>
        <w:t xml:space="preserve"> </w:t>
      </w:r>
    </w:p>
    <w:p w14:paraId="1DBBB896" w14:textId="1B95B848" w:rsidR="00254B3C" w:rsidRDefault="00BA4840" w:rsidP="00254B3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333ECE">
        <w:rPr>
          <w:rFonts w:ascii="Times New Roman" w:hAnsi="Times New Roman" w:cs="Times New Roman"/>
        </w:rPr>
        <w:t>T</w:t>
      </w:r>
      <w:r w:rsidR="00254B3C">
        <w:rPr>
          <w:rFonts w:ascii="Times New Roman" w:hAnsi="Times New Roman" w:cs="Times New Roman"/>
        </w:rPr>
        <w:t>he wording of the Rome Statute</w:t>
      </w:r>
      <w:r w:rsidR="00333ECE">
        <w:rPr>
          <w:rFonts w:ascii="Times New Roman" w:hAnsi="Times New Roman" w:cs="Times New Roman"/>
        </w:rPr>
        <w:t xml:space="preserve"> calls this conclusion</w:t>
      </w:r>
      <w:r w:rsidR="003D4DEC" w:rsidRPr="003D4DEC">
        <w:rPr>
          <w:rFonts w:ascii="Times New Roman" w:hAnsi="Times New Roman" w:cs="Times New Roman"/>
        </w:rPr>
        <w:t xml:space="preserve"> </w:t>
      </w:r>
      <w:r w:rsidR="003D4DEC">
        <w:rPr>
          <w:rFonts w:ascii="Times New Roman" w:hAnsi="Times New Roman" w:cs="Times New Roman"/>
        </w:rPr>
        <w:t>into question</w:t>
      </w:r>
      <w:r w:rsidR="00333ECE">
        <w:rPr>
          <w:rFonts w:ascii="Times New Roman" w:hAnsi="Times New Roman" w:cs="Times New Roman"/>
        </w:rPr>
        <w:t>.</w:t>
      </w:r>
      <w:r w:rsidR="00254B3C">
        <w:rPr>
          <w:rFonts w:ascii="Times New Roman" w:hAnsi="Times New Roman" w:cs="Times New Roman"/>
        </w:rPr>
        <w:t xml:space="preserve"> All of the national laws </w:t>
      </w:r>
      <w:r w:rsidR="003D4DEC">
        <w:rPr>
          <w:rFonts w:ascii="Times New Roman" w:hAnsi="Times New Roman" w:cs="Times New Roman"/>
        </w:rPr>
        <w:t xml:space="preserve">discussed </w:t>
      </w:r>
      <w:r w:rsidR="00254B3C">
        <w:rPr>
          <w:rFonts w:ascii="Times New Roman" w:hAnsi="Times New Roman" w:cs="Times New Roman"/>
        </w:rPr>
        <w:t>by the Office of the Prosecutor specifically allow jurisdiction to be exercised in situations that are broader than what is described in Article 12(2)(a). Argentina, China, Germany, Iran and Italy all explicitly state that they will have jurisdiction over a crime if either the act or omission constituting the crime, or its consequence or effect, occurs on its territory.</w:t>
      </w:r>
      <w:r w:rsidR="00254B3C">
        <w:rPr>
          <w:rStyle w:val="FootnoteReference"/>
          <w:rFonts w:ascii="Times New Roman" w:hAnsi="Times New Roman" w:cs="Times New Roman"/>
        </w:rPr>
        <w:footnoteReference w:id="115"/>
      </w:r>
      <w:r w:rsidR="00254B3C">
        <w:rPr>
          <w:rFonts w:ascii="Times New Roman" w:hAnsi="Times New Roman" w:cs="Times New Roman"/>
        </w:rPr>
        <w:t xml:space="preserve"> This is in direct contrast to the Rome Statute, which only allows jurisdiction if ‘the conduct in question’ took place in the territory of a state party. The International Criminal Court’s approach is clearly more limited as it only mentions conduct and not consequences. Further, that those national laws see the need to refer to consequences in this regard has the tendency to show they are not </w:t>
      </w:r>
      <w:r w:rsidR="003D4DEC">
        <w:rPr>
          <w:rFonts w:ascii="Times New Roman" w:hAnsi="Times New Roman" w:cs="Times New Roman"/>
        </w:rPr>
        <w:t xml:space="preserve">thought to be </w:t>
      </w:r>
      <w:r w:rsidR="00254B3C">
        <w:rPr>
          <w:rFonts w:ascii="Times New Roman" w:hAnsi="Times New Roman" w:cs="Times New Roman"/>
        </w:rPr>
        <w:t xml:space="preserve">synonymous with conduct. </w:t>
      </w:r>
    </w:p>
    <w:p w14:paraId="139057F5" w14:textId="2ACFB66C" w:rsidR="00D736E4" w:rsidRDefault="00254B3C" w:rsidP="00D736E4">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Several other countries take a somewhat different approach that is still more ex</w:t>
      </w:r>
      <w:r w:rsidR="003D4DEC">
        <w:rPr>
          <w:rFonts w:ascii="Times New Roman" w:hAnsi="Times New Roman" w:cs="Times New Roman"/>
        </w:rPr>
        <w:t>pansive</w:t>
      </w:r>
      <w:r>
        <w:rPr>
          <w:rFonts w:ascii="Times New Roman" w:hAnsi="Times New Roman" w:cs="Times New Roman"/>
        </w:rPr>
        <w:t xml:space="preserve"> than what is contained in the Rome Statute. Canada and England and Wales each allow the exercise of jurisdiction when ‘a significant portion’ or a ‘substantial measure’ of the crime takes place in their territory.</w:t>
      </w:r>
      <w:r>
        <w:rPr>
          <w:rStyle w:val="FootnoteReference"/>
          <w:rFonts w:ascii="Times New Roman" w:hAnsi="Times New Roman" w:cs="Times New Roman"/>
        </w:rPr>
        <w:footnoteReference w:id="116"/>
      </w:r>
      <w:r>
        <w:rPr>
          <w:rFonts w:ascii="Times New Roman" w:hAnsi="Times New Roman" w:cs="Times New Roman"/>
        </w:rPr>
        <w:t xml:space="preserve"> France, Japan, the Republic of Korea, South Africa and the United States all have jurisdiction when some, but not all of the elements occur in their territory.</w:t>
      </w:r>
      <w:r>
        <w:rPr>
          <w:rStyle w:val="FootnoteReference"/>
          <w:rFonts w:ascii="Times New Roman" w:hAnsi="Times New Roman" w:cs="Times New Roman"/>
        </w:rPr>
        <w:footnoteReference w:id="117"/>
      </w:r>
      <w:r w:rsidR="003D4DEC">
        <w:rPr>
          <w:rFonts w:ascii="Times New Roman" w:hAnsi="Times New Roman" w:cs="Times New Roman"/>
        </w:rPr>
        <w:t xml:space="preserve"> T</w:t>
      </w:r>
      <w:r w:rsidR="00D736E4">
        <w:rPr>
          <w:rFonts w:ascii="Times New Roman" w:hAnsi="Times New Roman" w:cs="Times New Roman"/>
        </w:rPr>
        <w:t xml:space="preserve">hese states are also taking a </w:t>
      </w:r>
      <w:r>
        <w:rPr>
          <w:rFonts w:ascii="Times New Roman" w:hAnsi="Times New Roman" w:cs="Times New Roman"/>
        </w:rPr>
        <w:t xml:space="preserve">different </w:t>
      </w:r>
      <w:r w:rsidR="00D736E4">
        <w:rPr>
          <w:rFonts w:ascii="Times New Roman" w:hAnsi="Times New Roman" w:cs="Times New Roman"/>
        </w:rPr>
        <w:t>approach from that set out in the Rome Statute</w:t>
      </w:r>
      <w:r w:rsidR="003D4DEC" w:rsidRPr="003D4DEC">
        <w:rPr>
          <w:rFonts w:ascii="Times New Roman" w:hAnsi="Times New Roman" w:cs="Times New Roman"/>
        </w:rPr>
        <w:t xml:space="preserve"> </w:t>
      </w:r>
      <w:r w:rsidR="003D4DEC">
        <w:rPr>
          <w:rFonts w:ascii="Times New Roman" w:hAnsi="Times New Roman" w:cs="Times New Roman"/>
        </w:rPr>
        <w:t>by expressly stating that jurisdiction exists so long as some part of the crime takes place in the relevant territory</w:t>
      </w:r>
      <w:r w:rsidR="00D736E4">
        <w:rPr>
          <w:rFonts w:ascii="Times New Roman" w:hAnsi="Times New Roman" w:cs="Times New Roman"/>
        </w:rPr>
        <w:t xml:space="preserve">. </w:t>
      </w:r>
      <w:r>
        <w:rPr>
          <w:rFonts w:ascii="Times New Roman" w:hAnsi="Times New Roman" w:cs="Times New Roman"/>
        </w:rPr>
        <w:t>While it is apparent that a number of states allow jurisdiction to be exercised so long as some part of the crime takes place within its territory that does not mean the same holds true for the International Criminal Court.</w:t>
      </w:r>
      <w:r w:rsidR="003D4DEC">
        <w:rPr>
          <w:rFonts w:ascii="Times New Roman" w:hAnsi="Times New Roman" w:cs="Times New Roman"/>
        </w:rPr>
        <w:t xml:space="preserve"> The statutory language used in these national statutes is fundamentally different from the wording contained in the Rome Statute.</w:t>
      </w:r>
      <w:r>
        <w:rPr>
          <w:rFonts w:ascii="Times New Roman" w:hAnsi="Times New Roman" w:cs="Times New Roman"/>
        </w:rPr>
        <w:tab/>
      </w:r>
      <w:r w:rsidR="003D4DEC">
        <w:rPr>
          <w:rFonts w:ascii="Times New Roman" w:hAnsi="Times New Roman" w:cs="Times New Roman"/>
        </w:rPr>
        <w:t>As a result, it does not follow that the approach taken in national jurisdictions should necessarily also apply to the International Criminal Court.</w:t>
      </w:r>
    </w:p>
    <w:p w14:paraId="026B62C5" w14:textId="7D961E9A" w:rsidR="00D736E4" w:rsidRDefault="00D736E4" w:rsidP="00D736E4">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Pr="0055729A">
        <w:rPr>
          <w:rFonts w:ascii="Times New Roman" w:hAnsi="Times New Roman" w:cs="Times New Roman"/>
        </w:rPr>
        <w:t>The Office of the Prosecutor also argues that international law supports a finding that jurisdiction exists because one element of the crime occurred in the territory of a state party.</w:t>
      </w:r>
      <w:r w:rsidRPr="0055729A">
        <w:rPr>
          <w:rStyle w:val="FootnoteReference"/>
          <w:rFonts w:ascii="Times New Roman" w:hAnsi="Times New Roman" w:cs="Times New Roman"/>
        </w:rPr>
        <w:footnoteReference w:id="118"/>
      </w:r>
      <w:r w:rsidRPr="0055729A">
        <w:rPr>
          <w:rFonts w:ascii="Times New Roman" w:hAnsi="Times New Roman" w:cs="Times New Roman"/>
        </w:rPr>
        <w:t xml:space="preserve"> The territoriality principle stands for the proposition that a State has jurisdiction over any crimes that occur or have been committed on its territory, regardless of the nationality of the perpetrator.</w:t>
      </w:r>
      <w:r w:rsidRPr="0055729A">
        <w:rPr>
          <w:rStyle w:val="FootnoteReference"/>
          <w:rFonts w:ascii="Times New Roman" w:hAnsi="Times New Roman" w:cs="Times New Roman"/>
        </w:rPr>
        <w:footnoteReference w:id="119"/>
      </w:r>
      <w:r>
        <w:rPr>
          <w:rFonts w:ascii="Times New Roman" w:hAnsi="Times New Roman" w:cs="Times New Roman"/>
        </w:rPr>
        <w:t xml:space="preserve"> </w:t>
      </w:r>
      <w:r w:rsidRPr="0055729A">
        <w:rPr>
          <w:rFonts w:ascii="Times New Roman" w:hAnsi="Times New Roman" w:cs="Times New Roman"/>
        </w:rPr>
        <w:t>When a crime o</w:t>
      </w:r>
      <w:r>
        <w:rPr>
          <w:rFonts w:ascii="Times New Roman" w:hAnsi="Times New Roman" w:cs="Times New Roman"/>
        </w:rPr>
        <w:t>ccurs in more than one state the</w:t>
      </w:r>
      <w:r w:rsidRPr="0055729A">
        <w:rPr>
          <w:rFonts w:ascii="Times New Roman" w:hAnsi="Times New Roman" w:cs="Times New Roman"/>
        </w:rPr>
        <w:t xml:space="preserve"> objective territo</w:t>
      </w:r>
      <w:r>
        <w:rPr>
          <w:rFonts w:ascii="Times New Roman" w:hAnsi="Times New Roman" w:cs="Times New Roman"/>
        </w:rPr>
        <w:t>riality of the crime is considered. Objective territoriality permits a state to make a jurisdictional claim over a crime that is completed in its territory, or when ‘one of the constituent elements of the offence, and more especially its effects, have taken place there’.</w:t>
      </w:r>
      <w:r>
        <w:rPr>
          <w:rStyle w:val="FootnoteReference"/>
          <w:rFonts w:ascii="Times New Roman" w:hAnsi="Times New Roman" w:cs="Times New Roman"/>
        </w:rPr>
        <w:footnoteReference w:id="120"/>
      </w:r>
      <w:r w:rsidR="006563DF">
        <w:rPr>
          <w:rFonts w:ascii="Times New Roman" w:hAnsi="Times New Roman" w:cs="Times New Roman"/>
        </w:rPr>
        <w:t xml:space="preserve"> </w:t>
      </w:r>
      <w:r>
        <w:rPr>
          <w:rFonts w:ascii="Times New Roman" w:hAnsi="Times New Roman" w:cs="Times New Roman"/>
        </w:rPr>
        <w:t>Objective territoriality is particularly relevant in the context of crimes of effect, where the conduct takes place entirely in the territory of one state but where the effect of the crime takes place in a different state.</w:t>
      </w:r>
      <w:r>
        <w:rPr>
          <w:rStyle w:val="FootnoteReference"/>
          <w:rFonts w:ascii="Times New Roman" w:hAnsi="Times New Roman" w:cs="Times New Roman"/>
        </w:rPr>
        <w:footnoteReference w:id="121"/>
      </w:r>
    </w:p>
    <w:p w14:paraId="4EB48111" w14:textId="109E6074" w:rsidR="006563DF" w:rsidRDefault="006563DF" w:rsidP="006563DF">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Th</w:t>
      </w:r>
      <w:r w:rsidR="00333ECE">
        <w:rPr>
          <w:rFonts w:ascii="Times New Roman" w:hAnsi="Times New Roman" w:cs="Times New Roman"/>
        </w:rPr>
        <w:t>e Pre-Trial Chamber’s decision that the International Criminal Court has jurisdiction over the deportation of the Rohingya is in line with some earl</w:t>
      </w:r>
      <w:r w:rsidR="001624BA">
        <w:rPr>
          <w:rFonts w:ascii="Times New Roman" w:hAnsi="Times New Roman" w:cs="Times New Roman"/>
        </w:rPr>
        <w:t>ier commentators who have suggested</w:t>
      </w:r>
      <w:r w:rsidR="00333ECE">
        <w:rPr>
          <w:rFonts w:ascii="Times New Roman" w:hAnsi="Times New Roman" w:cs="Times New Roman"/>
        </w:rPr>
        <w:t xml:space="preserve"> that the Statute allows for </w:t>
      </w:r>
      <w:r w:rsidR="001624BA">
        <w:rPr>
          <w:rFonts w:ascii="Times New Roman" w:hAnsi="Times New Roman" w:cs="Times New Roman"/>
        </w:rPr>
        <w:t>the exercise of</w:t>
      </w:r>
      <w:r>
        <w:rPr>
          <w:rFonts w:ascii="Times New Roman" w:hAnsi="Times New Roman" w:cs="Times New Roman"/>
        </w:rPr>
        <w:t xml:space="preserve"> objective territoriality </w:t>
      </w:r>
      <w:r w:rsidR="001624BA">
        <w:rPr>
          <w:rFonts w:ascii="Times New Roman" w:hAnsi="Times New Roman" w:cs="Times New Roman"/>
        </w:rPr>
        <w:t>by the Court.</w:t>
      </w:r>
      <w:r w:rsidR="001624BA">
        <w:rPr>
          <w:rStyle w:val="FootnoteReference"/>
          <w:rFonts w:ascii="Times New Roman" w:hAnsi="Times New Roman" w:cs="Times New Roman"/>
        </w:rPr>
        <w:footnoteReference w:id="122"/>
      </w:r>
      <w:r>
        <w:rPr>
          <w:rFonts w:ascii="Times New Roman" w:hAnsi="Times New Roman" w:cs="Times New Roman"/>
        </w:rPr>
        <w:t xml:space="preserve"> However, that position </w:t>
      </w:r>
      <w:r w:rsidR="00333ECE">
        <w:rPr>
          <w:rFonts w:ascii="Times New Roman" w:hAnsi="Times New Roman" w:cs="Times New Roman"/>
        </w:rPr>
        <w:t xml:space="preserve">does not </w:t>
      </w:r>
      <w:r>
        <w:rPr>
          <w:rFonts w:ascii="Times New Roman" w:hAnsi="Times New Roman" w:cs="Times New Roman"/>
        </w:rPr>
        <w:t xml:space="preserve">take proper account of the fact that the territoriality principle is an approach designed to establish when states, not international criminal justice institutions, have jurisdiction over a crime. There is no reason to believe, despite the insistence of the Office of the Prosecutor to the contrary, that </w:t>
      </w:r>
      <w:r w:rsidR="003D4DEC">
        <w:rPr>
          <w:rFonts w:ascii="Times New Roman" w:hAnsi="Times New Roman" w:cs="Times New Roman"/>
        </w:rPr>
        <w:t xml:space="preserve">objective </w:t>
      </w:r>
      <w:r>
        <w:rPr>
          <w:rFonts w:ascii="Times New Roman" w:hAnsi="Times New Roman" w:cs="Times New Roman"/>
        </w:rPr>
        <w:t xml:space="preserve">territoriality should also act to confer jurisdiction to the International Criminal Court. Jurisdiction based on </w:t>
      </w:r>
      <w:r w:rsidR="003D4DEC">
        <w:rPr>
          <w:rFonts w:ascii="Times New Roman" w:hAnsi="Times New Roman" w:cs="Times New Roman"/>
        </w:rPr>
        <w:t xml:space="preserve">the </w:t>
      </w:r>
      <w:r>
        <w:rPr>
          <w:rFonts w:ascii="Times New Roman" w:hAnsi="Times New Roman" w:cs="Times New Roman"/>
        </w:rPr>
        <w:t xml:space="preserve">territoriality </w:t>
      </w:r>
      <w:r w:rsidR="003D4DEC">
        <w:rPr>
          <w:rFonts w:ascii="Times New Roman" w:hAnsi="Times New Roman" w:cs="Times New Roman"/>
        </w:rPr>
        <w:t xml:space="preserve">principle </w:t>
      </w:r>
      <w:r>
        <w:rPr>
          <w:rFonts w:ascii="Times New Roman" w:hAnsi="Times New Roman" w:cs="Times New Roman"/>
        </w:rPr>
        <w:t>is a reflection of state sovereignty; it permits the state to regulate and enforce activities within its own borders without fear of interference by external forces.</w:t>
      </w:r>
      <w:r>
        <w:rPr>
          <w:rStyle w:val="FootnoteReference"/>
          <w:rFonts w:ascii="Times New Roman" w:hAnsi="Times New Roman" w:cs="Times New Roman"/>
        </w:rPr>
        <w:footnoteReference w:id="123"/>
      </w:r>
      <w:r>
        <w:rPr>
          <w:rFonts w:ascii="Times New Roman" w:hAnsi="Times New Roman" w:cs="Times New Roman"/>
        </w:rPr>
        <w:t xml:space="preserve"> </w:t>
      </w:r>
      <w:r w:rsidR="00AF7B5A">
        <w:rPr>
          <w:rFonts w:ascii="Times New Roman" w:hAnsi="Times New Roman" w:cs="Times New Roman"/>
        </w:rPr>
        <w:t>It is a state’s exercise of the freedom to establish its own laws and regulations within its own territory and a demonstration that it has the equal right to do so.</w:t>
      </w:r>
      <w:r w:rsidR="00AF7B5A">
        <w:rPr>
          <w:rStyle w:val="FootnoteReference"/>
          <w:rFonts w:ascii="Times New Roman" w:hAnsi="Times New Roman" w:cs="Times New Roman"/>
        </w:rPr>
        <w:footnoteReference w:id="124"/>
      </w:r>
      <w:r w:rsidR="00AF7B5A">
        <w:rPr>
          <w:rFonts w:ascii="Times New Roman" w:hAnsi="Times New Roman" w:cs="Times New Roman"/>
        </w:rPr>
        <w:t xml:space="preserve"> </w:t>
      </w:r>
      <w:r w:rsidR="00FE0ABA">
        <w:rPr>
          <w:rFonts w:ascii="Times New Roman" w:hAnsi="Times New Roman" w:cs="Times New Roman"/>
        </w:rPr>
        <w:t>The International Criminal Court is the product of a politic</w:t>
      </w:r>
      <w:r w:rsidR="00E24F2E">
        <w:rPr>
          <w:rFonts w:ascii="Times New Roman" w:hAnsi="Times New Roman" w:cs="Times New Roman"/>
        </w:rPr>
        <w:t xml:space="preserve">al agreement amongst the state </w:t>
      </w:r>
      <w:r w:rsidR="00FE0ABA">
        <w:rPr>
          <w:rFonts w:ascii="Times New Roman" w:hAnsi="Times New Roman" w:cs="Times New Roman"/>
        </w:rPr>
        <w:t>parties.</w:t>
      </w:r>
      <w:r w:rsidR="00FE0ABA">
        <w:rPr>
          <w:rStyle w:val="FootnoteReference"/>
          <w:rFonts w:ascii="Times New Roman" w:hAnsi="Times New Roman" w:cs="Times New Roman"/>
        </w:rPr>
        <w:footnoteReference w:id="125"/>
      </w:r>
      <w:r w:rsidR="00FE0ABA">
        <w:rPr>
          <w:rFonts w:ascii="Times New Roman" w:hAnsi="Times New Roman" w:cs="Times New Roman"/>
        </w:rPr>
        <w:t xml:space="preserve"> As such, it lacks sovereignty and, in turn, the territorial jurisdiction that goes with it.</w:t>
      </w:r>
      <w:r w:rsidR="00FE0ABA">
        <w:rPr>
          <w:rStyle w:val="FootnoteReference"/>
          <w:rFonts w:ascii="Times New Roman" w:hAnsi="Times New Roman" w:cs="Times New Roman"/>
        </w:rPr>
        <w:footnoteReference w:id="126"/>
      </w:r>
      <w:r w:rsidR="00300E1E">
        <w:rPr>
          <w:rFonts w:ascii="Times New Roman" w:hAnsi="Times New Roman" w:cs="Times New Roman"/>
        </w:rPr>
        <w:t xml:space="preserve"> While </w:t>
      </w:r>
      <w:r w:rsidR="004307AC">
        <w:rPr>
          <w:rFonts w:ascii="Times New Roman" w:hAnsi="Times New Roman" w:cs="Times New Roman"/>
        </w:rPr>
        <w:t>the Court</w:t>
      </w:r>
      <w:r w:rsidR="00FE0ABA">
        <w:rPr>
          <w:rFonts w:ascii="Times New Roman" w:hAnsi="Times New Roman" w:cs="Times New Roman"/>
        </w:rPr>
        <w:t xml:space="preserve"> </w:t>
      </w:r>
      <w:r w:rsidR="00300E1E">
        <w:rPr>
          <w:rFonts w:ascii="Times New Roman" w:hAnsi="Times New Roman" w:cs="Times New Roman"/>
        </w:rPr>
        <w:t>may have the authority to decide the extent of its own jurisdiction, that determination is limited by territoriality as set out in</w:t>
      </w:r>
      <w:r w:rsidR="00FE0ABA">
        <w:rPr>
          <w:rFonts w:ascii="Times New Roman" w:hAnsi="Times New Roman" w:cs="Times New Roman"/>
        </w:rPr>
        <w:t xml:space="preserve"> the </w:t>
      </w:r>
      <w:r w:rsidR="00E24F2E">
        <w:rPr>
          <w:rFonts w:ascii="Times New Roman" w:hAnsi="Times New Roman" w:cs="Times New Roman"/>
        </w:rPr>
        <w:t>Statute</w:t>
      </w:r>
      <w:r w:rsidR="00FE0ABA">
        <w:rPr>
          <w:rFonts w:ascii="Times New Roman" w:hAnsi="Times New Roman" w:cs="Times New Roman"/>
        </w:rPr>
        <w:t>.</w:t>
      </w:r>
      <w:r w:rsidR="00FE0ABA">
        <w:rPr>
          <w:rStyle w:val="FootnoteReference"/>
          <w:rFonts w:ascii="Times New Roman" w:hAnsi="Times New Roman" w:cs="Times New Roman"/>
        </w:rPr>
        <w:footnoteReference w:id="127"/>
      </w:r>
      <w:r w:rsidR="00FE0ABA">
        <w:rPr>
          <w:rFonts w:ascii="Times New Roman" w:hAnsi="Times New Roman" w:cs="Times New Roman"/>
        </w:rPr>
        <w:t xml:space="preserve"> </w:t>
      </w:r>
      <w:r>
        <w:rPr>
          <w:rFonts w:ascii="Times New Roman" w:hAnsi="Times New Roman" w:cs="Times New Roman"/>
        </w:rPr>
        <w:t>States are generally protective of their sovereignty and wish to reserve for themselves the ultimate authority to control activities occurring within their own territory.</w:t>
      </w:r>
      <w:r>
        <w:rPr>
          <w:rStyle w:val="FootnoteReference"/>
          <w:rFonts w:ascii="Times New Roman" w:hAnsi="Times New Roman" w:cs="Times New Roman"/>
        </w:rPr>
        <w:footnoteReference w:id="128"/>
      </w:r>
      <w:r>
        <w:rPr>
          <w:rFonts w:ascii="Times New Roman" w:hAnsi="Times New Roman" w:cs="Times New Roman"/>
        </w:rPr>
        <w:t xml:space="preserve"> </w:t>
      </w:r>
      <w:r w:rsidR="00E24F2E">
        <w:rPr>
          <w:rFonts w:ascii="Times New Roman" w:hAnsi="Times New Roman" w:cs="Times New Roman"/>
        </w:rPr>
        <w:t>In fact, evidence exists to suggest that state parties intend</w:t>
      </w:r>
      <w:r w:rsidR="003D4DEC">
        <w:rPr>
          <w:rFonts w:ascii="Times New Roman" w:hAnsi="Times New Roman" w:cs="Times New Roman"/>
        </w:rPr>
        <w:t>ed</w:t>
      </w:r>
      <w:r w:rsidR="00E24F2E">
        <w:rPr>
          <w:rFonts w:ascii="Times New Roman" w:hAnsi="Times New Roman" w:cs="Times New Roman"/>
        </w:rPr>
        <w:t xml:space="preserve"> to limit the jurisdiction of the</w:t>
      </w:r>
      <w:r w:rsidR="00E24F2E" w:rsidRPr="00E24F2E">
        <w:rPr>
          <w:rFonts w:ascii="Times New Roman" w:hAnsi="Times New Roman" w:cs="Times New Roman"/>
        </w:rPr>
        <w:t xml:space="preserve"> </w:t>
      </w:r>
      <w:r w:rsidR="00E24F2E">
        <w:rPr>
          <w:rFonts w:ascii="Times New Roman" w:hAnsi="Times New Roman" w:cs="Times New Roman"/>
        </w:rPr>
        <w:t>International Criminal Court.</w:t>
      </w:r>
      <w:r w:rsidR="00E24F2E">
        <w:rPr>
          <w:rStyle w:val="FootnoteReference"/>
          <w:rFonts w:ascii="Times New Roman" w:hAnsi="Times New Roman" w:cs="Times New Roman"/>
        </w:rPr>
        <w:footnoteReference w:id="129"/>
      </w:r>
      <w:r w:rsidR="00E24F2E">
        <w:rPr>
          <w:rFonts w:ascii="Times New Roman" w:hAnsi="Times New Roman" w:cs="Times New Roman"/>
        </w:rPr>
        <w:t xml:space="preserve"> </w:t>
      </w:r>
    </w:p>
    <w:p w14:paraId="459F276E" w14:textId="3AA69CF4" w:rsidR="00D736E4" w:rsidRDefault="006563DF" w:rsidP="00254B3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00E24F2E">
        <w:rPr>
          <w:rFonts w:ascii="Times New Roman" w:hAnsi="Times New Roman" w:cs="Times New Roman"/>
        </w:rPr>
        <w:t xml:space="preserve">Further, the language of Article 12(2)(a) itself provides a basis for finding that the drafters </w:t>
      </w:r>
      <w:r w:rsidR="003D4DEC">
        <w:rPr>
          <w:rFonts w:ascii="Times New Roman" w:hAnsi="Times New Roman" w:cs="Times New Roman"/>
        </w:rPr>
        <w:t>meant</w:t>
      </w:r>
      <w:r w:rsidR="00E24F2E">
        <w:rPr>
          <w:rFonts w:ascii="Times New Roman" w:hAnsi="Times New Roman" w:cs="Times New Roman"/>
        </w:rPr>
        <w:t xml:space="preserve"> for it to be narrowly interpreted. </w:t>
      </w:r>
      <w:r w:rsidR="00D736E4">
        <w:rPr>
          <w:rFonts w:ascii="Times New Roman" w:hAnsi="Times New Roman" w:cs="Times New Roman"/>
        </w:rPr>
        <w:t xml:space="preserve">Article 12(2)(a) explicitly requires that the conduct, not the consequences or effects of that conduct, take place on the territory of a state party. </w:t>
      </w:r>
      <w:r w:rsidR="00E24F2E">
        <w:rPr>
          <w:rFonts w:ascii="Times New Roman" w:hAnsi="Times New Roman" w:cs="Times New Roman"/>
        </w:rPr>
        <w:t>The Statute’s silence with regard to extending the jurisdiction of the Court to those states upon whose territory the effects of crime occurs may be intentional and the omission of the concept from the Statute supports a narrow construction of Article 12</w:t>
      </w:r>
      <w:r w:rsidR="008A675E">
        <w:rPr>
          <w:rFonts w:ascii="Times New Roman" w:hAnsi="Times New Roman" w:cs="Times New Roman"/>
        </w:rPr>
        <w:t>.</w:t>
      </w:r>
      <w:r w:rsidR="00E24F2E">
        <w:rPr>
          <w:rStyle w:val="FootnoteReference"/>
          <w:rFonts w:ascii="Times New Roman" w:hAnsi="Times New Roman" w:cs="Times New Roman"/>
        </w:rPr>
        <w:footnoteReference w:id="130"/>
      </w:r>
      <w:r w:rsidR="00E24F2E">
        <w:rPr>
          <w:rFonts w:ascii="Times New Roman" w:hAnsi="Times New Roman" w:cs="Times New Roman"/>
        </w:rPr>
        <w:t xml:space="preserve"> </w:t>
      </w:r>
      <w:r w:rsidR="00D736E4">
        <w:rPr>
          <w:rFonts w:ascii="Times New Roman" w:hAnsi="Times New Roman" w:cs="Times New Roman"/>
        </w:rPr>
        <w:t>The drafters of the Internation</w:t>
      </w:r>
      <w:r w:rsidR="008A675E">
        <w:rPr>
          <w:rFonts w:ascii="Times New Roman" w:hAnsi="Times New Roman" w:cs="Times New Roman"/>
        </w:rPr>
        <w:t>al Criminal Court’s Statute would</w:t>
      </w:r>
      <w:r w:rsidR="00D736E4">
        <w:rPr>
          <w:rFonts w:ascii="Times New Roman" w:hAnsi="Times New Roman" w:cs="Times New Roman"/>
        </w:rPr>
        <w:t xml:space="preserve"> have been aware that some countries take an approach to jurisdiction where by it can be asserted if the effects of a crime take place in its territory. They would also have been familiar with the objective territoriality approach that follows a similar formula. They could have a</w:t>
      </w:r>
      <w:r w:rsidR="00667957">
        <w:rPr>
          <w:rFonts w:ascii="Times New Roman" w:hAnsi="Times New Roman" w:cs="Times New Roman"/>
        </w:rPr>
        <w:t>dopted a statute that addressed</w:t>
      </w:r>
      <w:r w:rsidR="00D736E4">
        <w:rPr>
          <w:rFonts w:ascii="Times New Roman" w:hAnsi="Times New Roman" w:cs="Times New Roman"/>
        </w:rPr>
        <w:t xml:space="preserve"> jurisdiction in the s</w:t>
      </w:r>
      <w:r w:rsidR="00BA4840">
        <w:rPr>
          <w:rFonts w:ascii="Times New Roman" w:hAnsi="Times New Roman" w:cs="Times New Roman"/>
        </w:rPr>
        <w:t xml:space="preserve">ame way if they had so wished. </w:t>
      </w:r>
      <w:r w:rsidR="00D736E4">
        <w:rPr>
          <w:rFonts w:ascii="Times New Roman" w:hAnsi="Times New Roman" w:cs="Times New Roman"/>
        </w:rPr>
        <w:t xml:space="preserve">The fact that </w:t>
      </w:r>
      <w:r w:rsidR="002A5181">
        <w:rPr>
          <w:rFonts w:ascii="Times New Roman" w:hAnsi="Times New Roman" w:cs="Times New Roman"/>
        </w:rPr>
        <w:t>the</w:t>
      </w:r>
      <w:r w:rsidR="00667957">
        <w:rPr>
          <w:rFonts w:ascii="Times New Roman" w:hAnsi="Times New Roman" w:cs="Times New Roman"/>
        </w:rPr>
        <w:t>y did not</w:t>
      </w:r>
      <w:r w:rsidR="002A5181">
        <w:rPr>
          <w:rFonts w:ascii="Times New Roman" w:hAnsi="Times New Roman" w:cs="Times New Roman"/>
        </w:rPr>
        <w:t xml:space="preserve"> </w:t>
      </w:r>
      <w:r w:rsidR="00D736E4">
        <w:rPr>
          <w:rFonts w:ascii="Times New Roman" w:hAnsi="Times New Roman" w:cs="Times New Roman"/>
        </w:rPr>
        <w:t xml:space="preserve">is significant and should not be disregarded. </w:t>
      </w:r>
    </w:p>
    <w:p w14:paraId="72A59CC5" w14:textId="42417013" w:rsidR="00AF6E37" w:rsidRPr="00A743CE" w:rsidRDefault="009811B0" w:rsidP="00254B3C">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 xml:space="preserve">It must also be noted that the </w:t>
      </w:r>
      <w:r w:rsidR="00AE410B">
        <w:rPr>
          <w:rFonts w:ascii="Times New Roman" w:hAnsi="Times New Roman" w:cs="Times New Roman"/>
        </w:rPr>
        <w:t xml:space="preserve">Special </w:t>
      </w:r>
      <w:r>
        <w:rPr>
          <w:rFonts w:ascii="Times New Roman" w:hAnsi="Times New Roman" w:cs="Times New Roman"/>
        </w:rPr>
        <w:t xml:space="preserve">Working Group on the Crime of Aggression discussed inserting language in the Statute that would have defined ‘conduct’ as </w:t>
      </w:r>
      <w:r w:rsidR="00AE410B">
        <w:rPr>
          <w:rFonts w:ascii="Times New Roman" w:hAnsi="Times New Roman" w:cs="Times New Roman"/>
        </w:rPr>
        <w:t xml:space="preserve">it is </w:t>
      </w:r>
      <w:r>
        <w:rPr>
          <w:rFonts w:ascii="Times New Roman" w:hAnsi="Times New Roman" w:cs="Times New Roman"/>
        </w:rPr>
        <w:t xml:space="preserve">used in Article 12(2)(a) </w:t>
      </w:r>
      <w:r w:rsidR="008419FA">
        <w:rPr>
          <w:rFonts w:ascii="Times New Roman" w:hAnsi="Times New Roman" w:cs="Times New Roman"/>
        </w:rPr>
        <w:t>to encompass</w:t>
      </w:r>
      <w:r>
        <w:rPr>
          <w:rFonts w:ascii="Times New Roman" w:hAnsi="Times New Roman" w:cs="Times New Roman"/>
        </w:rPr>
        <w:t xml:space="preserve"> both conduct and its consequence.</w:t>
      </w:r>
      <w:r>
        <w:rPr>
          <w:rStyle w:val="FootnoteReference"/>
          <w:rFonts w:ascii="Times New Roman" w:hAnsi="Times New Roman" w:cs="Times New Roman"/>
        </w:rPr>
        <w:footnoteReference w:id="131"/>
      </w:r>
      <w:r w:rsidR="008419FA">
        <w:rPr>
          <w:rFonts w:ascii="Times New Roman" w:hAnsi="Times New Roman" w:cs="Times New Roman"/>
        </w:rPr>
        <w:t xml:space="preserve"> However, despite apparent</w:t>
      </w:r>
      <w:r>
        <w:rPr>
          <w:rFonts w:ascii="Times New Roman" w:hAnsi="Times New Roman" w:cs="Times New Roman"/>
        </w:rPr>
        <w:t xml:space="preserve"> </w:t>
      </w:r>
      <w:r w:rsidR="008419FA">
        <w:rPr>
          <w:rFonts w:ascii="Times New Roman" w:hAnsi="Times New Roman" w:cs="Times New Roman"/>
        </w:rPr>
        <w:t>‘general</w:t>
      </w:r>
      <w:r>
        <w:rPr>
          <w:rFonts w:ascii="Times New Roman" w:hAnsi="Times New Roman" w:cs="Times New Roman"/>
        </w:rPr>
        <w:t xml:space="preserve"> support</w:t>
      </w:r>
      <w:r w:rsidR="008419FA">
        <w:rPr>
          <w:rFonts w:ascii="Times New Roman" w:hAnsi="Times New Roman" w:cs="Times New Roman"/>
        </w:rPr>
        <w:t>’</w:t>
      </w:r>
      <w:r>
        <w:rPr>
          <w:rFonts w:ascii="Times New Roman" w:hAnsi="Times New Roman" w:cs="Times New Roman"/>
        </w:rPr>
        <w:t xml:space="preserve"> for the proposition, </w:t>
      </w:r>
      <w:r w:rsidR="007C79E9">
        <w:rPr>
          <w:rFonts w:ascii="Times New Roman" w:hAnsi="Times New Roman" w:cs="Times New Roman"/>
        </w:rPr>
        <w:t xml:space="preserve">the proposed </w:t>
      </w:r>
      <w:r>
        <w:rPr>
          <w:rFonts w:ascii="Times New Roman" w:hAnsi="Times New Roman" w:cs="Times New Roman"/>
        </w:rPr>
        <w:t xml:space="preserve">change was </w:t>
      </w:r>
      <w:r w:rsidR="007C79E9">
        <w:rPr>
          <w:rFonts w:ascii="Times New Roman" w:hAnsi="Times New Roman" w:cs="Times New Roman"/>
        </w:rPr>
        <w:t>n</w:t>
      </w:r>
      <w:r w:rsidR="00667957">
        <w:rPr>
          <w:rFonts w:ascii="Times New Roman" w:hAnsi="Times New Roman" w:cs="Times New Roman"/>
        </w:rPr>
        <w:t>ot</w:t>
      </w:r>
      <w:r>
        <w:rPr>
          <w:rFonts w:ascii="Times New Roman" w:hAnsi="Times New Roman" w:cs="Times New Roman"/>
        </w:rPr>
        <w:t xml:space="preserve"> implemented.</w:t>
      </w:r>
      <w:r>
        <w:rPr>
          <w:rStyle w:val="FootnoteReference"/>
          <w:rFonts w:ascii="Times New Roman" w:hAnsi="Times New Roman" w:cs="Times New Roman"/>
        </w:rPr>
        <w:footnoteReference w:id="132"/>
      </w:r>
      <w:r w:rsidR="008419FA">
        <w:rPr>
          <w:rFonts w:ascii="Times New Roman" w:hAnsi="Times New Roman" w:cs="Times New Roman"/>
        </w:rPr>
        <w:t xml:space="preserve"> The draft amendments to the Rome Statute relating to the crime of aggression do not mention </w:t>
      </w:r>
      <w:r w:rsidR="00AE410B">
        <w:rPr>
          <w:rFonts w:ascii="Times New Roman" w:hAnsi="Times New Roman" w:cs="Times New Roman"/>
        </w:rPr>
        <w:t xml:space="preserve">any </w:t>
      </w:r>
      <w:r w:rsidR="007C79E9">
        <w:rPr>
          <w:rFonts w:ascii="Times New Roman" w:hAnsi="Times New Roman" w:cs="Times New Roman"/>
        </w:rPr>
        <w:t>modification</w:t>
      </w:r>
      <w:r w:rsidR="00AE410B">
        <w:rPr>
          <w:rFonts w:ascii="Times New Roman" w:hAnsi="Times New Roman" w:cs="Times New Roman"/>
        </w:rPr>
        <w:t xml:space="preserve"> to the Article 12(2)(a) definition of ‘conduct’, nor was any such amendment ever adopted.</w:t>
      </w:r>
      <w:r w:rsidR="00AE410B">
        <w:rPr>
          <w:rStyle w:val="FootnoteReference"/>
          <w:rFonts w:ascii="Times New Roman" w:hAnsi="Times New Roman" w:cs="Times New Roman"/>
        </w:rPr>
        <w:footnoteReference w:id="133"/>
      </w:r>
      <w:r w:rsidR="00AE410B">
        <w:rPr>
          <w:rFonts w:ascii="Times New Roman" w:hAnsi="Times New Roman" w:cs="Times New Roman"/>
        </w:rPr>
        <w:t xml:space="preserve">  </w:t>
      </w:r>
      <w:r w:rsidR="008419FA">
        <w:rPr>
          <w:rFonts w:ascii="Times New Roman" w:hAnsi="Times New Roman" w:cs="Times New Roman"/>
        </w:rPr>
        <w:t>It is not known why</w:t>
      </w:r>
      <w:r w:rsidR="00AE410B">
        <w:rPr>
          <w:rFonts w:ascii="Times New Roman" w:hAnsi="Times New Roman" w:cs="Times New Roman"/>
        </w:rPr>
        <w:t xml:space="preserve"> this amendment to the Statute </w:t>
      </w:r>
      <w:r w:rsidR="00300E1E">
        <w:rPr>
          <w:rFonts w:ascii="Times New Roman" w:hAnsi="Times New Roman" w:cs="Times New Roman"/>
        </w:rPr>
        <w:t>did not come</w:t>
      </w:r>
      <w:r w:rsidR="00AE410B">
        <w:rPr>
          <w:rFonts w:ascii="Times New Roman" w:hAnsi="Times New Roman" w:cs="Times New Roman"/>
        </w:rPr>
        <w:t xml:space="preserve"> to fruition</w:t>
      </w:r>
      <w:r w:rsidR="008A675E">
        <w:rPr>
          <w:rFonts w:ascii="Times New Roman" w:hAnsi="Times New Roman" w:cs="Times New Roman"/>
        </w:rPr>
        <w:t xml:space="preserve"> but three</w:t>
      </w:r>
      <w:r w:rsidR="00AE410B">
        <w:rPr>
          <w:rFonts w:ascii="Times New Roman" w:hAnsi="Times New Roman" w:cs="Times New Roman"/>
        </w:rPr>
        <w:t xml:space="preserve"> relevant points can be extrapolated from the fac</w:t>
      </w:r>
      <w:r w:rsidR="007C79E9">
        <w:rPr>
          <w:rFonts w:ascii="Times New Roman" w:hAnsi="Times New Roman" w:cs="Times New Roman"/>
        </w:rPr>
        <w:t xml:space="preserve">t it was discussed. First, </w:t>
      </w:r>
      <w:r w:rsidR="00AE410B">
        <w:rPr>
          <w:rFonts w:ascii="Times New Roman" w:hAnsi="Times New Roman" w:cs="Times New Roman"/>
        </w:rPr>
        <w:t>the members of t</w:t>
      </w:r>
      <w:r w:rsidR="008A675E">
        <w:rPr>
          <w:rFonts w:ascii="Times New Roman" w:hAnsi="Times New Roman" w:cs="Times New Roman"/>
        </w:rPr>
        <w:t xml:space="preserve">he working group were aware of the jurisdictional theory of objective territoriality; second, they were also aware that the Statute, as written, did not comport with objective territoriality; and third, despite </w:t>
      </w:r>
      <w:r w:rsidR="00300E1E">
        <w:rPr>
          <w:rFonts w:ascii="Times New Roman" w:hAnsi="Times New Roman" w:cs="Times New Roman"/>
        </w:rPr>
        <w:t>their</w:t>
      </w:r>
      <w:r w:rsidR="008A675E">
        <w:rPr>
          <w:rFonts w:ascii="Times New Roman" w:hAnsi="Times New Roman" w:cs="Times New Roman"/>
        </w:rPr>
        <w:t xml:space="preserve"> awareness </w:t>
      </w:r>
      <w:r w:rsidR="00300E1E">
        <w:rPr>
          <w:rFonts w:ascii="Times New Roman" w:hAnsi="Times New Roman" w:cs="Times New Roman"/>
        </w:rPr>
        <w:t xml:space="preserve">of both </w:t>
      </w:r>
      <w:r w:rsidR="008A675E">
        <w:rPr>
          <w:rFonts w:ascii="Times New Roman" w:hAnsi="Times New Roman" w:cs="Times New Roman"/>
        </w:rPr>
        <w:t>they chose to do nothing.</w:t>
      </w:r>
    </w:p>
    <w:p w14:paraId="66091A46" w14:textId="461739CE" w:rsidR="006D54E3" w:rsidRPr="00884DD6" w:rsidRDefault="00254B3C" w:rsidP="00254B3C">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When the rules of interpretation </w:t>
      </w:r>
      <w:r w:rsidR="00300E1E">
        <w:rPr>
          <w:rFonts w:ascii="Times New Roman" w:hAnsi="Times New Roman" w:cs="Times New Roman"/>
        </w:rPr>
        <w:t>established</w:t>
      </w:r>
      <w:r>
        <w:rPr>
          <w:rFonts w:ascii="Times New Roman" w:hAnsi="Times New Roman" w:cs="Times New Roman"/>
        </w:rPr>
        <w:t xml:space="preserve"> in the Vienna Convention on the Law of Treaties are applied to Article 12(2)(a) of the Rome Statute, it </w:t>
      </w:r>
      <w:r w:rsidR="00667957">
        <w:rPr>
          <w:rFonts w:ascii="Times New Roman" w:hAnsi="Times New Roman" w:cs="Times New Roman"/>
        </w:rPr>
        <w:t>supports</w:t>
      </w:r>
      <w:r>
        <w:rPr>
          <w:rFonts w:ascii="Times New Roman" w:hAnsi="Times New Roman" w:cs="Times New Roman"/>
        </w:rPr>
        <w:t xml:space="preserve"> the conclusion that the term ‘conduct’ relates to the actions of the alleged perpetrators of crimes agai</w:t>
      </w:r>
      <w:r w:rsidR="00667957">
        <w:rPr>
          <w:rFonts w:ascii="Times New Roman" w:hAnsi="Times New Roman" w:cs="Times New Roman"/>
        </w:rPr>
        <w:t>nst humanity, not their victims</w:t>
      </w:r>
      <w:r>
        <w:rPr>
          <w:rFonts w:ascii="Times New Roman" w:hAnsi="Times New Roman" w:cs="Times New Roman"/>
        </w:rPr>
        <w:t>. In this case, all of the actions performed by the perpetrators credited with forcing the Rohingya to flee to Bangladesh were carried out in Myanmar. The only activity that took place in the territory of a state party was the entry of the victims into Bangladesh as a result of the actions taken in Myanmar. It is apparent that this, on its own, is not enough to support the existence of jurisdiction.</w:t>
      </w:r>
      <w:r w:rsidR="00667957">
        <w:rPr>
          <w:rFonts w:ascii="Times New Roman" w:hAnsi="Times New Roman" w:cs="Times New Roman"/>
        </w:rPr>
        <w:t xml:space="preserve"> </w:t>
      </w:r>
      <w:r>
        <w:rPr>
          <w:rFonts w:ascii="Times New Roman" w:hAnsi="Times New Roman" w:cs="Times New Roman"/>
        </w:rPr>
        <w:t xml:space="preserve">As a result, it is unlikely that the Pre-Trial Chamber’s decision to find that the International Criminal Court has jurisdiction in this situation complies with the terms of Article 12(2)(a) of the Rome Statute.    </w:t>
      </w:r>
      <w:r>
        <w:rPr>
          <w:rFonts w:ascii="Times New Roman" w:eastAsia="Times New Roman" w:hAnsi="Times New Roman" w:cs="Times New Roman"/>
        </w:rPr>
        <w:tab/>
      </w:r>
      <w:r w:rsidR="006D54E3">
        <w:rPr>
          <w:rFonts w:ascii="Times New Roman" w:eastAsia="Times New Roman" w:hAnsi="Times New Roman" w:cs="Times New Roman"/>
        </w:rPr>
        <w:tab/>
      </w:r>
    </w:p>
    <w:p w14:paraId="0641E705" w14:textId="77777777" w:rsidR="006D54E3" w:rsidRDefault="006D54E3" w:rsidP="006D54E3">
      <w:pPr>
        <w:widowControl w:val="0"/>
        <w:autoSpaceDE w:val="0"/>
        <w:autoSpaceDN w:val="0"/>
        <w:adjustRightInd w:val="0"/>
        <w:spacing w:line="360" w:lineRule="auto"/>
        <w:jc w:val="both"/>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b/>
        </w:rPr>
        <w:tab/>
        <w:t>Effects of this Ruling</w:t>
      </w:r>
    </w:p>
    <w:p w14:paraId="29485A66" w14:textId="77777777" w:rsidR="006D54E3" w:rsidRDefault="006D54E3" w:rsidP="006D54E3">
      <w:pPr>
        <w:widowControl w:val="0"/>
        <w:autoSpaceDE w:val="0"/>
        <w:autoSpaceDN w:val="0"/>
        <w:adjustRightInd w:val="0"/>
        <w:spacing w:line="360" w:lineRule="auto"/>
        <w:jc w:val="both"/>
        <w:rPr>
          <w:rFonts w:ascii="Times New Roman" w:eastAsia="Times New Roman" w:hAnsi="Times New Roman" w:cs="Times New Roman"/>
        </w:rPr>
      </w:pPr>
      <w:r>
        <w:rPr>
          <w:rFonts w:ascii="Times New Roman" w:eastAsia="Times New Roman" w:hAnsi="Times New Roman" w:cs="Times New Roman"/>
        </w:rPr>
        <w:tab/>
        <w:t>It has been suggested that the Pre-Trial Chamber’s ruling ‘will have far reaching consequences’ on the prosecution of current and future occurrences of human rights violations.</w:t>
      </w:r>
      <w:r>
        <w:rPr>
          <w:rStyle w:val="FootnoteReference"/>
          <w:rFonts w:ascii="Times New Roman" w:eastAsia="Times New Roman" w:hAnsi="Times New Roman" w:cs="Times New Roman"/>
        </w:rPr>
        <w:footnoteReference w:id="134"/>
      </w:r>
      <w:r>
        <w:rPr>
          <w:rFonts w:ascii="Times New Roman" w:eastAsia="Times New Roman" w:hAnsi="Times New Roman" w:cs="Times New Roman"/>
        </w:rPr>
        <w:t xml:space="preserve"> The ruling is seen as creating a ‘route to accountability’ for at least some perpetrators of human rights abuses that until now have been otherwise immune from prosecution.</w:t>
      </w:r>
      <w:r>
        <w:rPr>
          <w:rStyle w:val="FootnoteReference"/>
          <w:rFonts w:ascii="Times New Roman" w:eastAsia="Times New Roman" w:hAnsi="Times New Roman" w:cs="Times New Roman"/>
        </w:rPr>
        <w:footnoteReference w:id="135"/>
      </w:r>
      <w:r>
        <w:rPr>
          <w:rFonts w:ascii="Times New Roman" w:eastAsia="Times New Roman" w:hAnsi="Times New Roman" w:cs="Times New Roman"/>
        </w:rPr>
        <w:t xml:space="preserve"> In fact, the effects of the Pre-Trial Chamber’s ruling are already being felt. In March 2019, the Guernica Centre for International Justice submitted a communication to the Prosecutor’s Office requesting that it begin a preliminary investigation into the deportation by the Syrian government of some Syrian nationals into Jordan.</w:t>
      </w:r>
      <w:r>
        <w:rPr>
          <w:rStyle w:val="FootnoteReference"/>
          <w:rFonts w:ascii="Times New Roman" w:eastAsia="Times New Roman" w:hAnsi="Times New Roman" w:cs="Times New Roman"/>
        </w:rPr>
        <w:footnoteReference w:id="136"/>
      </w:r>
      <w:r>
        <w:rPr>
          <w:rFonts w:ascii="Times New Roman" w:eastAsia="Times New Roman" w:hAnsi="Times New Roman" w:cs="Times New Roman"/>
        </w:rPr>
        <w:t xml:space="preserve"> The Guernica Centre argues that sufficient parallels exist between the situations in Myanmar and Syria to warrant the opening of a preliminary investigation into crimes committed in the latter state on the basis of the Court’s decision with regard to the former.</w:t>
      </w:r>
      <w:r>
        <w:rPr>
          <w:rStyle w:val="FootnoteReference"/>
          <w:rFonts w:ascii="Times New Roman" w:eastAsia="Times New Roman" w:hAnsi="Times New Roman" w:cs="Times New Roman"/>
        </w:rPr>
        <w:footnoteReference w:id="137"/>
      </w:r>
      <w:r>
        <w:rPr>
          <w:rFonts w:ascii="Times New Roman" w:eastAsia="Times New Roman" w:hAnsi="Times New Roman" w:cs="Times New Roman"/>
        </w:rPr>
        <w:t xml:space="preserve"> This is largely a continuation of an argument first advanced in the Amicus Curiae Brief submitted by the Guernica Centre in support of the Prosecutor’s Request for a ruling about jurisdiction over the Rohingya situation. In its brief, the Guernica Centre submits that it is ‘universally accepted’ that millions of Syrian citizens have been displaced as a result of the conflict in Syria, ‘a significant portion’ of whom left Syria entirely.</w:t>
      </w:r>
      <w:r>
        <w:rPr>
          <w:rStyle w:val="FootnoteReference"/>
          <w:rFonts w:ascii="Times New Roman" w:eastAsia="Times New Roman" w:hAnsi="Times New Roman" w:cs="Times New Roman"/>
        </w:rPr>
        <w:footnoteReference w:id="138"/>
      </w:r>
      <w:r>
        <w:rPr>
          <w:rFonts w:ascii="Times New Roman" w:eastAsia="Times New Roman" w:hAnsi="Times New Roman" w:cs="Times New Roman"/>
        </w:rPr>
        <w:t xml:space="preserve"> The majority of these people are thought to have been the subject of ‘targeted attacks’ by the Syrian government and its allies, with the use of barrel bombs and chemical weapons, as well as the intentional destruction of hospitals and other forms of infrastructure, being amongst the tactics used to drive the affected people out of Syria.</w:t>
      </w:r>
      <w:r>
        <w:rPr>
          <w:rStyle w:val="FootnoteReference"/>
          <w:rFonts w:ascii="Times New Roman" w:eastAsia="Times New Roman" w:hAnsi="Times New Roman" w:cs="Times New Roman"/>
        </w:rPr>
        <w:footnoteReference w:id="139"/>
      </w:r>
      <w:r>
        <w:rPr>
          <w:rFonts w:ascii="Times New Roman" w:eastAsia="Times New Roman" w:hAnsi="Times New Roman" w:cs="Times New Roman"/>
        </w:rPr>
        <w:t xml:space="preserve"> For these reasons, the two situations are seen as being alike.</w:t>
      </w:r>
      <w:r>
        <w:rPr>
          <w:rStyle w:val="FootnoteReference"/>
          <w:rFonts w:ascii="Times New Roman" w:eastAsia="Times New Roman" w:hAnsi="Times New Roman" w:cs="Times New Roman"/>
        </w:rPr>
        <w:footnoteReference w:id="140"/>
      </w:r>
    </w:p>
    <w:p w14:paraId="57C0BBA4" w14:textId="77777777" w:rsidR="006D54E3" w:rsidRDefault="006D54E3" w:rsidP="006D54E3">
      <w:pPr>
        <w:widowControl w:val="0"/>
        <w:autoSpaceDE w:val="0"/>
        <w:autoSpaceDN w:val="0"/>
        <w:adjustRightInd w:val="0"/>
        <w:spacing w:line="360" w:lineRule="auto"/>
        <w:ind w:firstLine="720"/>
        <w:jc w:val="both"/>
        <w:rPr>
          <w:rFonts w:ascii="Times New Roman" w:eastAsia="Times New Roman" w:hAnsi="Times New Roman" w:cs="Times New Roman"/>
          <w:color w:val="121212"/>
          <w:shd w:val="clear" w:color="auto" w:fill="FFFFFF"/>
          <w:lang w:val="en-US"/>
        </w:rPr>
      </w:pPr>
      <w:r w:rsidRPr="005D3FDB">
        <w:rPr>
          <w:rFonts w:ascii="Times New Roman" w:eastAsia="Times New Roman" w:hAnsi="Times New Roman" w:cs="Times New Roman"/>
        </w:rPr>
        <w:t>The Guernica Centre is not alone in their efforts to encourage the Prosecutor to open a Preliminary Investigation in Syria. A collection of British lawyers working on behalf of a group of Syrian refugees living in Jordan have also submitted a communication to the Prosecutor requesting that an investigation be opened against senior Syrian officials including president Bashir al Assad.</w:t>
      </w:r>
      <w:r w:rsidRPr="005D3FDB">
        <w:rPr>
          <w:rStyle w:val="FootnoteReference"/>
          <w:rFonts w:ascii="Times New Roman" w:eastAsia="Times New Roman" w:hAnsi="Times New Roman" w:cs="Times New Roman"/>
        </w:rPr>
        <w:footnoteReference w:id="141"/>
      </w:r>
      <w:r w:rsidRPr="005D3FDB">
        <w:rPr>
          <w:rFonts w:ascii="Times New Roman" w:eastAsia="Times New Roman" w:hAnsi="Times New Roman" w:cs="Times New Roman"/>
        </w:rPr>
        <w:t xml:space="preserve"> The decisions to submit the communication is based on the belief that ‘</w:t>
      </w:r>
      <w:r w:rsidRPr="005D3FDB">
        <w:rPr>
          <w:rFonts w:ascii="Times New Roman" w:eastAsia="Times New Roman" w:hAnsi="Times New Roman" w:cs="Times New Roman"/>
          <w:color w:val="121212"/>
          <w:shd w:val="clear" w:color="auto" w:fill="FFFFFF"/>
          <w:lang w:val="en-US"/>
        </w:rPr>
        <w:t>a jurisdictional gateway…has opened up finally for the ICC prosecutor to investigate the perpetrators who are most responsible.’</w:t>
      </w:r>
      <w:r>
        <w:rPr>
          <w:rStyle w:val="FootnoteReference"/>
          <w:rFonts w:ascii="Times New Roman" w:eastAsia="Times New Roman" w:hAnsi="Times New Roman" w:cs="Times New Roman"/>
          <w:color w:val="121212"/>
          <w:shd w:val="clear" w:color="auto" w:fill="FFFFFF"/>
          <w:lang w:val="en-US"/>
        </w:rPr>
        <w:footnoteReference w:id="142"/>
      </w:r>
      <w:r>
        <w:rPr>
          <w:rFonts w:ascii="Times New Roman" w:eastAsia="Times New Roman" w:hAnsi="Times New Roman" w:cs="Times New Roman"/>
          <w:color w:val="121212"/>
          <w:shd w:val="clear" w:color="auto" w:fill="FFFFFF"/>
          <w:lang w:val="en-US"/>
        </w:rPr>
        <w:t xml:space="preserve"> </w:t>
      </w:r>
    </w:p>
    <w:p w14:paraId="17EB7273" w14:textId="3FB83A54" w:rsidR="006D54E3" w:rsidRDefault="006D54E3" w:rsidP="006D54E3">
      <w:pPr>
        <w:widowControl w:val="0"/>
        <w:autoSpaceDE w:val="0"/>
        <w:autoSpaceDN w:val="0"/>
        <w:adjustRightInd w:val="0"/>
        <w:spacing w:line="360" w:lineRule="auto"/>
        <w:jc w:val="both"/>
        <w:rPr>
          <w:rFonts w:ascii="Times New Roman" w:eastAsia="Times New Roman" w:hAnsi="Times New Roman" w:cs="Times New Roman"/>
          <w:color w:val="121212"/>
          <w:shd w:val="clear" w:color="auto" w:fill="FFFFFF"/>
          <w:lang w:val="en-US"/>
        </w:rPr>
      </w:pPr>
      <w:r>
        <w:rPr>
          <w:rFonts w:ascii="Times New Roman" w:eastAsia="Times New Roman" w:hAnsi="Times New Roman" w:cs="Times New Roman"/>
        </w:rPr>
        <w:tab/>
        <w:t xml:space="preserve">The Pre-Trial Chamber’s decision about the Rohingya is being viewed as an opportunity to increase accountability for human rights abuses that would otherwise go unpunished. While it is appropriate to explore all paths available to increase human rights protections, it is necessary that these new approaches be founded on a firm legal footing. Unfortunately, that may not be the case with the Pre-Trial Chamber’s decision that the International Criminal Court has jurisdiction over some human rights violations </w:t>
      </w:r>
      <w:r w:rsidR="000E687E">
        <w:rPr>
          <w:rFonts w:ascii="Times New Roman" w:eastAsia="Times New Roman" w:hAnsi="Times New Roman" w:cs="Times New Roman"/>
        </w:rPr>
        <w:t xml:space="preserve">allegedly </w:t>
      </w:r>
      <w:r>
        <w:rPr>
          <w:rFonts w:ascii="Times New Roman" w:eastAsia="Times New Roman" w:hAnsi="Times New Roman" w:cs="Times New Roman"/>
        </w:rPr>
        <w:t xml:space="preserve">committed by the government of Myanmar against the Rohingya. Therefore, a modicum of caution is advised before victims of similar situations wholeheartedly embrace the possibility that decision means that they too will have an opportunity to experience justice being done. </w:t>
      </w:r>
    </w:p>
    <w:p w14:paraId="3E926086" w14:textId="77777777" w:rsidR="006D54E3" w:rsidRPr="007A1C73" w:rsidRDefault="006D54E3" w:rsidP="006D54E3">
      <w:pPr>
        <w:widowControl w:val="0"/>
        <w:autoSpaceDE w:val="0"/>
        <w:autoSpaceDN w:val="0"/>
        <w:adjustRightInd w:val="0"/>
        <w:spacing w:line="360" w:lineRule="auto"/>
        <w:jc w:val="both"/>
        <w:rPr>
          <w:rFonts w:ascii="Times New Roman" w:eastAsia="Times New Roman" w:hAnsi="Times New Roman" w:cs="Times New Roman"/>
          <w:b/>
        </w:rPr>
      </w:pPr>
      <w:r>
        <w:rPr>
          <w:rFonts w:ascii="Times New Roman" w:eastAsia="Times New Roman" w:hAnsi="Times New Roman" w:cs="Times New Roman"/>
          <w:b/>
        </w:rPr>
        <w:t>5.</w:t>
      </w:r>
      <w:r>
        <w:rPr>
          <w:rFonts w:ascii="Times New Roman" w:eastAsia="Times New Roman" w:hAnsi="Times New Roman" w:cs="Times New Roman"/>
          <w:b/>
        </w:rPr>
        <w:tab/>
        <w:t>Conclusion</w:t>
      </w:r>
      <w:r>
        <w:rPr>
          <w:rFonts w:ascii="Times New Roman" w:eastAsia="Times New Roman" w:hAnsi="Times New Roman" w:cs="Times New Roman"/>
        </w:rPr>
        <w:t xml:space="preserve"> </w:t>
      </w:r>
    </w:p>
    <w:p w14:paraId="108DB7BE" w14:textId="09BF1EB1"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eastAsia="Times New Roman" w:hAnsi="Times New Roman" w:cs="Times New Roman"/>
        </w:rPr>
        <w:t xml:space="preserve">There are significant reasons to question whether the Pre-Trial Chamber properly decided the Prosecutor’s </w:t>
      </w:r>
      <w:r w:rsidRPr="00F55D98">
        <w:rPr>
          <w:rFonts w:ascii="Times New Roman" w:hAnsi="Times New Roman" w:cs="Times New Roman"/>
        </w:rPr>
        <w:t>Request Under Regulation 46(3) of the Regulations of the Court</w:t>
      </w:r>
      <w:r>
        <w:rPr>
          <w:rFonts w:ascii="Times New Roman" w:hAnsi="Times New Roman" w:cs="Times New Roman"/>
        </w:rPr>
        <w:t>. From a procedural standpoint, it is highly doubtful that the Pre-Trial Chamber possesses the competence to make a decision about jurisdiction at this stage of proceedings. The statutory provision serving as the basis for the Prosecution’s original request is only applicable during the case stage</w:t>
      </w:r>
      <w:r w:rsidR="000E687E">
        <w:rPr>
          <w:rFonts w:ascii="Times New Roman" w:hAnsi="Times New Roman" w:cs="Times New Roman"/>
        </w:rPr>
        <w:t xml:space="preserve"> of proceedings. As a result, that provision</w:t>
      </w:r>
      <w:r>
        <w:rPr>
          <w:rFonts w:ascii="Times New Roman" w:hAnsi="Times New Roman" w:cs="Times New Roman"/>
        </w:rPr>
        <w:t xml:space="preserve"> cannot be used to permit the Pre-Trial Chamber to decide this matter</w:t>
      </w:r>
      <w:r w:rsidR="000E687E">
        <w:rPr>
          <w:rFonts w:ascii="Times New Roman" w:hAnsi="Times New Roman" w:cs="Times New Roman"/>
        </w:rPr>
        <w:t xml:space="preserve"> at this point in proceedings</w:t>
      </w:r>
      <w:r>
        <w:rPr>
          <w:rFonts w:ascii="Times New Roman" w:hAnsi="Times New Roman" w:cs="Times New Roman"/>
        </w:rPr>
        <w:t xml:space="preserve">. The Pre-Trial Chamber avoided this problem by identifying two other parts of the Statute that it believed gave it the authority to issue its decision. However, reliance on </w:t>
      </w:r>
      <w:r>
        <w:rPr>
          <w:rFonts w:ascii="Times New Roman" w:hAnsi="Times New Roman" w:cs="Times New Roman"/>
          <w:color w:val="000000"/>
          <w:lang w:val="en-US"/>
        </w:rPr>
        <w:t xml:space="preserve">Article 119(1) is misplaced as its application would deprive Article 19(1) of any meaning. Article 21(1)(b) is also not applicable in this situation as it can only be used when there is a lacuna in the Statute. This means that the Pre-Trial Chamber did not have a procedural foundation on which to make its decision. </w:t>
      </w:r>
    </w:p>
    <w:p w14:paraId="27CEBD4E" w14:textId="13E81E6C" w:rsidR="006D54E3" w:rsidRDefault="006D54E3" w:rsidP="006D54E3">
      <w:pPr>
        <w:widowControl w:val="0"/>
        <w:autoSpaceDE w:val="0"/>
        <w:autoSpaceDN w:val="0"/>
        <w:adjustRightInd w:val="0"/>
        <w:spacing w:line="360" w:lineRule="auto"/>
        <w:ind w:firstLine="720"/>
        <w:jc w:val="both"/>
        <w:rPr>
          <w:rFonts w:ascii="Times New Roman" w:hAnsi="Times New Roman" w:cs="Times New Roman"/>
          <w:color w:val="000000"/>
          <w:lang w:val="en-US"/>
        </w:rPr>
      </w:pPr>
      <w:r>
        <w:rPr>
          <w:rFonts w:ascii="Times New Roman" w:hAnsi="Times New Roman" w:cs="Times New Roman"/>
          <w:color w:val="000000"/>
          <w:lang w:val="en-US"/>
        </w:rPr>
        <w:t xml:space="preserve">The Pre-Trial Chamber’s conclusion that some part of the conduct making up the crime against humanity of deportation occurred in the territory of a state party is also dubious. </w:t>
      </w:r>
      <w:r w:rsidR="000E687E">
        <w:rPr>
          <w:rFonts w:ascii="Times New Roman" w:hAnsi="Times New Roman" w:cs="Times New Roman"/>
          <w:color w:val="000000"/>
          <w:lang w:val="en-US"/>
        </w:rPr>
        <w:t>The</w:t>
      </w:r>
      <w:r>
        <w:rPr>
          <w:rFonts w:ascii="Times New Roman" w:hAnsi="Times New Roman" w:cs="Times New Roman"/>
          <w:color w:val="000000"/>
          <w:lang w:val="en-US"/>
        </w:rPr>
        <w:t xml:space="preserve"> </w:t>
      </w:r>
      <w:r w:rsidR="000E687E">
        <w:rPr>
          <w:rFonts w:ascii="Times New Roman" w:hAnsi="Times New Roman" w:cs="Times New Roman"/>
          <w:color w:val="000000"/>
          <w:lang w:val="en-US"/>
        </w:rPr>
        <w:t xml:space="preserve">term ‘conduct’ as used in the </w:t>
      </w:r>
      <w:r>
        <w:rPr>
          <w:rFonts w:ascii="Times New Roman" w:hAnsi="Times New Roman" w:cs="Times New Roman"/>
          <w:color w:val="000000"/>
          <w:lang w:val="en-US"/>
        </w:rPr>
        <w:t xml:space="preserve">Rome Statute and the Elements of Crimes </w:t>
      </w:r>
      <w:r w:rsidR="00177318">
        <w:rPr>
          <w:rFonts w:ascii="Times New Roman" w:hAnsi="Times New Roman" w:cs="Times New Roman"/>
          <w:color w:val="000000"/>
          <w:lang w:val="en-US"/>
        </w:rPr>
        <w:t xml:space="preserve">can be read in such a way to mean that the </w:t>
      </w:r>
      <w:r>
        <w:rPr>
          <w:rFonts w:ascii="Times New Roman" w:hAnsi="Times New Roman" w:cs="Times New Roman"/>
          <w:color w:val="000000"/>
          <w:lang w:val="en-US"/>
        </w:rPr>
        <w:t>act</w:t>
      </w:r>
      <w:r w:rsidR="00733923">
        <w:rPr>
          <w:rFonts w:ascii="Times New Roman" w:hAnsi="Times New Roman" w:cs="Times New Roman"/>
          <w:color w:val="000000"/>
          <w:lang w:val="en-US"/>
        </w:rPr>
        <w:t>ions of the people alleged to have committed</w:t>
      </w:r>
      <w:r>
        <w:rPr>
          <w:rFonts w:ascii="Times New Roman" w:hAnsi="Times New Roman" w:cs="Times New Roman"/>
          <w:color w:val="000000"/>
          <w:lang w:val="en-US"/>
        </w:rPr>
        <w:t xml:space="preserve"> crimes</w:t>
      </w:r>
      <w:r w:rsidR="00177318">
        <w:rPr>
          <w:rFonts w:ascii="Times New Roman" w:hAnsi="Times New Roman" w:cs="Times New Roman"/>
          <w:color w:val="000000"/>
          <w:lang w:val="en-US"/>
        </w:rPr>
        <w:t xml:space="preserve"> must occur in the territory of a state party</w:t>
      </w:r>
      <w:r>
        <w:rPr>
          <w:rFonts w:ascii="Times New Roman" w:hAnsi="Times New Roman" w:cs="Times New Roman"/>
          <w:color w:val="000000"/>
          <w:lang w:val="en-US"/>
        </w:rPr>
        <w:t xml:space="preserve">. The conduct the Pre-Trial Chamber relied on to form its conclusion that the International Criminal Court has jurisdiction in this matter cannot be attributed to the perpetrators. While it may represent an element of the crime, it is not conduct in the sense meant by the Statute. However, the Pre-Trial Chamber appears to have conflated </w:t>
      </w:r>
      <w:r w:rsidR="00177318">
        <w:rPr>
          <w:rFonts w:ascii="Times New Roman" w:hAnsi="Times New Roman" w:cs="Times New Roman"/>
          <w:color w:val="000000"/>
          <w:lang w:val="en-US"/>
        </w:rPr>
        <w:t>the term ‘</w:t>
      </w:r>
      <w:r>
        <w:rPr>
          <w:rFonts w:ascii="Times New Roman" w:hAnsi="Times New Roman" w:cs="Times New Roman"/>
          <w:color w:val="000000"/>
          <w:lang w:val="en-US"/>
        </w:rPr>
        <w:t>conduct</w:t>
      </w:r>
      <w:r w:rsidR="00177318">
        <w:rPr>
          <w:rFonts w:ascii="Times New Roman" w:hAnsi="Times New Roman" w:cs="Times New Roman"/>
          <w:color w:val="000000"/>
          <w:lang w:val="en-US"/>
        </w:rPr>
        <w:t xml:space="preserve">’ with ‘crime’ leading it to the conclude that the Court has jurisdiction over the crime of deportation as it relates to the Rohingya as a result of the victims crossing the border into Bangladesh. </w:t>
      </w:r>
      <w:r>
        <w:rPr>
          <w:rFonts w:ascii="Times New Roman" w:hAnsi="Times New Roman" w:cs="Times New Roman"/>
          <w:color w:val="000000"/>
          <w:lang w:val="en-US"/>
        </w:rPr>
        <w:t>This approach may not accord with the plain language of Article 12(2)(a) of the Rome Statute.</w:t>
      </w:r>
    </w:p>
    <w:p w14:paraId="255029C4" w14:textId="77777777" w:rsidR="004F2449" w:rsidRDefault="006D54E3" w:rsidP="00993994">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ab/>
        <w:t xml:space="preserve">Ultimately, the Pre-Trial Chamber’s decision appears to rest on </w:t>
      </w:r>
      <w:r w:rsidR="004F2449">
        <w:rPr>
          <w:rFonts w:ascii="Times New Roman" w:hAnsi="Times New Roman" w:cs="Times New Roman"/>
          <w:color w:val="000000"/>
          <w:lang w:val="en-US"/>
        </w:rPr>
        <w:t>an imperfect legal foundation. Legitimate c</w:t>
      </w:r>
      <w:r>
        <w:rPr>
          <w:rFonts w:ascii="Times New Roman" w:hAnsi="Times New Roman" w:cs="Times New Roman"/>
          <w:color w:val="000000"/>
          <w:lang w:val="en-US"/>
        </w:rPr>
        <w:t xml:space="preserve">oncerns exist about the substance of the decision and whether the Pre-Trial Chamber was empowered at this point in the proceedings to make the decision at all. While the Pre-Trial Chamber should be applauded for suggesting a creative approach for delivering at least some partial form of accountability for the crimes committed against the Rohingya, it needs to be wary of offering false hope to victims. Legal decisions built on faulty premises are prone to reversal, which in turn can </w:t>
      </w:r>
      <w:r w:rsidR="00177318">
        <w:rPr>
          <w:rFonts w:ascii="Times New Roman" w:hAnsi="Times New Roman" w:cs="Times New Roman"/>
          <w:color w:val="000000"/>
          <w:lang w:val="en-US"/>
        </w:rPr>
        <w:t>dash</w:t>
      </w:r>
      <w:r>
        <w:rPr>
          <w:rFonts w:ascii="Times New Roman" w:hAnsi="Times New Roman" w:cs="Times New Roman"/>
          <w:color w:val="000000"/>
          <w:lang w:val="en-US"/>
        </w:rPr>
        <w:t xml:space="preserve"> the heightened expectations of the victims of atrocity crimes. It is necessary for the International Criminal Court to ensure it is always proceeding on firm legal ground to make it less vulnerable to criticism and to better deliver the justice the victims of international crimes so desperately crave. </w:t>
      </w:r>
    </w:p>
    <w:p w14:paraId="7D4E54CD" w14:textId="36CA46D7" w:rsidR="004F3D6E" w:rsidRPr="00993994" w:rsidRDefault="004F3D6E" w:rsidP="00993994">
      <w:pPr>
        <w:widowControl w:val="0"/>
        <w:autoSpaceDE w:val="0"/>
        <w:autoSpaceDN w:val="0"/>
        <w:adjustRightInd w:val="0"/>
        <w:spacing w:line="360" w:lineRule="auto"/>
        <w:jc w:val="both"/>
        <w:rPr>
          <w:rFonts w:ascii="Times New Roman" w:hAnsi="Times New Roman" w:cs="Times New Roman"/>
          <w:color w:val="000000"/>
          <w:lang w:val="en-US"/>
        </w:rPr>
      </w:pPr>
    </w:p>
    <w:sectPr w:rsidR="004F3D6E" w:rsidRPr="00993994" w:rsidSect="008F38C0">
      <w:footerReference w:type="even" r:id="rId7"/>
      <w:footerReference w:type="default" r:id="rId8"/>
      <w:pgSz w:w="11900" w:h="168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636BF" w14:textId="77777777" w:rsidR="00114F82" w:rsidRDefault="00114F82" w:rsidP="006D54E3">
      <w:r>
        <w:separator/>
      </w:r>
    </w:p>
  </w:endnote>
  <w:endnote w:type="continuationSeparator" w:id="0">
    <w:p w14:paraId="60181D27" w14:textId="77777777" w:rsidR="00114F82" w:rsidRDefault="00114F82" w:rsidP="006D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F0F02" w14:textId="77777777" w:rsidR="00114F82" w:rsidRDefault="00114F82" w:rsidP="008F3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F8FC1" w14:textId="77777777" w:rsidR="00114F82" w:rsidRDefault="00114F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FD0C" w14:textId="77777777" w:rsidR="00114F82" w:rsidRPr="00C20600" w:rsidRDefault="00114F82" w:rsidP="008F38C0">
    <w:pPr>
      <w:pStyle w:val="Footer"/>
      <w:framePr w:wrap="around" w:vAnchor="text" w:hAnchor="margin" w:xAlign="center" w:y="1"/>
      <w:rPr>
        <w:rStyle w:val="PageNumber"/>
        <w:rFonts w:ascii="Times New Roman" w:hAnsi="Times New Roman" w:cs="Times New Roman"/>
      </w:rPr>
    </w:pPr>
    <w:r w:rsidRPr="00C20600">
      <w:rPr>
        <w:rStyle w:val="PageNumber"/>
        <w:rFonts w:ascii="Times New Roman" w:hAnsi="Times New Roman" w:cs="Times New Roman"/>
      </w:rPr>
      <w:fldChar w:fldCharType="begin"/>
    </w:r>
    <w:r w:rsidRPr="00C20600">
      <w:rPr>
        <w:rStyle w:val="PageNumber"/>
        <w:rFonts w:ascii="Times New Roman" w:hAnsi="Times New Roman" w:cs="Times New Roman"/>
      </w:rPr>
      <w:instrText xml:space="preserve">PAGE  </w:instrText>
    </w:r>
    <w:r w:rsidRPr="00C20600">
      <w:rPr>
        <w:rStyle w:val="PageNumber"/>
        <w:rFonts w:ascii="Times New Roman" w:hAnsi="Times New Roman" w:cs="Times New Roman"/>
      </w:rPr>
      <w:fldChar w:fldCharType="separate"/>
    </w:r>
    <w:r w:rsidR="005C2740">
      <w:rPr>
        <w:rStyle w:val="PageNumber"/>
        <w:rFonts w:ascii="Times New Roman" w:hAnsi="Times New Roman" w:cs="Times New Roman"/>
        <w:noProof/>
      </w:rPr>
      <w:t>1</w:t>
    </w:r>
    <w:r w:rsidRPr="00C20600">
      <w:rPr>
        <w:rStyle w:val="PageNumber"/>
        <w:rFonts w:ascii="Times New Roman" w:hAnsi="Times New Roman" w:cs="Times New Roman"/>
      </w:rPr>
      <w:fldChar w:fldCharType="end"/>
    </w:r>
  </w:p>
  <w:p w14:paraId="288A78DF" w14:textId="77777777" w:rsidR="00114F82" w:rsidRDefault="00114F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8266C" w14:textId="77777777" w:rsidR="00114F82" w:rsidRDefault="00114F82" w:rsidP="006D54E3">
      <w:r>
        <w:separator/>
      </w:r>
    </w:p>
  </w:footnote>
  <w:footnote w:type="continuationSeparator" w:id="0">
    <w:p w14:paraId="0D0FCFEC" w14:textId="77777777" w:rsidR="00114F82" w:rsidRDefault="00114F82" w:rsidP="006D54E3">
      <w:r>
        <w:continuationSeparator/>
      </w:r>
    </w:p>
  </w:footnote>
  <w:footnote w:id="1">
    <w:p w14:paraId="14B5037B" w14:textId="7A4D1E0A" w:rsidR="00114F82" w:rsidRPr="009D6794" w:rsidRDefault="00114F82">
      <w:pPr>
        <w:pStyle w:val="FootnoteText"/>
        <w:rPr>
          <w:rFonts w:ascii="Times New Roman" w:hAnsi="Times New Roman" w:cs="Times New Roman"/>
          <w:lang w:val="en-US"/>
        </w:rPr>
      </w:pPr>
      <w:r w:rsidRPr="00114F82">
        <w:rPr>
          <w:rStyle w:val="FootnoteReference"/>
          <w:rFonts w:ascii="Times New Roman" w:hAnsi="Times New Roman" w:cs="Times New Roman"/>
        </w:rPr>
        <w:footnoteRef/>
      </w:r>
      <w:r w:rsidRPr="00114F82">
        <w:rPr>
          <w:rFonts w:ascii="Times New Roman" w:hAnsi="Times New Roman" w:cs="Times New Roman"/>
        </w:rPr>
        <w:t xml:space="preserve"> </w:t>
      </w:r>
      <w:r>
        <w:rPr>
          <w:rFonts w:ascii="Times New Roman" w:hAnsi="Times New Roman" w:cs="Times New Roman"/>
        </w:rPr>
        <w:t xml:space="preserve">For more on this decision and other issues surrounding the Rohingya crisis see P. Akhavan, ‘The Radically Routine </w:t>
      </w:r>
      <w:r w:rsidRPr="00114F82">
        <w:rPr>
          <w:rFonts w:ascii="Times New Roman" w:hAnsi="Times New Roman" w:cs="Times New Roman"/>
          <w:i/>
        </w:rPr>
        <w:t>Rohingya</w:t>
      </w:r>
      <w:r>
        <w:rPr>
          <w:rFonts w:ascii="Times New Roman" w:hAnsi="Times New Roman" w:cs="Times New Roman"/>
        </w:rPr>
        <w:t xml:space="preserve"> Case: </w:t>
      </w:r>
      <w:r w:rsidR="009D6794">
        <w:rPr>
          <w:rFonts w:ascii="Times New Roman" w:hAnsi="Times New Roman" w:cs="Times New Roman"/>
        </w:rPr>
        <w:t xml:space="preserve">Territorial Jurisdiction and the Crime of Deportation under the ICC Statute’, 17(2) </w:t>
      </w:r>
      <w:r w:rsidR="009D6794">
        <w:rPr>
          <w:rFonts w:ascii="Times New Roman" w:hAnsi="Times New Roman" w:cs="Times New Roman"/>
          <w:i/>
        </w:rPr>
        <w:t xml:space="preserve">Journal of International Criminal Justice </w:t>
      </w:r>
      <w:r w:rsidR="009D6794">
        <w:rPr>
          <w:rFonts w:ascii="Times New Roman" w:hAnsi="Times New Roman" w:cs="Times New Roman"/>
        </w:rPr>
        <w:t xml:space="preserve">(2019); B. Van Schaack, ‘Determining the Commission of Genocide in Myanmar’, 17(2) </w:t>
      </w:r>
      <w:r w:rsidR="009D6794">
        <w:rPr>
          <w:rFonts w:ascii="Times New Roman" w:hAnsi="Times New Roman" w:cs="Times New Roman"/>
          <w:i/>
        </w:rPr>
        <w:t>JICJ</w:t>
      </w:r>
      <w:r w:rsidR="009D6794">
        <w:rPr>
          <w:rFonts w:ascii="Times New Roman" w:hAnsi="Times New Roman" w:cs="Times New Roman"/>
        </w:rPr>
        <w:t xml:space="preserve"> (2019).</w:t>
      </w:r>
    </w:p>
  </w:footnote>
  <w:footnote w:id="2">
    <w:p w14:paraId="74F5832B" w14:textId="2A104322" w:rsidR="00114F82" w:rsidRPr="0012284A" w:rsidRDefault="00114F82" w:rsidP="006D54E3">
      <w:pPr>
        <w:widowControl w:val="0"/>
        <w:autoSpaceDE w:val="0"/>
        <w:autoSpaceDN w:val="0"/>
        <w:adjustRightInd w:val="0"/>
        <w:jc w:val="both"/>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Public Interest Law and Policy Group, </w:t>
      </w:r>
      <w:r w:rsidRPr="0012284A">
        <w:rPr>
          <w:rFonts w:ascii="Times New Roman" w:hAnsi="Times New Roman" w:cs="Times New Roman"/>
          <w:i/>
          <w:color w:val="000000"/>
          <w:lang w:val="en-US"/>
        </w:rPr>
        <w:t>Documenting Atrocity Crimes Committed Against the Rohingya in Myanmar’s Rakhine State: Factual Findings &amp; Legal Analysis</w:t>
      </w:r>
      <w:r w:rsidRPr="0012284A">
        <w:rPr>
          <w:rFonts w:ascii="Times New Roman" w:hAnsi="Times New Roman" w:cs="Times New Roman"/>
          <w:color w:val="000000"/>
          <w:lang w:val="en-US"/>
        </w:rPr>
        <w:t xml:space="preserve"> (Public Interest Law &amp; Policy Group</w:t>
      </w:r>
      <w:r>
        <w:rPr>
          <w:rFonts w:ascii="Times New Roman" w:hAnsi="Times New Roman" w:cs="Times New Roman"/>
          <w:color w:val="000000"/>
          <w:lang w:val="en-US"/>
        </w:rPr>
        <w:t>,</w:t>
      </w:r>
      <w:r w:rsidRPr="0012284A">
        <w:rPr>
          <w:rFonts w:ascii="Times New Roman" w:hAnsi="Times New Roman" w:cs="Times New Roman"/>
          <w:color w:val="000000"/>
          <w:lang w:val="en-US"/>
        </w:rPr>
        <w:t xml:space="preserve"> 2018), at 5.</w:t>
      </w:r>
    </w:p>
  </w:footnote>
  <w:footnote w:id="3">
    <w:p w14:paraId="09B60887"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4">
    <w:p w14:paraId="2771D8EB"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Burmese Citizenship Law of 1982 (16 October 1982) Ch. II(3).</w:t>
      </w:r>
    </w:p>
  </w:footnote>
  <w:footnote w:id="5">
    <w:p w14:paraId="559B79D9" w14:textId="77777777"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Council, ‘Report of the Independent International Fact-Finding Mission on Myanmar, UN Doc. A/HRC/39/64 (12 September 2018), at </w:t>
      </w:r>
      <w:r w:rsidRPr="0012284A">
        <w:rPr>
          <w:rFonts w:ascii="Times New Roman" w:hAnsi="Times New Roman" w:cs="Times New Roman"/>
          <w:color w:val="000000"/>
        </w:rPr>
        <w:t>¶</w:t>
      </w:r>
      <w:r w:rsidRPr="0012284A">
        <w:rPr>
          <w:rFonts w:ascii="Times New Roman" w:hAnsi="Times New Roman" w:cs="Times New Roman"/>
          <w:color w:val="000000"/>
          <w:lang w:val="en-US"/>
        </w:rPr>
        <w:t xml:space="preserve"> 12.</w:t>
      </w:r>
    </w:p>
  </w:footnote>
  <w:footnote w:id="6">
    <w:p w14:paraId="489E68CD" w14:textId="16CD59D5"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PILPG </w:t>
      </w:r>
      <w:r w:rsidRPr="0012284A">
        <w:rPr>
          <w:rFonts w:ascii="Times New Roman" w:hAnsi="Times New Roman" w:cs="Times New Roman"/>
          <w:i/>
        </w:rPr>
        <w:t>supra</w:t>
      </w:r>
      <w:r w:rsidR="005C2740">
        <w:rPr>
          <w:rFonts w:ascii="Times New Roman" w:hAnsi="Times New Roman" w:cs="Times New Roman"/>
        </w:rPr>
        <w:t xml:space="preserve"> note 2</w:t>
      </w:r>
      <w:r w:rsidRPr="0012284A">
        <w:rPr>
          <w:rFonts w:ascii="Times New Roman" w:hAnsi="Times New Roman" w:cs="Times New Roman"/>
        </w:rPr>
        <w:t>, at 5.</w:t>
      </w:r>
    </w:p>
  </w:footnote>
  <w:footnote w:id="7">
    <w:p w14:paraId="00275AB1"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 at 5-6.</w:t>
      </w:r>
    </w:p>
  </w:footnote>
  <w:footnote w:id="8">
    <w:p w14:paraId="00CEE018"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Human Rights Watch, ‘“The Government Could Have Stopped This”: Sectarian Violence and Ensuing Abuses in Burma’s Arakan State’ (31 July 2012) &lt;https://www.hrw.org/report/2012/07/31/government-could-have-stopped/sectarian-violence-and-ensuing-abuses-burmas-arakan#&gt; accessed 12 March 2019.</w:t>
      </w:r>
    </w:p>
  </w:footnote>
  <w:footnote w:id="9">
    <w:p w14:paraId="1B779725"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0">
    <w:p w14:paraId="55EE1E8C"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w:t>
      </w:r>
    </w:p>
  </w:footnote>
  <w:footnote w:id="11">
    <w:p w14:paraId="2B16D78C" w14:textId="77777777"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Council, Report of the Detailed Findings of the Independent International Fact-Finding Mission on Myanmar, Doc. No. GE.18-15350(E) (18 September 2018), at </w:t>
      </w:r>
      <w:r w:rsidRPr="0012284A">
        <w:rPr>
          <w:rFonts w:ascii="Times New Roman" w:hAnsi="Times New Roman" w:cs="Times New Roman"/>
          <w:color w:val="000000"/>
        </w:rPr>
        <w:t xml:space="preserve">¶ </w:t>
      </w:r>
      <w:r w:rsidRPr="0012284A">
        <w:rPr>
          <w:rFonts w:ascii="Times New Roman" w:hAnsi="Times New Roman" w:cs="Times New Roman"/>
          <w:color w:val="000000"/>
          <w:lang w:val="en-US"/>
        </w:rPr>
        <w:t>26.</w:t>
      </w:r>
    </w:p>
  </w:footnote>
  <w:footnote w:id="12">
    <w:p w14:paraId="2657E4E9"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 at </w:t>
      </w:r>
      <w:r w:rsidRPr="0012284A">
        <w:rPr>
          <w:rFonts w:ascii="Times New Roman" w:hAnsi="Times New Roman" w:cs="Times New Roman"/>
          <w:color w:val="000000"/>
        </w:rPr>
        <w:t xml:space="preserve">¶ </w:t>
      </w:r>
      <w:r w:rsidRPr="0012284A">
        <w:rPr>
          <w:rFonts w:ascii="Times New Roman" w:hAnsi="Times New Roman" w:cs="Times New Roman"/>
        </w:rPr>
        <w:t>27.</w:t>
      </w:r>
    </w:p>
  </w:footnote>
  <w:footnote w:id="13">
    <w:p w14:paraId="14F58A53" w14:textId="4CEC296C"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Medecins Sans Frontieres, ‘“No One Was Left”: Death and Violence Against the Rohingya in Rakhine State, Myanmar (Medecins Sans Frontieres</w:t>
      </w:r>
      <w:r>
        <w:rPr>
          <w:rFonts w:ascii="Times New Roman" w:hAnsi="Times New Roman" w:cs="Times New Roman"/>
          <w:lang w:val="en-US"/>
        </w:rPr>
        <w:t>,</w:t>
      </w:r>
      <w:r w:rsidRPr="0012284A">
        <w:rPr>
          <w:rFonts w:ascii="Times New Roman" w:hAnsi="Times New Roman" w:cs="Times New Roman"/>
          <w:lang w:val="en-US"/>
        </w:rPr>
        <w:t xml:space="preserve"> 2018), at 11.</w:t>
      </w:r>
    </w:p>
  </w:footnote>
  <w:footnote w:id="14">
    <w:p w14:paraId="2AC8572A"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w:t>
      </w:r>
    </w:p>
  </w:footnote>
  <w:footnote w:id="15">
    <w:p w14:paraId="62C4A4E5" w14:textId="7151113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Council, Report of the Detailed Findings, </w:t>
      </w:r>
      <w:r w:rsidRPr="0012284A">
        <w:rPr>
          <w:rFonts w:ascii="Times New Roman" w:hAnsi="Times New Roman" w:cs="Times New Roman"/>
          <w:i/>
          <w:color w:val="000000"/>
          <w:lang w:val="en-US"/>
        </w:rPr>
        <w:t>supra</w:t>
      </w:r>
      <w:r w:rsidR="005C2740">
        <w:rPr>
          <w:rFonts w:ascii="Times New Roman" w:hAnsi="Times New Roman" w:cs="Times New Roman"/>
          <w:color w:val="000000"/>
          <w:lang w:val="en-US"/>
        </w:rPr>
        <w:t xml:space="preserve"> note 11</w:t>
      </w:r>
      <w:r w:rsidRPr="0012284A">
        <w:rPr>
          <w:rFonts w:ascii="Times New Roman" w:hAnsi="Times New Roman" w:cs="Times New Roman"/>
          <w:color w:val="000000"/>
          <w:lang w:val="en-US"/>
        </w:rPr>
        <w:t xml:space="preserve">, at </w:t>
      </w:r>
      <w:r w:rsidRPr="0012284A">
        <w:rPr>
          <w:rFonts w:ascii="Times New Roman" w:hAnsi="Times New Roman" w:cs="Times New Roman"/>
          <w:color w:val="000000"/>
        </w:rPr>
        <w:t>¶</w:t>
      </w:r>
      <w:r w:rsidRPr="0012284A">
        <w:rPr>
          <w:rFonts w:ascii="Times New Roman" w:hAnsi="Times New Roman" w:cs="Times New Roman"/>
          <w:color w:val="000000"/>
          <w:lang w:val="en-US"/>
        </w:rPr>
        <w:t xml:space="preserve"> 27.</w:t>
      </w:r>
    </w:p>
  </w:footnote>
  <w:footnote w:id="16">
    <w:p w14:paraId="2CF6DFB3" w14:textId="035983A4"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Medecins Sans Frontieres, </w:t>
      </w:r>
      <w:r w:rsidRPr="0012284A">
        <w:rPr>
          <w:rFonts w:ascii="Times New Roman" w:hAnsi="Times New Roman" w:cs="Times New Roman"/>
          <w:i/>
          <w:lang w:val="en-US"/>
        </w:rPr>
        <w:t xml:space="preserve">supra </w:t>
      </w:r>
      <w:r w:rsidR="005C2740">
        <w:rPr>
          <w:rFonts w:ascii="Times New Roman" w:hAnsi="Times New Roman" w:cs="Times New Roman"/>
          <w:lang w:val="en-US"/>
        </w:rPr>
        <w:t>note 13</w:t>
      </w:r>
      <w:r w:rsidRPr="0012284A">
        <w:rPr>
          <w:rFonts w:ascii="Times New Roman" w:hAnsi="Times New Roman" w:cs="Times New Roman"/>
          <w:lang w:val="en-US"/>
        </w:rPr>
        <w:t>, at 8, 10.</w:t>
      </w:r>
    </w:p>
  </w:footnote>
  <w:footnote w:id="17">
    <w:p w14:paraId="15F0AF32" w14:textId="1AFDE54F"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Watch, </w:t>
      </w:r>
      <w:r w:rsidRPr="0012284A">
        <w:rPr>
          <w:rFonts w:ascii="Times New Roman" w:hAnsi="Times New Roman" w:cs="Times New Roman"/>
          <w:i/>
          <w:color w:val="000000"/>
          <w:lang w:val="en-US"/>
        </w:rPr>
        <w:t>Bangladesh Is Not My Country: The Plight of Rohingya Refugees From Myanmar</w:t>
      </w:r>
      <w:r w:rsidRPr="0012284A">
        <w:rPr>
          <w:rFonts w:ascii="Times New Roman" w:hAnsi="Times New Roman" w:cs="Times New Roman"/>
          <w:color w:val="000000"/>
          <w:lang w:val="en-US"/>
        </w:rPr>
        <w:t xml:space="preserve"> (Human Rights Watch</w:t>
      </w:r>
      <w:r>
        <w:rPr>
          <w:rFonts w:ascii="Times New Roman" w:hAnsi="Times New Roman" w:cs="Times New Roman"/>
          <w:color w:val="000000"/>
          <w:lang w:val="en-US"/>
        </w:rPr>
        <w:t>,</w:t>
      </w:r>
      <w:r w:rsidRPr="0012284A">
        <w:rPr>
          <w:rFonts w:ascii="Times New Roman" w:hAnsi="Times New Roman" w:cs="Times New Roman"/>
          <w:color w:val="000000"/>
          <w:lang w:val="en-US"/>
        </w:rPr>
        <w:t xml:space="preserve"> 2018), at 24.</w:t>
      </w:r>
    </w:p>
  </w:footnote>
  <w:footnote w:id="18">
    <w:p w14:paraId="4D7DCA7C"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9">
    <w:p w14:paraId="6DCDCF29" w14:textId="19EADF22"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Council, ‘Report of the Independent International Fact-Finding Mission’, </w:t>
      </w:r>
      <w:r w:rsidRPr="0012284A">
        <w:rPr>
          <w:rFonts w:ascii="Times New Roman" w:hAnsi="Times New Roman" w:cs="Times New Roman"/>
          <w:i/>
          <w:color w:val="000000"/>
          <w:lang w:val="en-US"/>
        </w:rPr>
        <w:t xml:space="preserve">supra </w:t>
      </w:r>
      <w:r w:rsidR="005C2740">
        <w:rPr>
          <w:rFonts w:ascii="Times New Roman" w:hAnsi="Times New Roman" w:cs="Times New Roman"/>
          <w:color w:val="000000"/>
          <w:lang w:val="en-US"/>
        </w:rPr>
        <w:t>note 5</w:t>
      </w:r>
      <w:r w:rsidRPr="0012284A">
        <w:rPr>
          <w:rFonts w:ascii="Times New Roman" w:hAnsi="Times New Roman" w:cs="Times New Roman"/>
          <w:color w:val="000000"/>
          <w:lang w:val="en-US"/>
        </w:rPr>
        <w:t xml:space="preserve">, at </w:t>
      </w:r>
      <w:r w:rsidRPr="0012284A">
        <w:rPr>
          <w:rFonts w:ascii="Times New Roman" w:hAnsi="Times New Roman" w:cs="Times New Roman"/>
          <w:color w:val="000000"/>
        </w:rPr>
        <w:t>¶</w:t>
      </w:r>
      <w:r w:rsidRPr="0012284A">
        <w:rPr>
          <w:rFonts w:ascii="Times New Roman" w:hAnsi="Times New Roman" w:cs="Times New Roman"/>
          <w:color w:val="000000"/>
          <w:lang w:val="en-US"/>
        </w:rPr>
        <w:t xml:space="preserve"> 41.</w:t>
      </w:r>
    </w:p>
  </w:footnote>
  <w:footnote w:id="20">
    <w:p w14:paraId="0B91491D" w14:textId="77777777"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 at </w:t>
      </w:r>
      <w:r w:rsidRPr="0012284A">
        <w:rPr>
          <w:rFonts w:ascii="Times New Roman" w:hAnsi="Times New Roman" w:cs="Times New Roman"/>
          <w:color w:val="000000"/>
        </w:rPr>
        <w:t>¶</w:t>
      </w:r>
      <w:r w:rsidRPr="0012284A">
        <w:rPr>
          <w:rFonts w:ascii="Times New Roman" w:hAnsi="Times New Roman" w:cs="Times New Roman"/>
          <w:color w:val="000000"/>
          <w:lang w:val="en-US"/>
        </w:rPr>
        <w:t xml:space="preserve"> 33.</w:t>
      </w:r>
    </w:p>
  </w:footnote>
  <w:footnote w:id="21">
    <w:p w14:paraId="5FAEA2B1" w14:textId="77777777"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 at </w:t>
      </w:r>
      <w:r w:rsidRPr="0012284A">
        <w:rPr>
          <w:rFonts w:ascii="Times New Roman" w:hAnsi="Times New Roman" w:cs="Times New Roman"/>
          <w:color w:val="000000"/>
        </w:rPr>
        <w:t>¶</w:t>
      </w:r>
      <w:r w:rsidRPr="0012284A">
        <w:rPr>
          <w:rFonts w:ascii="Times New Roman" w:hAnsi="Times New Roman" w:cs="Times New Roman"/>
          <w:color w:val="000000"/>
          <w:lang w:val="en-US"/>
        </w:rPr>
        <w:t xml:space="preserve"> 35.</w:t>
      </w:r>
    </w:p>
  </w:footnote>
  <w:footnote w:id="22">
    <w:p w14:paraId="49A4533E" w14:textId="36080A3B"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PILPG, </w:t>
      </w:r>
      <w:r w:rsidRPr="0012284A">
        <w:rPr>
          <w:rFonts w:ascii="Times New Roman" w:hAnsi="Times New Roman" w:cs="Times New Roman"/>
          <w:i/>
          <w:color w:val="000000"/>
          <w:lang w:val="en-US"/>
        </w:rPr>
        <w:t>supra</w:t>
      </w:r>
      <w:r w:rsidR="005C2740">
        <w:rPr>
          <w:rFonts w:ascii="Times New Roman" w:hAnsi="Times New Roman" w:cs="Times New Roman"/>
          <w:color w:val="000000"/>
          <w:lang w:val="en-US"/>
        </w:rPr>
        <w:t xml:space="preserve"> note 2</w:t>
      </w:r>
      <w:r w:rsidRPr="0012284A">
        <w:rPr>
          <w:rFonts w:ascii="Times New Roman" w:hAnsi="Times New Roman" w:cs="Times New Roman"/>
          <w:color w:val="000000"/>
          <w:lang w:val="en-US"/>
        </w:rPr>
        <w:t>, at 64.</w:t>
      </w:r>
    </w:p>
  </w:footnote>
  <w:footnote w:id="23">
    <w:p w14:paraId="401A3D6D"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Office of the High Commissioner for Human Rights, ‘Mission Report of the OHCHR Rapid Response Mission to Cox’s Bazar, Bangladesh’ (13-27 September 2017) 5.</w:t>
      </w:r>
    </w:p>
  </w:footnote>
  <w:footnote w:id="24">
    <w:p w14:paraId="49B35883" w14:textId="7BA2D99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PILPG, </w:t>
      </w:r>
      <w:r w:rsidRPr="0012284A">
        <w:rPr>
          <w:rFonts w:ascii="Times New Roman" w:hAnsi="Times New Roman" w:cs="Times New Roman"/>
          <w:i/>
          <w:color w:val="000000"/>
          <w:lang w:val="en-US"/>
        </w:rPr>
        <w:t>supra</w:t>
      </w:r>
      <w:r w:rsidR="005C2740">
        <w:rPr>
          <w:rFonts w:ascii="Times New Roman" w:hAnsi="Times New Roman" w:cs="Times New Roman"/>
          <w:color w:val="000000"/>
          <w:lang w:val="en-US"/>
        </w:rPr>
        <w:t xml:space="preserve"> note 2</w:t>
      </w:r>
      <w:r w:rsidRPr="0012284A">
        <w:rPr>
          <w:rFonts w:ascii="Times New Roman" w:hAnsi="Times New Roman" w:cs="Times New Roman"/>
          <w:color w:val="000000"/>
          <w:lang w:val="en-US"/>
        </w:rPr>
        <w:t>, at 85.</w:t>
      </w:r>
    </w:p>
  </w:footnote>
  <w:footnote w:id="25">
    <w:p w14:paraId="0057723C" w14:textId="7456F66F"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Council, ‘Report of the Independent International Fact-Finding Mission’, </w:t>
      </w:r>
      <w:r w:rsidRPr="0012284A">
        <w:rPr>
          <w:rFonts w:ascii="Times New Roman" w:hAnsi="Times New Roman" w:cs="Times New Roman"/>
          <w:i/>
          <w:color w:val="000000"/>
          <w:lang w:val="en-US"/>
        </w:rPr>
        <w:t xml:space="preserve">supra </w:t>
      </w:r>
      <w:r w:rsidR="005C2740">
        <w:rPr>
          <w:rFonts w:ascii="Times New Roman" w:hAnsi="Times New Roman" w:cs="Times New Roman"/>
          <w:color w:val="000000"/>
          <w:lang w:val="en-US"/>
        </w:rPr>
        <w:t>note 5</w:t>
      </w:r>
      <w:r w:rsidRPr="0012284A">
        <w:rPr>
          <w:rFonts w:ascii="Times New Roman" w:hAnsi="Times New Roman" w:cs="Times New Roman"/>
          <w:color w:val="000000"/>
          <w:lang w:val="en-US"/>
        </w:rPr>
        <w:t xml:space="preserve">, at </w:t>
      </w:r>
      <w:r w:rsidRPr="0012284A">
        <w:rPr>
          <w:rFonts w:ascii="Times New Roman" w:hAnsi="Times New Roman" w:cs="Times New Roman"/>
          <w:color w:val="000000"/>
        </w:rPr>
        <w:t>¶</w:t>
      </w:r>
      <w:r w:rsidRPr="0012284A">
        <w:rPr>
          <w:rFonts w:ascii="Times New Roman" w:hAnsi="Times New Roman" w:cs="Times New Roman"/>
          <w:color w:val="000000"/>
          <w:lang w:val="en-US"/>
        </w:rPr>
        <w:t xml:space="preserve"> 33.</w:t>
      </w:r>
    </w:p>
  </w:footnote>
  <w:footnote w:id="26">
    <w:p w14:paraId="35C616B4" w14:textId="1952CFB5"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Fortify Rights, ‘“They Gave Them Long Swords”: Preparations for Genocide and Crimes Against Humanity Against Rohingya Muslims in Rakhine State, Myanmar’ (Fortify Rights</w:t>
      </w:r>
      <w:r>
        <w:rPr>
          <w:rFonts w:ascii="Times New Roman" w:hAnsi="Times New Roman" w:cs="Times New Roman"/>
        </w:rPr>
        <w:t>,</w:t>
      </w:r>
      <w:r w:rsidRPr="0012284A">
        <w:rPr>
          <w:rFonts w:ascii="Times New Roman" w:hAnsi="Times New Roman" w:cs="Times New Roman"/>
        </w:rPr>
        <w:t xml:space="preserve"> 2018) 112.</w:t>
      </w:r>
    </w:p>
  </w:footnote>
  <w:footnote w:id="27">
    <w:p w14:paraId="0B61C5FF" w14:textId="71E72093"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Medecins Sans Frontieres, </w:t>
      </w:r>
      <w:r w:rsidRPr="0012284A">
        <w:rPr>
          <w:rFonts w:ascii="Times New Roman" w:hAnsi="Times New Roman" w:cs="Times New Roman"/>
          <w:i/>
          <w:lang w:val="en-US"/>
        </w:rPr>
        <w:t xml:space="preserve">supra </w:t>
      </w:r>
      <w:r w:rsidR="005C2740">
        <w:rPr>
          <w:rFonts w:ascii="Times New Roman" w:hAnsi="Times New Roman" w:cs="Times New Roman"/>
          <w:lang w:val="en-US"/>
        </w:rPr>
        <w:t>note 13</w:t>
      </w:r>
      <w:r w:rsidRPr="0012284A">
        <w:rPr>
          <w:rFonts w:ascii="Times New Roman" w:hAnsi="Times New Roman" w:cs="Times New Roman"/>
          <w:lang w:val="en-US"/>
        </w:rPr>
        <w:t>, at 23.</w:t>
      </w:r>
    </w:p>
  </w:footnote>
  <w:footnote w:id="28">
    <w:p w14:paraId="40F577E4" w14:textId="1BD74D6F"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Council, ‘Report of the Detailed Findings’, </w:t>
      </w:r>
      <w:r w:rsidRPr="0012284A">
        <w:rPr>
          <w:rFonts w:ascii="Times New Roman" w:hAnsi="Times New Roman" w:cs="Times New Roman"/>
          <w:i/>
          <w:color w:val="000000"/>
          <w:lang w:val="en-US"/>
        </w:rPr>
        <w:t>supra</w:t>
      </w:r>
      <w:r w:rsidR="005C2740">
        <w:rPr>
          <w:rFonts w:ascii="Times New Roman" w:hAnsi="Times New Roman" w:cs="Times New Roman"/>
          <w:color w:val="000000"/>
          <w:lang w:val="en-US"/>
        </w:rPr>
        <w:t xml:space="preserve"> note 11</w:t>
      </w:r>
      <w:r w:rsidRPr="0012284A">
        <w:rPr>
          <w:rFonts w:ascii="Times New Roman" w:hAnsi="Times New Roman" w:cs="Times New Roman"/>
          <w:color w:val="000000"/>
          <w:lang w:val="en-US"/>
        </w:rPr>
        <w:t xml:space="preserve">, at </w:t>
      </w:r>
      <w:r w:rsidRPr="0012284A">
        <w:rPr>
          <w:rFonts w:ascii="Times New Roman" w:hAnsi="Times New Roman" w:cs="Times New Roman"/>
          <w:color w:val="000000"/>
        </w:rPr>
        <w:t xml:space="preserve">¶ </w:t>
      </w:r>
      <w:r w:rsidRPr="0012284A">
        <w:rPr>
          <w:rFonts w:ascii="Times New Roman" w:hAnsi="Times New Roman" w:cs="Times New Roman"/>
          <w:color w:val="000000"/>
          <w:lang w:val="en-US"/>
        </w:rPr>
        <w:t>27.</w:t>
      </w:r>
    </w:p>
  </w:footnote>
  <w:footnote w:id="29">
    <w:p w14:paraId="24053EC5" w14:textId="1407EC9F"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Human Rights Watch, </w:t>
      </w:r>
      <w:r w:rsidRPr="0012284A">
        <w:rPr>
          <w:rFonts w:ascii="Times New Roman" w:hAnsi="Times New Roman" w:cs="Times New Roman"/>
          <w:i/>
          <w:color w:val="000000"/>
          <w:lang w:val="en-US"/>
        </w:rPr>
        <w:t>Bangladesh Is Not My Country</w:t>
      </w:r>
      <w:r w:rsidRPr="0012284A">
        <w:rPr>
          <w:rFonts w:ascii="Times New Roman" w:hAnsi="Times New Roman" w:cs="Times New Roman"/>
          <w:color w:val="000000"/>
          <w:lang w:val="en-US"/>
        </w:rPr>
        <w:t xml:space="preserve">, </w:t>
      </w:r>
      <w:r w:rsidRPr="0012284A">
        <w:rPr>
          <w:rFonts w:ascii="Times New Roman" w:hAnsi="Times New Roman" w:cs="Times New Roman"/>
          <w:i/>
          <w:color w:val="000000"/>
          <w:lang w:val="en-US"/>
        </w:rPr>
        <w:t>supra</w:t>
      </w:r>
      <w:r w:rsidR="005C2740">
        <w:rPr>
          <w:rFonts w:ascii="Times New Roman" w:hAnsi="Times New Roman" w:cs="Times New Roman"/>
          <w:color w:val="000000"/>
          <w:lang w:val="en-US"/>
        </w:rPr>
        <w:t xml:space="preserve"> note 17</w:t>
      </w:r>
      <w:r w:rsidRPr="0012284A">
        <w:rPr>
          <w:rFonts w:ascii="Times New Roman" w:hAnsi="Times New Roman" w:cs="Times New Roman"/>
          <w:color w:val="000000"/>
          <w:lang w:val="en-US"/>
        </w:rPr>
        <w:t>, at</w:t>
      </w:r>
      <w:r w:rsidRPr="0012284A">
        <w:rPr>
          <w:rFonts w:ascii="Times New Roman" w:hAnsi="Times New Roman" w:cs="Times New Roman"/>
          <w:i/>
          <w:color w:val="000000"/>
          <w:lang w:val="en-US"/>
        </w:rPr>
        <w:t xml:space="preserve"> </w:t>
      </w:r>
      <w:r w:rsidRPr="0012284A">
        <w:rPr>
          <w:rFonts w:ascii="Times New Roman" w:hAnsi="Times New Roman" w:cs="Times New Roman"/>
          <w:color w:val="000000"/>
          <w:lang w:val="en-US"/>
        </w:rPr>
        <w:t>24.</w:t>
      </w:r>
    </w:p>
  </w:footnote>
  <w:footnote w:id="30">
    <w:p w14:paraId="7845D657" w14:textId="09833C3A"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PILPG, </w:t>
      </w:r>
      <w:r w:rsidRPr="0012284A">
        <w:rPr>
          <w:rFonts w:ascii="Times New Roman" w:hAnsi="Times New Roman" w:cs="Times New Roman"/>
          <w:i/>
          <w:color w:val="000000"/>
          <w:lang w:val="en-US"/>
        </w:rPr>
        <w:t>supra</w:t>
      </w:r>
      <w:r w:rsidR="005C2740">
        <w:rPr>
          <w:rFonts w:ascii="Times New Roman" w:hAnsi="Times New Roman" w:cs="Times New Roman"/>
          <w:color w:val="000000"/>
          <w:lang w:val="en-US"/>
        </w:rPr>
        <w:t xml:space="preserve"> note 2</w:t>
      </w:r>
      <w:r w:rsidRPr="0012284A">
        <w:rPr>
          <w:rFonts w:ascii="Times New Roman" w:hAnsi="Times New Roman" w:cs="Times New Roman"/>
          <w:color w:val="000000"/>
          <w:lang w:val="en-US"/>
        </w:rPr>
        <w:t>, at 51, 64.</w:t>
      </w:r>
    </w:p>
  </w:footnote>
  <w:footnote w:id="31">
    <w:p w14:paraId="2A3CD273"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 at 51.</w:t>
      </w:r>
    </w:p>
  </w:footnote>
  <w:footnote w:id="32">
    <w:p w14:paraId="7A624F94"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33">
    <w:p w14:paraId="2893DDBF"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Application Under Regulation 46(3) (Prosecution’s Request for a Ruling on Jurisdiction Under Article 19(3) of the Statute) No. </w:t>
      </w:r>
      <w:r w:rsidRPr="0012284A">
        <w:rPr>
          <w:rFonts w:ascii="Times New Roman" w:hAnsi="Times New Roman" w:cs="Times New Roman"/>
          <w:color w:val="000000"/>
        </w:rPr>
        <w:t>ICC-RoC46(3)-01/18-1, Pres PT Ch (9 April 2018).</w:t>
      </w:r>
    </w:p>
  </w:footnote>
  <w:footnote w:id="34">
    <w:p w14:paraId="4BAEC154"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 at </w:t>
      </w:r>
      <w:r w:rsidRPr="0012284A">
        <w:rPr>
          <w:rFonts w:ascii="Times New Roman" w:hAnsi="Times New Roman" w:cs="Times New Roman"/>
          <w:color w:val="000000"/>
        </w:rPr>
        <w:t xml:space="preserve">¶ </w:t>
      </w:r>
      <w:r w:rsidRPr="0012284A">
        <w:rPr>
          <w:rFonts w:ascii="Times New Roman" w:hAnsi="Times New Roman" w:cs="Times New Roman"/>
          <w:lang w:val="en-US"/>
        </w:rPr>
        <w:t>26.</w:t>
      </w:r>
    </w:p>
  </w:footnote>
  <w:footnote w:id="35">
    <w:p w14:paraId="0A3B7E4C"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 at </w:t>
      </w:r>
      <w:r w:rsidRPr="0012284A">
        <w:rPr>
          <w:rFonts w:ascii="Times New Roman" w:hAnsi="Times New Roman" w:cs="Times New Roman"/>
          <w:color w:val="000000"/>
        </w:rPr>
        <w:t>¶ 52.</w:t>
      </w:r>
    </w:p>
  </w:footnote>
  <w:footnote w:id="36">
    <w:p w14:paraId="2768E7BA"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53.</w:t>
      </w:r>
    </w:p>
  </w:footnote>
  <w:footnote w:id="37">
    <w:p w14:paraId="7E8E944C"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r w:rsidRPr="0012284A">
        <w:rPr>
          <w:rFonts w:ascii="Times New Roman" w:hAnsi="Times New Roman" w:cs="Times New Roman"/>
          <w:color w:val="000000"/>
        </w:rPr>
        <w:t>.</w:t>
      </w:r>
    </w:p>
  </w:footnote>
  <w:footnote w:id="38">
    <w:p w14:paraId="3EDC1D9F"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54.</w:t>
      </w:r>
    </w:p>
  </w:footnote>
  <w:footnote w:id="39">
    <w:p w14:paraId="1D6939E6"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19(3) ICCSt.</w:t>
      </w:r>
    </w:p>
  </w:footnote>
  <w:footnote w:id="40">
    <w:p w14:paraId="68DEFDED"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19(1) ICCSt.</w:t>
      </w:r>
    </w:p>
  </w:footnote>
  <w:footnote w:id="41">
    <w:p w14:paraId="4DC050FA"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19(2) ICCSt.</w:t>
      </w:r>
    </w:p>
  </w:footnote>
  <w:footnote w:id="42">
    <w:p w14:paraId="65EF6587" w14:textId="0C4CF795"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W.A. Schabas, </w:t>
      </w:r>
      <w:r w:rsidRPr="0012284A">
        <w:rPr>
          <w:rFonts w:ascii="Times New Roman" w:hAnsi="Times New Roman" w:cs="Times New Roman"/>
          <w:i/>
          <w:color w:val="000000"/>
          <w:lang w:val="en-US"/>
        </w:rPr>
        <w:t>An Introduction to the International Criminal Court</w:t>
      </w:r>
      <w:r w:rsidRPr="0012284A">
        <w:rPr>
          <w:rFonts w:ascii="Times New Roman" w:hAnsi="Times New Roman" w:cs="Times New Roman"/>
          <w:color w:val="000000"/>
          <w:lang w:val="en-US"/>
        </w:rPr>
        <w:t xml:space="preserve"> (5</w:t>
      </w:r>
      <w:r w:rsidRPr="0012284A">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ed, </w:t>
      </w:r>
      <w:r w:rsidRPr="0012284A">
        <w:rPr>
          <w:rFonts w:ascii="Times New Roman" w:hAnsi="Times New Roman" w:cs="Times New Roman"/>
          <w:color w:val="000000"/>
          <w:lang w:val="en-US"/>
        </w:rPr>
        <w:t>Cambridge University Press, 2017), at 277.</w:t>
      </w:r>
    </w:p>
  </w:footnote>
  <w:footnote w:id="43">
    <w:p w14:paraId="2C16DCA9"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Situation in the Democratic Republic of Congo (Decision on the Applications for Participation in the Proceedings of VPRS 1, VPRS 2, VPRS 3, VPRS 4, VPRS 5 and VPRS 6) No. ICC-01/04, PT Ch I (17 January 2006) </w:t>
      </w:r>
      <w:r w:rsidRPr="0012284A">
        <w:rPr>
          <w:rFonts w:ascii="Times New Roman" w:hAnsi="Times New Roman" w:cs="Times New Roman"/>
          <w:color w:val="000000"/>
        </w:rPr>
        <w:t>¶ 65.</w:t>
      </w:r>
    </w:p>
  </w:footnote>
  <w:footnote w:id="44">
    <w:p w14:paraId="041C1976"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Request Under Regulation 46(3) of the Regulations of the Court (Partially Dissenting Opinion of Judge Marc Perrin de Brichambaut) No. ICC-RoC46(3)-01/18, PT Ch (6 September 2018) </w:t>
      </w:r>
      <w:r w:rsidRPr="0012284A">
        <w:rPr>
          <w:rFonts w:ascii="Times New Roman" w:hAnsi="Times New Roman" w:cs="Times New Roman"/>
          <w:color w:val="000000"/>
        </w:rPr>
        <w:t>¶ 12.</w:t>
      </w:r>
    </w:p>
  </w:footnote>
  <w:footnote w:id="45">
    <w:p w14:paraId="45098415" w14:textId="74105EC9"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C.K. Hall, D.D. Ntanda Nsereko and M.J. Ventura, ‘Article 19: Challenges to the Jurisdiction of the Court or the Admissibility of a Case, in O. Triffterer and K. Ambos (eds</w:t>
      </w:r>
      <w:r>
        <w:rPr>
          <w:rFonts w:ascii="Times New Roman" w:hAnsi="Times New Roman" w:cs="Times New Roman"/>
          <w:color w:val="000000"/>
          <w:lang w:val="en-US"/>
        </w:rPr>
        <w:t>.</w:t>
      </w:r>
      <w:r w:rsidRPr="0012284A">
        <w:rPr>
          <w:rFonts w:ascii="Times New Roman" w:hAnsi="Times New Roman" w:cs="Times New Roman"/>
          <w:color w:val="000000"/>
          <w:lang w:val="en-US"/>
        </w:rPr>
        <w:t xml:space="preserve">), </w:t>
      </w:r>
      <w:r w:rsidRPr="0012284A">
        <w:rPr>
          <w:rFonts w:ascii="Times New Roman" w:hAnsi="Times New Roman" w:cs="Times New Roman"/>
          <w:i/>
          <w:color w:val="000000"/>
          <w:lang w:val="en-US"/>
        </w:rPr>
        <w:t>Rome Statute of the International Criminal Court: A Commentary</w:t>
      </w:r>
      <w:r>
        <w:rPr>
          <w:rFonts w:ascii="Times New Roman" w:hAnsi="Times New Roman" w:cs="Times New Roman"/>
          <w:color w:val="000000"/>
          <w:lang w:val="en-US"/>
        </w:rPr>
        <w:t xml:space="preserve"> </w:t>
      </w:r>
      <w:r w:rsidRPr="00F65AE9">
        <w:rPr>
          <w:rFonts w:ascii="Times New Roman" w:hAnsi="Times New Roman" w:cs="Times New Roman"/>
          <w:color w:val="000000"/>
          <w:lang w:val="en-US"/>
        </w:rPr>
        <w:t>(</w:t>
      </w:r>
      <w:r w:rsidRPr="00F65AE9">
        <w:rPr>
          <w:rFonts w:ascii="Times New Roman" w:hAnsi="Times New Roman" w:cs="Times New Roman"/>
        </w:rPr>
        <w:t xml:space="preserve">3rd </w:t>
      </w:r>
      <w:r>
        <w:rPr>
          <w:rFonts w:ascii="Times New Roman" w:hAnsi="Times New Roman" w:cs="Times New Roman"/>
        </w:rPr>
        <w:t>edn.</w:t>
      </w:r>
      <w:r w:rsidRPr="00F65AE9">
        <w:rPr>
          <w:rFonts w:ascii="Times New Roman" w:hAnsi="Times New Roman" w:cs="Times New Roman"/>
        </w:rPr>
        <w:t>,</w:t>
      </w:r>
      <w:r w:rsidRPr="0012284A">
        <w:t xml:space="preserve"> </w:t>
      </w:r>
      <w:r w:rsidRPr="0012284A">
        <w:rPr>
          <w:rFonts w:ascii="Times New Roman" w:hAnsi="Times New Roman" w:cs="Times New Roman"/>
          <w:color w:val="000000"/>
          <w:lang w:val="en-US"/>
        </w:rPr>
        <w:t>Hart, 2016), at 875.</w:t>
      </w:r>
    </w:p>
  </w:footnote>
  <w:footnote w:id="46">
    <w:p w14:paraId="191CE6A8"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119(1) ICCSt.</w:t>
      </w:r>
    </w:p>
  </w:footnote>
  <w:footnote w:id="47">
    <w:p w14:paraId="04C98A62" w14:textId="273B238E"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R.S. Clark, ‘Article 119’, in O. Triffterer and K. Ambos (eds</w:t>
      </w:r>
      <w:r>
        <w:rPr>
          <w:rFonts w:ascii="Times New Roman" w:hAnsi="Times New Roman" w:cs="Times New Roman"/>
          <w:lang w:val="en-US"/>
        </w:rPr>
        <w:t>.</w:t>
      </w:r>
      <w:r w:rsidRPr="0012284A">
        <w:rPr>
          <w:rFonts w:ascii="Times New Roman" w:hAnsi="Times New Roman" w:cs="Times New Roman"/>
          <w:lang w:val="en-US"/>
        </w:rPr>
        <w:t xml:space="preserve">), </w:t>
      </w:r>
      <w:r w:rsidRPr="0012284A">
        <w:rPr>
          <w:rFonts w:ascii="Times New Roman" w:hAnsi="Times New Roman" w:cs="Times New Roman"/>
          <w:i/>
          <w:color w:val="000000"/>
          <w:lang w:val="en-US"/>
        </w:rPr>
        <w:t xml:space="preserve">The Rome Statute of the International Criminal Court: A Commentary </w:t>
      </w:r>
      <w:r w:rsidRPr="00F65AE9">
        <w:rPr>
          <w:rFonts w:ascii="Times New Roman" w:hAnsi="Times New Roman" w:cs="Times New Roman"/>
          <w:color w:val="000000"/>
          <w:lang w:val="en-US"/>
        </w:rPr>
        <w:t>(</w:t>
      </w:r>
      <w:r w:rsidRPr="00F65AE9">
        <w:rPr>
          <w:rFonts w:ascii="Times New Roman" w:hAnsi="Times New Roman" w:cs="Times New Roman"/>
        </w:rPr>
        <w:t xml:space="preserve">3rd </w:t>
      </w:r>
      <w:r>
        <w:rPr>
          <w:rFonts w:ascii="Times New Roman" w:hAnsi="Times New Roman" w:cs="Times New Roman"/>
        </w:rPr>
        <w:t>edn.</w:t>
      </w:r>
      <w:r w:rsidRPr="00F65AE9">
        <w:rPr>
          <w:rFonts w:ascii="Times New Roman" w:hAnsi="Times New Roman" w:cs="Times New Roman"/>
        </w:rPr>
        <w:t xml:space="preserve">, </w:t>
      </w:r>
      <w:r w:rsidRPr="00F65AE9">
        <w:rPr>
          <w:rFonts w:ascii="Times New Roman" w:hAnsi="Times New Roman" w:cs="Times New Roman"/>
          <w:color w:val="000000"/>
          <w:lang w:val="en-US"/>
        </w:rPr>
        <w:t>Hart,</w:t>
      </w:r>
      <w:r w:rsidRPr="0012284A">
        <w:rPr>
          <w:rFonts w:ascii="Times New Roman" w:hAnsi="Times New Roman" w:cs="Times New Roman"/>
          <w:color w:val="000000"/>
          <w:lang w:val="en-US"/>
        </w:rPr>
        <w:t xml:space="preserve"> 2016), at 1729.</w:t>
      </w:r>
    </w:p>
  </w:footnote>
  <w:footnote w:id="48">
    <w:p w14:paraId="42CE92CA"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Request Under Regulation 46(3) of the Regulations of the Court (Decision on the “Prosecution’s Request for a Ruling on Jurisdiction Under Article 19(3) of the Statute) No. ICC-RoC46(3)-01/18, PT Ch (6 September 2018) </w:t>
      </w:r>
      <w:r w:rsidRPr="0012284A">
        <w:rPr>
          <w:rFonts w:ascii="Times New Roman" w:hAnsi="Times New Roman" w:cs="Times New Roman"/>
          <w:color w:val="000000"/>
        </w:rPr>
        <w:t xml:space="preserve">¶ </w:t>
      </w:r>
      <w:r w:rsidRPr="0012284A">
        <w:rPr>
          <w:rFonts w:ascii="Times New Roman" w:hAnsi="Times New Roman" w:cs="Times New Roman"/>
          <w:lang w:val="en-US"/>
        </w:rPr>
        <w:t>28.</w:t>
      </w:r>
    </w:p>
  </w:footnote>
  <w:footnote w:id="49">
    <w:p w14:paraId="09E22A46" w14:textId="164ABD5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W.A. Schabas, </w:t>
      </w:r>
      <w:r w:rsidRPr="0012284A">
        <w:rPr>
          <w:rFonts w:ascii="Times New Roman" w:hAnsi="Times New Roman" w:cs="Times New Roman"/>
          <w:i/>
          <w:color w:val="000000"/>
          <w:lang w:val="en-US"/>
        </w:rPr>
        <w:t xml:space="preserve">The International Criminal Court: A Commentary on the Rome Statute </w:t>
      </w:r>
      <w:r>
        <w:rPr>
          <w:rFonts w:ascii="Times New Roman" w:hAnsi="Times New Roman" w:cs="Times New Roman"/>
          <w:color w:val="000000"/>
          <w:lang w:val="en-US"/>
        </w:rPr>
        <w:t xml:space="preserve">(2nd edn., </w:t>
      </w:r>
      <w:r w:rsidRPr="0012284A">
        <w:rPr>
          <w:rFonts w:ascii="Times New Roman" w:hAnsi="Times New Roman" w:cs="Times New Roman"/>
          <w:color w:val="000000"/>
          <w:lang w:val="en-US"/>
        </w:rPr>
        <w:t>Oxford University Press, 2016), at 1485.</w:t>
      </w:r>
    </w:p>
  </w:footnote>
  <w:footnote w:id="50">
    <w:p w14:paraId="447C7F92"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51">
    <w:p w14:paraId="7736CA18"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19(1) ICCSt.</w:t>
      </w:r>
    </w:p>
  </w:footnote>
  <w:footnote w:id="52">
    <w:p w14:paraId="0BF3F48E"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lang w:val="en-US"/>
        </w:rPr>
        <w:t xml:space="preserve"> </w:t>
      </w:r>
      <w:r w:rsidRPr="0012284A">
        <w:rPr>
          <w:rFonts w:ascii="Times New Roman" w:hAnsi="Times New Roman" w:cs="Times New Roman"/>
          <w:i/>
          <w:lang w:val="en-US"/>
        </w:rPr>
        <w:t>Prosecutor v Ruto et al</w:t>
      </w:r>
      <w:r w:rsidRPr="0012284A">
        <w:rPr>
          <w:rFonts w:ascii="Times New Roman" w:hAnsi="Times New Roman" w:cs="Times New Roman"/>
          <w:lang w:val="en-US"/>
        </w:rPr>
        <w:t xml:space="preserve">. (Decision on Mr Ruto’s Request for Excusal From Continuous Presence During Trial) No. ICC-01/09-01/11, TC V(5) (22 June 2013) </w:t>
      </w:r>
      <w:r w:rsidRPr="0012284A">
        <w:rPr>
          <w:rFonts w:ascii="Times New Roman" w:hAnsi="Times New Roman" w:cs="Times New Roman"/>
          <w:color w:val="000000"/>
        </w:rPr>
        <w:t>¶ 39.</w:t>
      </w:r>
    </w:p>
  </w:footnote>
  <w:footnote w:id="53">
    <w:p w14:paraId="28F9AC8D"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w:t>
      </w:r>
    </w:p>
  </w:footnote>
  <w:footnote w:id="54">
    <w:p w14:paraId="0D5D6336"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 at </w:t>
      </w:r>
      <w:r w:rsidRPr="0012284A">
        <w:rPr>
          <w:rFonts w:ascii="Times New Roman" w:hAnsi="Times New Roman" w:cs="Times New Roman"/>
          <w:color w:val="000000"/>
        </w:rPr>
        <w:t>¶ 31.</w:t>
      </w:r>
    </w:p>
  </w:footnote>
  <w:footnote w:id="55">
    <w:p w14:paraId="52B3B4C1" w14:textId="77777777" w:rsidR="00114F82" w:rsidRPr="0012284A" w:rsidRDefault="00114F82" w:rsidP="006D54E3">
      <w:pPr>
        <w:widowControl w:val="0"/>
        <w:autoSpaceDE w:val="0"/>
        <w:autoSpaceDN w:val="0"/>
        <w:adjustRightInd w:val="0"/>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xml:space="preserve">¶¶ 31, 39; </w:t>
      </w:r>
      <w:r w:rsidRPr="0012284A">
        <w:rPr>
          <w:rFonts w:ascii="Times New Roman" w:hAnsi="Times New Roman" w:cs="Times New Roman"/>
          <w:i/>
          <w:color w:val="000000"/>
        </w:rPr>
        <w:t xml:space="preserve">citing </w:t>
      </w:r>
      <w:r w:rsidRPr="0012284A">
        <w:rPr>
          <w:rFonts w:ascii="Times New Roman" w:hAnsi="Times New Roman" w:cs="Times New Roman"/>
          <w:color w:val="000000"/>
          <w:lang w:val="en-US"/>
        </w:rPr>
        <w:t>Competence of the ILO to Regulate Agricultural Labour, PCIJ Series B, Nos 2 and 3 (1922) 23; Corfu Channel case (Judgment of 9 April 1949) (1949) ICJ Reports 4, 24; Interpretation of Peace Treaties (Second Phase) Advisory Opinion (1950) ICJ Reports 221, 229.</w:t>
      </w:r>
    </w:p>
  </w:footnote>
  <w:footnote w:id="56">
    <w:p w14:paraId="532A3B69"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Art. 21 ICCSt. </w:t>
      </w:r>
    </w:p>
  </w:footnote>
  <w:footnote w:id="57">
    <w:p w14:paraId="1636092F" w14:textId="3CC4EBAA"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lang w:val="en-US"/>
        </w:rPr>
        <w:t xml:space="preserve"> </w:t>
      </w:r>
      <w:r w:rsidRPr="0012284A">
        <w:rPr>
          <w:rFonts w:ascii="Times New Roman" w:hAnsi="Times New Roman" w:cs="Times New Roman"/>
          <w:lang w:val="en-US"/>
        </w:rPr>
        <w:t xml:space="preserve">Schabas, </w:t>
      </w:r>
      <w:r w:rsidRPr="0012284A">
        <w:rPr>
          <w:rFonts w:ascii="Times New Roman" w:hAnsi="Times New Roman" w:cs="Times New Roman"/>
          <w:i/>
          <w:lang w:val="en-US"/>
        </w:rPr>
        <w:t>Commentary</w:t>
      </w:r>
      <w:r w:rsidRPr="0012284A">
        <w:rPr>
          <w:rFonts w:ascii="Times New Roman" w:hAnsi="Times New Roman" w:cs="Times New Roman"/>
          <w:lang w:val="en-US"/>
        </w:rPr>
        <w:t xml:space="preserve">, </w:t>
      </w:r>
      <w:r w:rsidRPr="0012284A">
        <w:rPr>
          <w:rFonts w:ascii="Times New Roman" w:hAnsi="Times New Roman" w:cs="Times New Roman"/>
          <w:i/>
          <w:lang w:val="en-US"/>
        </w:rPr>
        <w:t xml:space="preserve">supra </w:t>
      </w:r>
      <w:r w:rsidR="005C2740">
        <w:rPr>
          <w:rFonts w:ascii="Times New Roman" w:hAnsi="Times New Roman" w:cs="Times New Roman"/>
          <w:lang w:val="en-US"/>
        </w:rPr>
        <w:t>note 49</w:t>
      </w:r>
      <w:r w:rsidRPr="0012284A">
        <w:rPr>
          <w:rFonts w:ascii="Times New Roman" w:hAnsi="Times New Roman" w:cs="Times New Roman"/>
          <w:lang w:val="en-US"/>
        </w:rPr>
        <w:t>, at 515.</w:t>
      </w:r>
    </w:p>
  </w:footnote>
  <w:footnote w:id="58">
    <w:p w14:paraId="320B01FA"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lang w:val="en-US"/>
        </w:rPr>
        <w:t>Prosecutor v Bashir</w:t>
      </w:r>
      <w:r w:rsidRPr="0012284A">
        <w:rPr>
          <w:rFonts w:ascii="Times New Roman" w:hAnsi="Times New Roman" w:cs="Times New Roman"/>
          <w:lang w:val="en-US"/>
        </w:rPr>
        <w:t xml:space="preserve"> (Decision on the Prosecution’s Application for a Warrant of Arrest Against Omar Hassan Ahmad Al Bashir) No. ICC-02/05-01/09, PT Ch I (4 March 2009) </w:t>
      </w:r>
      <w:r w:rsidRPr="0012284A">
        <w:rPr>
          <w:rFonts w:ascii="Times New Roman" w:hAnsi="Times New Roman" w:cs="Times New Roman"/>
          <w:color w:val="000000"/>
        </w:rPr>
        <w:t>¶ 126.</w:t>
      </w:r>
    </w:p>
  </w:footnote>
  <w:footnote w:id="59">
    <w:p w14:paraId="6B57AC9C" w14:textId="4E9519E5" w:rsidR="00114F82" w:rsidRPr="0012284A" w:rsidRDefault="00114F82" w:rsidP="006D54E3">
      <w:pPr>
        <w:widowControl w:val="0"/>
        <w:autoSpaceDE w:val="0"/>
        <w:autoSpaceDN w:val="0"/>
        <w:adjustRightInd w:val="0"/>
        <w:spacing w:line="0" w:lineRule="atLeast"/>
        <w:rPr>
          <w:rFonts w:ascii="Times New Roman" w:hAnsi="Times New Roman" w:cs="Times New Roman"/>
          <w:color w:val="000000"/>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lang w:val="en-US"/>
        </w:rPr>
        <w:t xml:space="preserve">Permanent Court of International Justice, Interpretation of the Greco-Turkish Agreement on December 1st, 1926 (Final Protocol, Article IV), Advisory Opinion of 28 August 1928, Series B, No. 16, p. 20; </w:t>
      </w:r>
      <w:r w:rsidRPr="00DA1282">
        <w:rPr>
          <w:rFonts w:ascii="Times New Roman" w:hAnsi="Times New Roman" w:cs="Times New Roman"/>
          <w:color w:val="000000"/>
          <w:lang w:val="en-US"/>
        </w:rPr>
        <w:t>see also</w:t>
      </w:r>
      <w:r w:rsidRPr="0012284A">
        <w:rPr>
          <w:rFonts w:ascii="Times New Roman" w:hAnsi="Times New Roman" w:cs="Times New Roman"/>
          <w:color w:val="000000"/>
          <w:lang w:val="en-US"/>
        </w:rPr>
        <w:t xml:space="preserve"> </w:t>
      </w:r>
      <w:r w:rsidRPr="00DA1282">
        <w:rPr>
          <w:rFonts w:ascii="Times New Roman" w:hAnsi="Times New Roman" w:cs="Times New Roman"/>
          <w:i/>
          <w:color w:val="000000"/>
          <w:lang w:val="en-US"/>
        </w:rPr>
        <w:t>The Walfish Bay Boundary Case</w:t>
      </w:r>
      <w:r w:rsidRPr="0012284A">
        <w:rPr>
          <w:rFonts w:ascii="Times New Roman" w:hAnsi="Times New Roman" w:cs="Times New Roman"/>
          <w:color w:val="000000"/>
          <w:lang w:val="en-US"/>
        </w:rPr>
        <w:t xml:space="preserve"> (Germany, Great Britain), Award of 23 May 1911, Reports of International Arbitral Awards, vol. XI, p. 263, </w:t>
      </w:r>
      <w:r w:rsidRPr="0012284A">
        <w:rPr>
          <w:rFonts w:ascii="Times New Roman" w:hAnsi="Times New Roman" w:cs="Times New Roman"/>
          <w:color w:val="000000"/>
        </w:rPr>
        <w:t xml:space="preserve">¶ </w:t>
      </w:r>
      <w:r w:rsidRPr="0012284A">
        <w:rPr>
          <w:rFonts w:ascii="Times New Roman" w:hAnsi="Times New Roman" w:cs="Times New Roman"/>
          <w:color w:val="000000"/>
          <w:lang w:val="en-US"/>
        </w:rPr>
        <w:t>LXVII.</w:t>
      </w:r>
    </w:p>
  </w:footnote>
  <w:footnote w:id="60">
    <w:p w14:paraId="1D85BFE1" w14:textId="77777777" w:rsidR="00114F82" w:rsidRPr="0012284A" w:rsidRDefault="00114F82" w:rsidP="006D54E3">
      <w:pPr>
        <w:widowControl w:val="0"/>
        <w:autoSpaceDE w:val="0"/>
        <w:autoSpaceDN w:val="0"/>
        <w:adjustRightInd w:val="0"/>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lang w:val="en-US"/>
        </w:rPr>
        <w:t>Nottebohm case (Liechtenstein v. Guatemala)</w:t>
      </w:r>
      <w:r w:rsidRPr="0012284A">
        <w:rPr>
          <w:rFonts w:ascii="Times New Roman" w:hAnsi="Times New Roman" w:cs="Times New Roman"/>
          <w:lang w:val="en-US"/>
        </w:rPr>
        <w:t xml:space="preserve"> (Preliminary Objections), Judgment of 18 November 1953, [1953] ICJ Rep. 111, p. 119. </w:t>
      </w:r>
    </w:p>
  </w:footnote>
  <w:footnote w:id="61">
    <w:p w14:paraId="2F1EE119" w14:textId="12F0E69D"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Decision on Prosecution’s Request, </w:t>
      </w:r>
      <w:r w:rsidRPr="0012284A">
        <w:rPr>
          <w:rFonts w:ascii="Times New Roman" w:hAnsi="Times New Roman" w:cs="Times New Roman"/>
          <w:i/>
        </w:rPr>
        <w:t xml:space="preserve">supra </w:t>
      </w:r>
      <w:r w:rsidR="005C2740">
        <w:rPr>
          <w:rFonts w:ascii="Times New Roman" w:hAnsi="Times New Roman" w:cs="Times New Roman"/>
        </w:rPr>
        <w:t>note 48</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rPr>
        <w:t>31-3.</w:t>
      </w:r>
    </w:p>
  </w:footnote>
  <w:footnote w:id="62">
    <w:p w14:paraId="4EAE4510"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33.</w:t>
      </w:r>
    </w:p>
  </w:footnote>
  <w:footnote w:id="63">
    <w:p w14:paraId="5F9899DE" w14:textId="22B754E4" w:rsidR="00114F82" w:rsidRPr="0012284A" w:rsidRDefault="00114F82" w:rsidP="00254B3C">
      <w:pPr>
        <w:pStyle w:val="NormalWeb"/>
        <w:shd w:val="clear" w:color="auto" w:fill="FFFFFF"/>
        <w:spacing w:before="0" w:beforeAutospacing="0" w:after="0" w:afterAutospacing="0"/>
        <w:rPr>
          <w:sz w:val="24"/>
          <w:szCs w:val="24"/>
        </w:rPr>
      </w:pPr>
      <w:r w:rsidRPr="0012284A">
        <w:rPr>
          <w:rStyle w:val="FootnoteReference"/>
          <w:sz w:val="24"/>
          <w:szCs w:val="24"/>
        </w:rPr>
        <w:footnoteRef/>
      </w:r>
      <w:r w:rsidRPr="0012284A">
        <w:rPr>
          <w:sz w:val="24"/>
          <w:szCs w:val="24"/>
        </w:rPr>
        <w:t xml:space="preserve"> Prosecution’s Request, </w:t>
      </w:r>
      <w:r w:rsidRPr="0012284A">
        <w:rPr>
          <w:i/>
          <w:sz w:val="24"/>
          <w:szCs w:val="24"/>
        </w:rPr>
        <w:t xml:space="preserve">supra </w:t>
      </w:r>
      <w:r w:rsidR="005C2740">
        <w:rPr>
          <w:sz w:val="24"/>
          <w:szCs w:val="24"/>
        </w:rPr>
        <w:t>note 33</w:t>
      </w:r>
      <w:r w:rsidRPr="0012284A">
        <w:rPr>
          <w:sz w:val="24"/>
          <w:szCs w:val="24"/>
        </w:rPr>
        <w:t xml:space="preserve">, at </w:t>
      </w:r>
      <w:r w:rsidRPr="0012284A">
        <w:rPr>
          <w:color w:val="000000"/>
          <w:sz w:val="24"/>
          <w:szCs w:val="24"/>
        </w:rPr>
        <w:t xml:space="preserve">¶ 1.  </w:t>
      </w:r>
    </w:p>
  </w:footnote>
  <w:footnote w:id="64">
    <w:p w14:paraId="7C53C0BF"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7(1)(d) ICCSt.</w:t>
      </w:r>
    </w:p>
  </w:footnote>
  <w:footnote w:id="65">
    <w:p w14:paraId="34165D31"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7(2)(d) ICCSt.</w:t>
      </w:r>
    </w:p>
  </w:footnote>
  <w:footnote w:id="66">
    <w:p w14:paraId="5901F9BD" w14:textId="379AB56A"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2.</w:t>
      </w:r>
    </w:p>
  </w:footnote>
  <w:footnote w:id="67">
    <w:p w14:paraId="3BD6B8CD"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3.</w:t>
      </w:r>
    </w:p>
  </w:footnote>
  <w:footnote w:id="68">
    <w:p w14:paraId="377C74F4" w14:textId="20BCF156" w:rsidR="00114F82" w:rsidRPr="0012284A" w:rsidRDefault="00114F82" w:rsidP="00254B3C">
      <w:pPr>
        <w:pStyle w:val="NormalWeb"/>
        <w:spacing w:before="0" w:beforeAutospacing="0" w:after="0" w:afterAutospacing="0"/>
        <w:rPr>
          <w:sz w:val="24"/>
          <w:szCs w:val="24"/>
        </w:rPr>
      </w:pPr>
      <w:r w:rsidRPr="0012284A">
        <w:rPr>
          <w:rStyle w:val="FootnoteReference"/>
          <w:sz w:val="24"/>
          <w:szCs w:val="24"/>
        </w:rPr>
        <w:footnoteRef/>
      </w:r>
      <w:r w:rsidRPr="0012284A">
        <w:rPr>
          <w:sz w:val="24"/>
          <w:szCs w:val="24"/>
        </w:rPr>
        <w:t xml:space="preserve"> Decision on Prosecution’s Request, </w:t>
      </w:r>
      <w:r w:rsidRPr="0012284A">
        <w:rPr>
          <w:i/>
          <w:sz w:val="24"/>
          <w:szCs w:val="24"/>
        </w:rPr>
        <w:t xml:space="preserve">supra </w:t>
      </w:r>
      <w:r w:rsidR="005C2740">
        <w:rPr>
          <w:sz w:val="24"/>
          <w:szCs w:val="24"/>
        </w:rPr>
        <w:t>note 48</w:t>
      </w:r>
      <w:r w:rsidRPr="0012284A">
        <w:rPr>
          <w:sz w:val="24"/>
          <w:szCs w:val="24"/>
        </w:rPr>
        <w:t xml:space="preserve">, at </w:t>
      </w:r>
      <w:r w:rsidRPr="0012284A">
        <w:rPr>
          <w:color w:val="000000"/>
          <w:sz w:val="24"/>
          <w:szCs w:val="24"/>
        </w:rPr>
        <w:t xml:space="preserve">¶ 55; </w:t>
      </w:r>
      <w:r w:rsidRPr="00DA1282">
        <w:rPr>
          <w:color w:val="000000"/>
          <w:sz w:val="24"/>
          <w:szCs w:val="24"/>
        </w:rPr>
        <w:t>see also</w:t>
      </w:r>
      <w:r w:rsidRPr="0012284A">
        <w:rPr>
          <w:color w:val="000000"/>
          <w:sz w:val="24"/>
          <w:szCs w:val="24"/>
        </w:rPr>
        <w:t xml:space="preserve"> </w:t>
      </w:r>
      <w:r w:rsidRPr="0012284A">
        <w:rPr>
          <w:sz w:val="24"/>
          <w:szCs w:val="24"/>
        </w:rPr>
        <w:t xml:space="preserve">K. Ambos, </w:t>
      </w:r>
      <w:r w:rsidRPr="0012284A">
        <w:rPr>
          <w:i/>
          <w:sz w:val="24"/>
          <w:szCs w:val="24"/>
        </w:rPr>
        <w:t>Treatise on International Criminal Law: Volume II: The Crimes and Sentencing</w:t>
      </w:r>
      <w:r w:rsidRPr="0012284A">
        <w:rPr>
          <w:sz w:val="24"/>
          <w:szCs w:val="24"/>
        </w:rPr>
        <w:t xml:space="preserve"> (Oxford University Press, 2014), at 86; C.K. Hall and C. Stahn, ‘Article 7: Crimes Against Humanity’, in O. Triffterer and K. Ambos (eds</w:t>
      </w:r>
      <w:r>
        <w:rPr>
          <w:sz w:val="24"/>
          <w:szCs w:val="24"/>
        </w:rPr>
        <w:t>.</w:t>
      </w:r>
      <w:r w:rsidRPr="0012284A">
        <w:rPr>
          <w:sz w:val="24"/>
          <w:szCs w:val="24"/>
        </w:rPr>
        <w:t xml:space="preserve">), </w:t>
      </w:r>
      <w:r w:rsidRPr="0012284A">
        <w:rPr>
          <w:i/>
          <w:sz w:val="24"/>
          <w:szCs w:val="24"/>
        </w:rPr>
        <w:t>Rome Statute of the International Criminal Court: A Commentary</w:t>
      </w:r>
      <w:r w:rsidRPr="0012284A">
        <w:rPr>
          <w:sz w:val="24"/>
          <w:szCs w:val="24"/>
        </w:rPr>
        <w:t xml:space="preserve"> (</w:t>
      </w:r>
      <w:r>
        <w:rPr>
          <w:sz w:val="24"/>
          <w:szCs w:val="24"/>
        </w:rPr>
        <w:t xml:space="preserve">3rd edn., </w:t>
      </w:r>
      <w:r w:rsidRPr="0012284A">
        <w:rPr>
          <w:sz w:val="24"/>
          <w:szCs w:val="24"/>
        </w:rPr>
        <w:t xml:space="preserve">Hart, 2016), at 263; R. Cryer, H. Friman, D. Robinson and E. Wilmshurst, </w:t>
      </w:r>
      <w:r w:rsidRPr="0012284A">
        <w:rPr>
          <w:i/>
          <w:sz w:val="24"/>
          <w:szCs w:val="24"/>
        </w:rPr>
        <w:t>A Introduction to International Criminal Law and Procedure</w:t>
      </w:r>
      <w:r w:rsidRPr="0012284A">
        <w:rPr>
          <w:sz w:val="24"/>
          <w:szCs w:val="24"/>
        </w:rPr>
        <w:t xml:space="preserve"> (</w:t>
      </w:r>
      <w:r>
        <w:rPr>
          <w:sz w:val="24"/>
          <w:szCs w:val="24"/>
        </w:rPr>
        <w:t>3rd edn.</w:t>
      </w:r>
      <w:r w:rsidRPr="0012284A">
        <w:rPr>
          <w:sz w:val="24"/>
          <w:szCs w:val="24"/>
        </w:rPr>
        <w:t xml:space="preserve">, Cambridge University Press, 2014), at 248; G. Werle and F. Jessberger, </w:t>
      </w:r>
      <w:r w:rsidRPr="0012284A">
        <w:rPr>
          <w:i/>
          <w:sz w:val="24"/>
          <w:szCs w:val="24"/>
        </w:rPr>
        <w:t xml:space="preserve">Principles of International Criminal Law </w:t>
      </w:r>
      <w:r w:rsidRPr="0012284A">
        <w:rPr>
          <w:sz w:val="24"/>
          <w:szCs w:val="24"/>
        </w:rPr>
        <w:t xml:space="preserve">(3rd </w:t>
      </w:r>
      <w:r>
        <w:rPr>
          <w:sz w:val="24"/>
          <w:szCs w:val="24"/>
        </w:rPr>
        <w:t>edn.</w:t>
      </w:r>
      <w:r w:rsidRPr="0012284A">
        <w:rPr>
          <w:sz w:val="24"/>
          <w:szCs w:val="24"/>
        </w:rPr>
        <w:t>, Oxford University Press, 2014), at 358.</w:t>
      </w:r>
    </w:p>
  </w:footnote>
  <w:footnote w:id="69">
    <w:p w14:paraId="3C9F7E5F"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Ibid.</w:t>
      </w:r>
    </w:p>
  </w:footnote>
  <w:footnote w:id="70">
    <w:p w14:paraId="4DBFD229" w14:textId="4DC72F52"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00DA1282">
        <w:rPr>
          <w:rFonts w:ascii="Times New Roman" w:hAnsi="Times New Roman" w:cs="Times New Roman"/>
          <w:lang w:val="en-US"/>
        </w:rPr>
        <w:t xml:space="preserve">Art. 7(1)(d) </w:t>
      </w:r>
      <w:r w:rsidRPr="0012284A">
        <w:rPr>
          <w:rFonts w:ascii="Times New Roman" w:hAnsi="Times New Roman" w:cs="Times New Roman"/>
          <w:lang w:val="en-US"/>
        </w:rPr>
        <w:t>Elements of Crimes.</w:t>
      </w:r>
    </w:p>
  </w:footnote>
  <w:footnote w:id="71">
    <w:p w14:paraId="52EE4BF4"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12(2) ICCSt., see also</w:t>
      </w:r>
      <w:r w:rsidRPr="0012284A">
        <w:rPr>
          <w:rFonts w:ascii="Times New Roman" w:hAnsi="Times New Roman" w:cs="Times New Roman"/>
          <w:i/>
          <w:lang w:val="en-US"/>
        </w:rPr>
        <w:t xml:space="preserve"> </w:t>
      </w:r>
      <w:r w:rsidRPr="0012284A">
        <w:rPr>
          <w:rFonts w:ascii="Times New Roman" w:hAnsi="Times New Roman" w:cs="Times New Roman"/>
          <w:lang w:val="en-US"/>
        </w:rPr>
        <w:t xml:space="preserve">Art. 13(a) ICCSt., Art. 13(c) ICCSt. and Art. 15 ICCSt. </w:t>
      </w:r>
    </w:p>
  </w:footnote>
  <w:footnote w:id="72">
    <w:p w14:paraId="1AE4C069"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12(2) ICCSt.</w:t>
      </w:r>
    </w:p>
  </w:footnote>
  <w:footnote w:id="73">
    <w:p w14:paraId="54B63DC8" w14:textId="45D7E3A6"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Decision on Prosecution’s Request, </w:t>
      </w:r>
      <w:r w:rsidRPr="0012284A">
        <w:rPr>
          <w:rFonts w:ascii="Times New Roman" w:hAnsi="Times New Roman" w:cs="Times New Roman"/>
          <w:i/>
        </w:rPr>
        <w:t xml:space="preserve">supra </w:t>
      </w:r>
      <w:r w:rsidR="005C2740">
        <w:rPr>
          <w:rFonts w:ascii="Times New Roman" w:hAnsi="Times New Roman" w:cs="Times New Roman"/>
        </w:rPr>
        <w:t>note 48</w:t>
      </w:r>
      <w:r w:rsidRPr="0012284A">
        <w:rPr>
          <w:rFonts w:ascii="Times New Roman" w:hAnsi="Times New Roman" w:cs="Times New Roman"/>
        </w:rPr>
        <w:t xml:space="preserve">, at </w:t>
      </w:r>
      <w:r w:rsidRPr="0012284A">
        <w:rPr>
          <w:rFonts w:ascii="Times New Roman" w:hAnsi="Times New Roman" w:cs="Times New Roman"/>
          <w:color w:val="000000"/>
        </w:rPr>
        <w:t>¶ 64.</w:t>
      </w:r>
    </w:p>
  </w:footnote>
  <w:footnote w:id="74">
    <w:p w14:paraId="6E6CFFFD"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71.</w:t>
      </w:r>
    </w:p>
  </w:footnote>
  <w:footnote w:id="75">
    <w:p w14:paraId="66A5810C"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73.</w:t>
      </w:r>
    </w:p>
  </w:footnote>
  <w:footnote w:id="76">
    <w:p w14:paraId="55F061F4" w14:textId="77777777" w:rsidR="00114F82" w:rsidRPr="0012284A" w:rsidRDefault="00114F82" w:rsidP="00754A4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12(2)(a) ICCSt.</w:t>
      </w:r>
    </w:p>
  </w:footnote>
  <w:footnote w:id="77">
    <w:p w14:paraId="221D0874" w14:textId="251405CA"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rPr>
        <w:t xml:space="preserve">43-47. </w:t>
      </w:r>
    </w:p>
  </w:footnote>
  <w:footnote w:id="78">
    <w:p w14:paraId="4EDA1C1D"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w:t>
      </w:r>
      <w:r w:rsidRPr="0012284A">
        <w:rPr>
          <w:rFonts w:ascii="Times New Roman" w:hAnsi="Times New Roman" w:cs="Times New Roman"/>
          <w:lang w:val="en-US"/>
        </w:rPr>
        <w:t xml:space="preserve"> 43; </w:t>
      </w:r>
      <w:r w:rsidRPr="00DA1282">
        <w:rPr>
          <w:rFonts w:ascii="Times New Roman" w:hAnsi="Times New Roman" w:cs="Times New Roman"/>
          <w:lang w:val="en-US"/>
        </w:rPr>
        <w:t>see also</w:t>
      </w:r>
      <w:r w:rsidRPr="0012284A">
        <w:rPr>
          <w:rFonts w:ascii="Times New Roman" w:hAnsi="Times New Roman" w:cs="Times New Roman"/>
          <w:i/>
          <w:lang w:val="en-US"/>
        </w:rPr>
        <w:t xml:space="preserve"> </w:t>
      </w:r>
      <w:r w:rsidRPr="0012284A">
        <w:rPr>
          <w:rFonts w:ascii="Times New Roman" w:hAnsi="Times New Roman" w:cs="Times New Roman"/>
          <w:lang w:val="en-US"/>
        </w:rPr>
        <w:t>Vienna Convention on the Law of Treaties Art 31(1).</w:t>
      </w:r>
    </w:p>
  </w:footnote>
  <w:footnote w:id="79">
    <w:p w14:paraId="20755370"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w:t>
      </w:r>
      <w:r w:rsidRPr="0012284A">
        <w:rPr>
          <w:rFonts w:ascii="Times New Roman" w:hAnsi="Times New Roman" w:cs="Times New Roman"/>
          <w:lang w:val="en-US"/>
        </w:rPr>
        <w:t xml:space="preserve"> 44 (original emphasis).</w:t>
      </w:r>
    </w:p>
  </w:footnote>
  <w:footnote w:id="80">
    <w:p w14:paraId="588D07C7" w14:textId="7141241B"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rPr>
        <w:t xml:space="preserve">The Concise Oxford English Dictionary </w:t>
      </w:r>
      <w:r w:rsidRPr="0012284A">
        <w:rPr>
          <w:rFonts w:ascii="Times New Roman" w:hAnsi="Times New Roman" w:cs="Times New Roman"/>
        </w:rPr>
        <w:t xml:space="preserve">(11th </w:t>
      </w:r>
      <w:r>
        <w:rPr>
          <w:rFonts w:ascii="Times New Roman" w:hAnsi="Times New Roman" w:cs="Times New Roman"/>
        </w:rPr>
        <w:t>edn.</w:t>
      </w:r>
      <w:r w:rsidRPr="0012284A">
        <w:rPr>
          <w:rFonts w:ascii="Times New Roman" w:hAnsi="Times New Roman" w:cs="Times New Roman"/>
        </w:rPr>
        <w:t xml:space="preserve">, Oxford University Press, 2008); B. A. Garner, </w:t>
      </w:r>
      <w:r w:rsidRPr="0012284A">
        <w:rPr>
          <w:rFonts w:ascii="Times New Roman" w:hAnsi="Times New Roman" w:cs="Times New Roman"/>
          <w:i/>
        </w:rPr>
        <w:t xml:space="preserve">Black’s Law Dictionary </w:t>
      </w:r>
      <w:r w:rsidRPr="0012284A">
        <w:rPr>
          <w:rFonts w:ascii="Times New Roman" w:hAnsi="Times New Roman" w:cs="Times New Roman"/>
        </w:rPr>
        <w:t xml:space="preserve">(10th </w:t>
      </w:r>
      <w:r>
        <w:rPr>
          <w:rFonts w:ascii="Times New Roman" w:hAnsi="Times New Roman" w:cs="Times New Roman"/>
        </w:rPr>
        <w:t>edn.</w:t>
      </w:r>
      <w:r w:rsidRPr="0012284A">
        <w:rPr>
          <w:rFonts w:ascii="Times New Roman" w:hAnsi="Times New Roman" w:cs="Times New Roman"/>
        </w:rPr>
        <w:t>, Thomson Reuters, 2014).</w:t>
      </w:r>
    </w:p>
  </w:footnote>
  <w:footnote w:id="81">
    <w:p w14:paraId="5E202236" w14:textId="53FA104A"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R. Gardiner, </w:t>
      </w:r>
      <w:r w:rsidRPr="0012284A">
        <w:rPr>
          <w:rFonts w:ascii="Times New Roman" w:hAnsi="Times New Roman" w:cs="Times New Roman"/>
          <w:i/>
        </w:rPr>
        <w:t xml:space="preserve">Treaty Interpretation </w:t>
      </w:r>
      <w:r w:rsidRPr="0012284A">
        <w:rPr>
          <w:rFonts w:ascii="Times New Roman" w:hAnsi="Times New Roman" w:cs="Times New Roman"/>
        </w:rPr>
        <w:t xml:space="preserve">(2nd. </w:t>
      </w:r>
      <w:r>
        <w:rPr>
          <w:rFonts w:ascii="Times New Roman" w:hAnsi="Times New Roman" w:cs="Times New Roman"/>
        </w:rPr>
        <w:t>edn.</w:t>
      </w:r>
      <w:r w:rsidRPr="0012284A">
        <w:rPr>
          <w:rFonts w:ascii="Times New Roman" w:hAnsi="Times New Roman" w:cs="Times New Roman"/>
        </w:rPr>
        <w:t xml:space="preserve">, Oxford University Press, 2015), at </w:t>
      </w:r>
      <w:r w:rsidRPr="0012284A">
        <w:rPr>
          <w:rFonts w:ascii="Times New Roman" w:hAnsi="Times New Roman" w:cs="Times New Roman"/>
          <w:lang w:val="en-US"/>
        </w:rPr>
        <w:t>194.</w:t>
      </w:r>
    </w:p>
  </w:footnote>
  <w:footnote w:id="82">
    <w:p w14:paraId="11CD55E0" w14:textId="2F397C09"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A. Cassese, </w:t>
      </w:r>
      <w:r w:rsidRPr="0012284A">
        <w:rPr>
          <w:rFonts w:ascii="Times New Roman" w:hAnsi="Times New Roman" w:cs="Times New Roman"/>
          <w:i/>
          <w:lang w:val="en-US"/>
        </w:rPr>
        <w:t xml:space="preserve">Cassese’s International Criminal Law </w:t>
      </w:r>
      <w:r w:rsidRPr="0012284A">
        <w:rPr>
          <w:rFonts w:ascii="Times New Roman" w:hAnsi="Times New Roman" w:cs="Times New Roman"/>
          <w:lang w:val="en-US"/>
        </w:rPr>
        <w:t>(Oxford University Press, 2013), at 38.</w:t>
      </w:r>
    </w:p>
  </w:footnote>
  <w:footnote w:id="83">
    <w:p w14:paraId="0D642734" w14:textId="4B5838D0"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G. Werle, ‘General Principles of International Law’, in A. Cassese (ed.), </w:t>
      </w:r>
      <w:r w:rsidRPr="0012284A">
        <w:rPr>
          <w:rFonts w:ascii="Times New Roman" w:hAnsi="Times New Roman" w:cs="Times New Roman"/>
          <w:i/>
          <w:lang w:val="en-US"/>
        </w:rPr>
        <w:t xml:space="preserve">The Oxford Companion to International Criminal Justice </w:t>
      </w:r>
      <w:r w:rsidRPr="0012284A">
        <w:rPr>
          <w:rFonts w:ascii="Times New Roman" w:hAnsi="Times New Roman" w:cs="Times New Roman"/>
          <w:lang w:val="en-US"/>
        </w:rPr>
        <w:t>(Oxford University Press, 2009), at 56.</w:t>
      </w:r>
    </w:p>
  </w:footnote>
  <w:footnote w:id="84">
    <w:p w14:paraId="5640AB8A" w14:textId="128871B6"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D. Guilfoyle, </w:t>
      </w:r>
      <w:r w:rsidRPr="0012284A">
        <w:rPr>
          <w:rFonts w:ascii="Times New Roman" w:hAnsi="Times New Roman" w:cs="Times New Roman"/>
          <w:i/>
          <w:lang w:val="en-US"/>
        </w:rPr>
        <w:t xml:space="preserve">International Criminal Law </w:t>
      </w:r>
      <w:r w:rsidRPr="0012284A">
        <w:rPr>
          <w:rFonts w:ascii="Times New Roman" w:hAnsi="Times New Roman" w:cs="Times New Roman"/>
          <w:lang w:val="en-US"/>
        </w:rPr>
        <w:t>(Oxford University Press, 2015), at 187.</w:t>
      </w:r>
    </w:p>
  </w:footnote>
  <w:footnote w:id="85">
    <w:p w14:paraId="0A01A913" w14:textId="4ADD4154"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7 ICCSt.</w:t>
      </w:r>
    </w:p>
  </w:footnote>
  <w:footnote w:id="86">
    <w:p w14:paraId="7CBFEC81" w14:textId="5945B263"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Art. 7 </w:t>
      </w:r>
      <w:r w:rsidRPr="0012284A">
        <w:rPr>
          <w:rFonts w:ascii="Times New Roman" w:hAnsi="Times New Roman" w:cs="Times New Roman"/>
          <w:lang w:val="en-US"/>
        </w:rPr>
        <w:t>Elements of Crimes.</w:t>
      </w:r>
    </w:p>
  </w:footnote>
  <w:footnote w:id="87">
    <w:p w14:paraId="69E11050"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General Introduction, Elements of Crimes.</w:t>
      </w:r>
    </w:p>
  </w:footnote>
  <w:footnote w:id="88">
    <w:p w14:paraId="5FF1B6AE" w14:textId="7FA00DED" w:rsidR="00114F82" w:rsidRPr="0012284A" w:rsidRDefault="00114F82" w:rsidP="000E687E">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rPr>
        <w:t>46.</w:t>
      </w:r>
    </w:p>
  </w:footnote>
  <w:footnote w:id="89">
    <w:p w14:paraId="56FA1145" w14:textId="422BB25B" w:rsidR="00114F82" w:rsidRPr="0012284A" w:rsidRDefault="00114F82" w:rsidP="000E687E">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rPr>
        <w:t>46.</w:t>
      </w:r>
    </w:p>
  </w:footnote>
  <w:footnote w:id="90">
    <w:p w14:paraId="527558A9" w14:textId="77777777" w:rsidR="00114F82" w:rsidRPr="0012284A" w:rsidRDefault="00114F82" w:rsidP="000E687E">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w:t>
      </w:r>
    </w:p>
  </w:footnote>
  <w:footnote w:id="91">
    <w:p w14:paraId="7AD72801" w14:textId="77777777" w:rsidR="00114F82" w:rsidRPr="0012284A" w:rsidRDefault="00114F82" w:rsidP="000E687E">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22(1) ICCSt.</w:t>
      </w:r>
    </w:p>
  </w:footnote>
  <w:footnote w:id="92">
    <w:p w14:paraId="032F6304" w14:textId="77777777" w:rsidR="00114F82" w:rsidRPr="0012284A" w:rsidRDefault="00114F82" w:rsidP="000E687E">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17(1)(c) ICCSt.</w:t>
      </w:r>
    </w:p>
  </w:footnote>
  <w:footnote w:id="93">
    <w:p w14:paraId="4BF64D25" w14:textId="77777777" w:rsidR="00114F82" w:rsidRPr="0012284A" w:rsidRDefault="00114F82" w:rsidP="000E687E">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20 ICCSt.</w:t>
      </w:r>
    </w:p>
  </w:footnote>
  <w:footnote w:id="94">
    <w:p w14:paraId="0667AB06" w14:textId="572D6A7B"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 citing</w:t>
      </w:r>
      <w:r w:rsidRPr="0012284A">
        <w:rPr>
          <w:rFonts w:ascii="Times New Roman" w:hAnsi="Times New Roman" w:cs="Times New Roman"/>
          <w:i/>
          <w:lang w:val="en-US"/>
        </w:rPr>
        <w:t xml:space="preserve"> </w:t>
      </w:r>
      <w:r w:rsidRPr="0012284A">
        <w:rPr>
          <w:rFonts w:ascii="Times New Roman" w:hAnsi="Times New Roman" w:cs="Times New Roman"/>
          <w:lang w:val="en-US"/>
        </w:rPr>
        <w:t xml:space="preserve">M. Kelt and H. Van Hebel, ‘What Are Elements of Crimes?’, in R.S. Lee (ed.), </w:t>
      </w:r>
      <w:r w:rsidRPr="0012284A">
        <w:rPr>
          <w:rFonts w:ascii="Times New Roman" w:hAnsi="Times New Roman" w:cs="Times New Roman"/>
          <w:i/>
          <w:lang w:val="en-US"/>
        </w:rPr>
        <w:t xml:space="preserve">The International Criminal Court” Elements of Crimes and Rules of Procedure and Evidence </w:t>
      </w:r>
      <w:r w:rsidRPr="0012284A">
        <w:rPr>
          <w:rFonts w:ascii="Times New Roman" w:hAnsi="Times New Roman" w:cs="Times New Roman"/>
          <w:lang w:val="en-US"/>
        </w:rPr>
        <w:t>(Ardsley: Transnational Publishers, 1999), at 15, 26-7, 39-40.</w:t>
      </w:r>
    </w:p>
  </w:footnote>
  <w:footnote w:id="95">
    <w:p w14:paraId="5218C039" w14:textId="66737CC9"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f</w:t>
      </w:r>
      <w:r w:rsidRPr="0012284A">
        <w:rPr>
          <w:rFonts w:ascii="Times New Roman" w:hAnsi="Times New Roman" w:cs="Times New Roman"/>
        </w:rPr>
        <w:t>n. 109.</w:t>
      </w:r>
    </w:p>
  </w:footnote>
  <w:footnote w:id="96">
    <w:p w14:paraId="1A9329A5"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General Introduction, Elements of Crimes.</w:t>
      </w:r>
    </w:p>
  </w:footnote>
  <w:footnote w:id="97">
    <w:p w14:paraId="1AB157BD"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98">
    <w:p w14:paraId="207FBB5D" w14:textId="15503560"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lang w:val="en-US"/>
        </w:rPr>
        <w:t xml:space="preserve"> Werle, </w:t>
      </w:r>
      <w:r w:rsidRPr="0012284A">
        <w:rPr>
          <w:rFonts w:ascii="Times New Roman" w:hAnsi="Times New Roman" w:cs="Times New Roman"/>
          <w:i/>
          <w:lang w:val="en-US"/>
        </w:rPr>
        <w:t xml:space="preserve">supra </w:t>
      </w:r>
      <w:r w:rsidR="005C2740">
        <w:rPr>
          <w:rFonts w:ascii="Times New Roman" w:hAnsi="Times New Roman" w:cs="Times New Roman"/>
          <w:lang w:val="en-US"/>
        </w:rPr>
        <w:t>note 83</w:t>
      </w:r>
      <w:r w:rsidRPr="0012284A">
        <w:rPr>
          <w:rFonts w:ascii="Times New Roman" w:hAnsi="Times New Roman" w:cs="Times New Roman"/>
          <w:lang w:val="en-US"/>
        </w:rPr>
        <w:t>, at 56.</w:t>
      </w:r>
    </w:p>
  </w:footnote>
  <w:footnote w:id="99">
    <w:p w14:paraId="5F43A01F" w14:textId="177F070C"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A. Cassese, </w:t>
      </w:r>
      <w:r w:rsidRPr="0012284A">
        <w:rPr>
          <w:rFonts w:ascii="Times New Roman" w:hAnsi="Times New Roman" w:cs="Times New Roman"/>
          <w:i/>
          <w:lang w:val="en-US"/>
        </w:rPr>
        <w:t xml:space="preserve">Cassese’s International Criminal Law </w:t>
      </w:r>
      <w:r w:rsidRPr="0012284A">
        <w:rPr>
          <w:rFonts w:ascii="Times New Roman" w:hAnsi="Times New Roman" w:cs="Times New Roman"/>
          <w:lang w:val="en-US"/>
        </w:rPr>
        <w:t>(Oxford University Press, 2013), 38.</w:t>
      </w:r>
    </w:p>
  </w:footnote>
  <w:footnote w:id="100">
    <w:p w14:paraId="4062AE16" w14:textId="7F3E061C"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K. Ambos, </w:t>
      </w:r>
      <w:r w:rsidRPr="0012284A">
        <w:rPr>
          <w:rFonts w:ascii="Times New Roman" w:hAnsi="Times New Roman" w:cs="Times New Roman"/>
          <w:i/>
          <w:lang w:val="en-US"/>
        </w:rPr>
        <w:t>Treatise on International Criminal Law: Volume III: International Criminal Procedure</w:t>
      </w:r>
      <w:r w:rsidRPr="0012284A">
        <w:rPr>
          <w:rFonts w:ascii="Times New Roman" w:hAnsi="Times New Roman" w:cs="Times New Roman"/>
          <w:lang w:val="en-US"/>
        </w:rPr>
        <w:t xml:space="preserve"> (Oxford University Press, 2016), 247, fn. 276.</w:t>
      </w:r>
    </w:p>
  </w:footnote>
  <w:footnote w:id="101">
    <w:p w14:paraId="24BD6041"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 at 247.</w:t>
      </w:r>
    </w:p>
  </w:footnote>
  <w:footnote w:id="102">
    <w:p w14:paraId="1022646C" w14:textId="5A49158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Art. 7(1)(d), Elements of Crimes.</w:t>
      </w:r>
    </w:p>
  </w:footnote>
  <w:footnote w:id="103">
    <w:p w14:paraId="12734FAA"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lang w:val="en-US"/>
        </w:rPr>
        <w:t>Situation in the Republic of Korea</w:t>
      </w:r>
      <w:r w:rsidRPr="0012284A">
        <w:rPr>
          <w:rFonts w:ascii="Times New Roman" w:hAnsi="Times New Roman" w:cs="Times New Roman"/>
          <w:lang w:val="en-US"/>
        </w:rPr>
        <w:t xml:space="preserve"> (Article 5 Report) Office of the Prosecutor (June 2014) </w:t>
      </w:r>
      <w:r w:rsidRPr="0012284A">
        <w:rPr>
          <w:rFonts w:ascii="Times New Roman" w:hAnsi="Times New Roman" w:cs="Times New Roman"/>
          <w:color w:val="000000"/>
        </w:rPr>
        <w:t>¶ 30.</w:t>
      </w:r>
    </w:p>
  </w:footnote>
  <w:footnote w:id="104">
    <w:p w14:paraId="6CC3EAB9"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38-9.</w:t>
      </w:r>
    </w:p>
  </w:footnote>
  <w:footnote w:id="105">
    <w:p w14:paraId="33109D5D"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39.</w:t>
      </w:r>
    </w:p>
  </w:footnote>
  <w:footnote w:id="106">
    <w:p w14:paraId="1F71D0D4"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07">
    <w:p w14:paraId="6C6518E6"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rPr>
        <w:t>Situation on Registered Vessels of Comoros, Greece and Cambodia</w:t>
      </w:r>
      <w:r w:rsidRPr="0012284A">
        <w:rPr>
          <w:rFonts w:ascii="Times New Roman" w:hAnsi="Times New Roman" w:cs="Times New Roman"/>
          <w:lang w:val="en-US"/>
        </w:rPr>
        <w:t xml:space="preserve"> (Article 53(1) Report) Prosecutor’s Office (6 November 2014).</w:t>
      </w:r>
    </w:p>
  </w:footnote>
  <w:footnote w:id="108">
    <w:p w14:paraId="7D791F1F"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3.</w:t>
      </w:r>
    </w:p>
  </w:footnote>
  <w:footnote w:id="109">
    <w:p w14:paraId="2AABD3EF"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16.</w:t>
      </w:r>
    </w:p>
  </w:footnote>
  <w:footnote w:id="110">
    <w:p w14:paraId="1CEE526A"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 at 13, fn 21.</w:t>
      </w:r>
    </w:p>
  </w:footnote>
  <w:footnote w:id="111">
    <w:p w14:paraId="7DDC7722" w14:textId="7AA882D3"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lang w:val="en-US"/>
        </w:rPr>
        <w:t>49.</w:t>
      </w:r>
    </w:p>
  </w:footnote>
  <w:footnote w:id="112">
    <w:p w14:paraId="0DD35043" w14:textId="654C2B65"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Pr>
          <w:rFonts w:ascii="Times New Roman" w:hAnsi="Times New Roman" w:cs="Times New Roman"/>
        </w:rPr>
        <w:t>Ibid</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lang w:val="en-US"/>
        </w:rPr>
        <w:t>40.</w:t>
      </w:r>
    </w:p>
  </w:footnote>
  <w:footnote w:id="113">
    <w:p w14:paraId="7EBAC605" w14:textId="4DFC9CDB"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Decision on Prosecution’s Request, </w:t>
      </w:r>
      <w:r w:rsidRPr="0012284A">
        <w:rPr>
          <w:rFonts w:ascii="Times New Roman" w:hAnsi="Times New Roman" w:cs="Times New Roman"/>
          <w:i/>
        </w:rPr>
        <w:t xml:space="preserve">supra </w:t>
      </w:r>
      <w:r w:rsidR="005C2740">
        <w:rPr>
          <w:rFonts w:ascii="Times New Roman" w:hAnsi="Times New Roman" w:cs="Times New Roman"/>
        </w:rPr>
        <w:t>note 48</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lang w:val="en-US"/>
        </w:rPr>
        <w:t>70.</w:t>
      </w:r>
    </w:p>
  </w:footnote>
  <w:footnote w:id="114">
    <w:p w14:paraId="5E4BAA0C"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15">
    <w:p w14:paraId="17C76E7F" w14:textId="633B3755"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lang w:val="en-US"/>
        </w:rPr>
        <w:t>40.</w:t>
      </w:r>
    </w:p>
  </w:footnote>
  <w:footnote w:id="116">
    <w:p w14:paraId="58E6B356"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17">
    <w:p w14:paraId="257AC2BC" w14:textId="77777777" w:rsidR="00114F82" w:rsidRPr="0012284A" w:rsidRDefault="00114F82" w:rsidP="00254B3C">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18">
    <w:p w14:paraId="13F92C15" w14:textId="6E1B201C" w:rsidR="00114F82" w:rsidRPr="0012284A" w:rsidRDefault="00114F82" w:rsidP="00D736E4">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Prosecution’s Request, </w:t>
      </w:r>
      <w:r w:rsidRPr="0012284A">
        <w:rPr>
          <w:rFonts w:ascii="Times New Roman" w:hAnsi="Times New Roman" w:cs="Times New Roman"/>
          <w:i/>
        </w:rPr>
        <w:t xml:space="preserve">supra </w:t>
      </w:r>
      <w:r w:rsidR="005C2740">
        <w:rPr>
          <w:rFonts w:ascii="Times New Roman" w:hAnsi="Times New Roman" w:cs="Times New Roman"/>
        </w:rPr>
        <w:t>note 33</w:t>
      </w:r>
      <w:r w:rsidRPr="0012284A">
        <w:rPr>
          <w:rFonts w:ascii="Times New Roman" w:hAnsi="Times New Roman" w:cs="Times New Roman"/>
        </w:rPr>
        <w:t xml:space="preserve">, at </w:t>
      </w:r>
      <w:r w:rsidRPr="0012284A">
        <w:rPr>
          <w:rFonts w:ascii="Times New Roman" w:hAnsi="Times New Roman" w:cs="Times New Roman"/>
          <w:color w:val="000000"/>
        </w:rPr>
        <w:t xml:space="preserve">¶ </w:t>
      </w:r>
      <w:r w:rsidRPr="0012284A">
        <w:rPr>
          <w:rFonts w:ascii="Times New Roman" w:hAnsi="Times New Roman" w:cs="Times New Roman"/>
          <w:lang w:val="en-US"/>
        </w:rPr>
        <w:t>49.</w:t>
      </w:r>
    </w:p>
  </w:footnote>
  <w:footnote w:id="119">
    <w:p w14:paraId="591CE9DC" w14:textId="576D81B9" w:rsidR="00114F82" w:rsidRPr="0012284A" w:rsidRDefault="00114F82" w:rsidP="00D736E4">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Ambos, </w:t>
      </w:r>
      <w:r w:rsidRPr="0012284A">
        <w:rPr>
          <w:rFonts w:ascii="Times New Roman" w:hAnsi="Times New Roman" w:cs="Times New Roman"/>
          <w:i/>
          <w:lang w:val="en-US"/>
        </w:rPr>
        <w:t>Treatise III</w:t>
      </w:r>
      <w:r w:rsidRPr="0012284A">
        <w:rPr>
          <w:rFonts w:ascii="Times New Roman" w:hAnsi="Times New Roman" w:cs="Times New Roman"/>
          <w:lang w:val="en-US"/>
        </w:rPr>
        <w:t xml:space="preserve">, </w:t>
      </w:r>
      <w:r w:rsidRPr="0012284A">
        <w:rPr>
          <w:rFonts w:ascii="Times New Roman" w:hAnsi="Times New Roman" w:cs="Times New Roman"/>
          <w:i/>
          <w:lang w:val="en-US"/>
        </w:rPr>
        <w:t>supra</w:t>
      </w:r>
      <w:r w:rsidR="005C2740">
        <w:rPr>
          <w:rFonts w:ascii="Times New Roman" w:hAnsi="Times New Roman" w:cs="Times New Roman"/>
          <w:lang w:val="en-US"/>
        </w:rPr>
        <w:t xml:space="preserve"> note 100</w:t>
      </w:r>
      <w:r w:rsidRPr="0012284A">
        <w:rPr>
          <w:rFonts w:ascii="Times New Roman" w:hAnsi="Times New Roman" w:cs="Times New Roman"/>
          <w:lang w:val="en-US"/>
        </w:rPr>
        <w:t>, at 211.</w:t>
      </w:r>
    </w:p>
  </w:footnote>
  <w:footnote w:id="120">
    <w:p w14:paraId="45447AA8" w14:textId="3F223C80" w:rsidR="00114F82" w:rsidRPr="0012284A" w:rsidRDefault="00114F82" w:rsidP="00D736E4">
      <w:pPr>
        <w:rPr>
          <w:rFonts w:ascii="Times New Roman" w:eastAsia="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i/>
          <w:lang w:val="en-US"/>
        </w:rPr>
        <w:t>Lotus</w:t>
      </w:r>
      <w:r w:rsidRPr="0012284A">
        <w:rPr>
          <w:rFonts w:ascii="Times New Roman" w:hAnsi="Times New Roman" w:cs="Times New Roman"/>
          <w:lang w:val="en-US"/>
        </w:rPr>
        <w:t xml:space="preserve">, </w:t>
      </w:r>
      <w:r w:rsidRPr="0012284A">
        <w:rPr>
          <w:rFonts w:ascii="Times New Roman" w:eastAsia="Times New Roman" w:hAnsi="Times New Roman" w:cs="Times New Roman"/>
          <w:shd w:val="clear" w:color="auto" w:fill="FFFFFF"/>
          <w:lang w:val="en-US"/>
        </w:rPr>
        <w:t>1927 P.C.I.J. (ser. A) No. 10, at 23; see also</w:t>
      </w:r>
      <w:r w:rsidRPr="0012284A">
        <w:rPr>
          <w:rFonts w:ascii="Times New Roman" w:eastAsia="Times New Roman" w:hAnsi="Times New Roman" w:cs="Times New Roman"/>
          <w:i/>
          <w:shd w:val="clear" w:color="auto" w:fill="FFFFFF"/>
          <w:lang w:val="en-US"/>
        </w:rPr>
        <w:t xml:space="preserve"> </w:t>
      </w:r>
      <w:r w:rsidRPr="0012284A">
        <w:rPr>
          <w:rFonts w:ascii="Times New Roman" w:hAnsi="Times New Roman" w:cs="Times New Roman"/>
          <w:lang w:val="en-US"/>
        </w:rPr>
        <w:t xml:space="preserve">Ambos, </w:t>
      </w:r>
      <w:r w:rsidRPr="0012284A">
        <w:rPr>
          <w:rFonts w:ascii="Times New Roman" w:hAnsi="Times New Roman" w:cs="Times New Roman"/>
          <w:i/>
          <w:lang w:val="en-US"/>
        </w:rPr>
        <w:t>Treatise III</w:t>
      </w:r>
      <w:r w:rsidRPr="0012284A">
        <w:rPr>
          <w:rFonts w:ascii="Times New Roman" w:hAnsi="Times New Roman" w:cs="Times New Roman"/>
          <w:lang w:val="en-US"/>
        </w:rPr>
        <w:t xml:space="preserve">, </w:t>
      </w:r>
      <w:r w:rsidRPr="0012284A">
        <w:rPr>
          <w:rFonts w:ascii="Times New Roman" w:hAnsi="Times New Roman" w:cs="Times New Roman"/>
          <w:i/>
          <w:lang w:val="en-US"/>
        </w:rPr>
        <w:t>supra</w:t>
      </w:r>
      <w:r w:rsidR="005C2740">
        <w:rPr>
          <w:rFonts w:ascii="Times New Roman" w:hAnsi="Times New Roman" w:cs="Times New Roman"/>
          <w:lang w:val="en-US"/>
        </w:rPr>
        <w:t>. note 100</w:t>
      </w:r>
      <w:r w:rsidRPr="0012284A">
        <w:rPr>
          <w:rFonts w:ascii="Times New Roman" w:hAnsi="Times New Roman" w:cs="Times New Roman"/>
          <w:lang w:val="en-US"/>
        </w:rPr>
        <w:t>, at 212.</w:t>
      </w:r>
    </w:p>
  </w:footnote>
  <w:footnote w:id="121">
    <w:p w14:paraId="6F2261C9" w14:textId="5236C97E" w:rsidR="00114F82" w:rsidRPr="0012284A" w:rsidRDefault="00114F82" w:rsidP="00D736E4">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Ambos, </w:t>
      </w:r>
      <w:r w:rsidRPr="0012284A">
        <w:rPr>
          <w:rFonts w:ascii="Times New Roman" w:hAnsi="Times New Roman" w:cs="Times New Roman"/>
          <w:i/>
          <w:lang w:val="en-US"/>
        </w:rPr>
        <w:t>Treatise III</w:t>
      </w:r>
      <w:r w:rsidRPr="0012284A">
        <w:rPr>
          <w:rFonts w:ascii="Times New Roman" w:hAnsi="Times New Roman" w:cs="Times New Roman"/>
          <w:lang w:val="en-US"/>
        </w:rPr>
        <w:t xml:space="preserve">, </w:t>
      </w:r>
      <w:r w:rsidRPr="0012284A">
        <w:rPr>
          <w:rFonts w:ascii="Times New Roman" w:hAnsi="Times New Roman" w:cs="Times New Roman"/>
          <w:i/>
          <w:lang w:val="en-US"/>
        </w:rPr>
        <w:t>supra</w:t>
      </w:r>
      <w:r w:rsidR="005C2740">
        <w:rPr>
          <w:rFonts w:ascii="Times New Roman" w:hAnsi="Times New Roman" w:cs="Times New Roman"/>
          <w:lang w:val="en-US"/>
        </w:rPr>
        <w:t xml:space="preserve"> note 100</w:t>
      </w:r>
      <w:r w:rsidRPr="0012284A">
        <w:rPr>
          <w:rFonts w:ascii="Times New Roman" w:hAnsi="Times New Roman" w:cs="Times New Roman"/>
          <w:lang w:val="en-US"/>
        </w:rPr>
        <w:t>, at 212.</w:t>
      </w:r>
    </w:p>
  </w:footnote>
  <w:footnote w:id="122">
    <w:p w14:paraId="774B3F6C" w14:textId="0FD77329"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M. Vagias, </w:t>
      </w:r>
      <w:r w:rsidRPr="0012284A">
        <w:rPr>
          <w:rFonts w:ascii="Times New Roman" w:hAnsi="Times New Roman" w:cs="Times New Roman"/>
          <w:i/>
          <w:lang w:val="en-US"/>
        </w:rPr>
        <w:t>The Territorial Jurisdiction of the International Criminal Court</w:t>
      </w:r>
      <w:r>
        <w:rPr>
          <w:rFonts w:ascii="Times New Roman" w:hAnsi="Times New Roman" w:cs="Times New Roman"/>
          <w:lang w:val="en-US"/>
        </w:rPr>
        <w:t xml:space="preserve"> (</w:t>
      </w:r>
      <w:r w:rsidRPr="0012284A">
        <w:rPr>
          <w:rFonts w:ascii="Times New Roman" w:hAnsi="Times New Roman" w:cs="Times New Roman"/>
          <w:lang w:val="en-US"/>
        </w:rPr>
        <w:t xml:space="preserve">Cambridge University Press, 2014), at 162; see also R. Rastan, ‘The Jurisdictional Scope of Situations Before the International Criminal Court’, 23(1) </w:t>
      </w:r>
      <w:r w:rsidRPr="0012284A">
        <w:rPr>
          <w:rFonts w:ascii="Times New Roman" w:hAnsi="Times New Roman" w:cs="Times New Roman"/>
          <w:i/>
          <w:lang w:val="en-US"/>
        </w:rPr>
        <w:t>Criminal Law Forum</w:t>
      </w:r>
      <w:r w:rsidRPr="0012284A">
        <w:rPr>
          <w:rFonts w:ascii="Times New Roman" w:hAnsi="Times New Roman" w:cs="Times New Roman"/>
          <w:lang w:val="en-US"/>
        </w:rPr>
        <w:t xml:space="preserve"> 1-34, 19 (2012).</w:t>
      </w:r>
    </w:p>
  </w:footnote>
  <w:footnote w:id="123">
    <w:p w14:paraId="0A60385B" w14:textId="35A28F99" w:rsidR="00114F82" w:rsidRPr="0012284A" w:rsidRDefault="00114F82" w:rsidP="006563DF">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A. Mills, ‘Rethinking Jurisdiction in International Law’, 84(1) </w:t>
      </w:r>
      <w:r w:rsidRPr="0012284A">
        <w:rPr>
          <w:rFonts w:ascii="Times New Roman" w:hAnsi="Times New Roman" w:cs="Times New Roman"/>
          <w:i/>
          <w:lang w:val="en-US"/>
        </w:rPr>
        <w:t>The British Yearbook of International Law</w:t>
      </w:r>
      <w:r w:rsidRPr="0012284A">
        <w:rPr>
          <w:rFonts w:ascii="Times New Roman" w:hAnsi="Times New Roman" w:cs="Times New Roman"/>
          <w:lang w:val="en-US"/>
        </w:rPr>
        <w:t xml:space="preserve"> (2014) 187-239, 196-7; see also W.A. Schabas and G. Pecorella, ‘Article 12: Preconditions to the Exercise of Jurisdiction’, in </w:t>
      </w:r>
      <w:r w:rsidRPr="0012284A">
        <w:rPr>
          <w:rFonts w:ascii="Times New Roman" w:hAnsi="Times New Roman" w:cs="Times New Roman"/>
          <w:color w:val="000000"/>
          <w:lang w:val="en-US"/>
        </w:rPr>
        <w:t>O. Triffterer and K. Ambos (eds</w:t>
      </w:r>
      <w:r>
        <w:rPr>
          <w:rFonts w:ascii="Times New Roman" w:hAnsi="Times New Roman" w:cs="Times New Roman"/>
          <w:color w:val="000000"/>
          <w:lang w:val="en-US"/>
        </w:rPr>
        <w:t>.</w:t>
      </w:r>
      <w:r w:rsidRPr="0012284A">
        <w:rPr>
          <w:rFonts w:ascii="Times New Roman" w:hAnsi="Times New Roman" w:cs="Times New Roman"/>
          <w:color w:val="000000"/>
          <w:lang w:val="en-US"/>
        </w:rPr>
        <w:t xml:space="preserve">), </w:t>
      </w:r>
      <w:r w:rsidRPr="0012284A">
        <w:rPr>
          <w:rFonts w:ascii="Times New Roman" w:hAnsi="Times New Roman" w:cs="Times New Roman"/>
          <w:i/>
          <w:color w:val="000000"/>
          <w:lang w:val="en-US"/>
        </w:rPr>
        <w:t>Rome Statute of the International Criminal Court: A Commentary</w:t>
      </w:r>
      <w:r w:rsidRPr="0012284A">
        <w:rPr>
          <w:rFonts w:ascii="Times New Roman" w:hAnsi="Times New Roman" w:cs="Times New Roman"/>
          <w:color w:val="000000"/>
          <w:lang w:val="en-US"/>
        </w:rPr>
        <w:t xml:space="preserve"> (3rd </w:t>
      </w:r>
      <w:r>
        <w:rPr>
          <w:rFonts w:ascii="Times New Roman" w:hAnsi="Times New Roman" w:cs="Times New Roman"/>
          <w:color w:val="000000"/>
          <w:lang w:val="en-US"/>
        </w:rPr>
        <w:t>edn.</w:t>
      </w:r>
      <w:r w:rsidRPr="0012284A">
        <w:rPr>
          <w:rFonts w:ascii="Times New Roman" w:hAnsi="Times New Roman" w:cs="Times New Roman"/>
          <w:color w:val="000000"/>
          <w:lang w:val="en-US"/>
        </w:rPr>
        <w:t>, Hart, 2016), at 681.</w:t>
      </w:r>
    </w:p>
  </w:footnote>
  <w:footnote w:id="124">
    <w:p w14:paraId="6254F72F" w14:textId="125222DE"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C. Ryngaert, </w:t>
      </w:r>
      <w:r w:rsidRPr="0012284A">
        <w:rPr>
          <w:rFonts w:ascii="Times New Roman" w:hAnsi="Times New Roman" w:cs="Times New Roman"/>
          <w:i/>
          <w:lang w:val="en-US"/>
        </w:rPr>
        <w:t>Jurisdiction in International Law</w:t>
      </w:r>
      <w:r w:rsidRPr="0012284A">
        <w:rPr>
          <w:rFonts w:ascii="Times New Roman" w:hAnsi="Times New Roman" w:cs="Times New Roman"/>
          <w:lang w:val="en-US"/>
        </w:rPr>
        <w:t xml:space="preserve"> (1st </w:t>
      </w:r>
      <w:r>
        <w:rPr>
          <w:rFonts w:ascii="Times New Roman" w:hAnsi="Times New Roman" w:cs="Times New Roman"/>
          <w:lang w:val="en-US"/>
        </w:rPr>
        <w:t>edn.</w:t>
      </w:r>
      <w:r w:rsidRPr="0012284A">
        <w:rPr>
          <w:rFonts w:ascii="Times New Roman" w:hAnsi="Times New Roman" w:cs="Times New Roman"/>
          <w:lang w:val="en-US"/>
        </w:rPr>
        <w:t>, Oxford University Press, 2008), at 28-9.</w:t>
      </w:r>
    </w:p>
  </w:footnote>
  <w:footnote w:id="125">
    <w:p w14:paraId="6D1CB63F" w14:textId="2BE0FDDD" w:rsidR="00114F82" w:rsidRPr="0012284A" w:rsidRDefault="00114F82" w:rsidP="00FE0ABA">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themeColor="text1"/>
        </w:rPr>
        <w:t xml:space="preserve">D. Luban, ‘Fairness to Rightness: Jurisdiction, Legality, and the Legitimacy of International Criminal Law’, in S. Besson and J. Tasioulas (eds.), </w:t>
      </w:r>
      <w:r w:rsidRPr="0012284A">
        <w:rPr>
          <w:rFonts w:ascii="Times New Roman" w:hAnsi="Times New Roman" w:cs="Times New Roman"/>
          <w:i/>
          <w:color w:val="000000" w:themeColor="text1"/>
        </w:rPr>
        <w:t xml:space="preserve">The Philosophy of International Law </w:t>
      </w:r>
      <w:r w:rsidRPr="0012284A">
        <w:rPr>
          <w:rFonts w:ascii="Times New Roman" w:hAnsi="Times New Roman" w:cs="Times New Roman"/>
          <w:color w:val="000000" w:themeColor="text1"/>
        </w:rPr>
        <w:t xml:space="preserve">(Oxford University Press, 2010), at </w:t>
      </w:r>
      <w:r w:rsidRPr="0012284A">
        <w:rPr>
          <w:rFonts w:ascii="Times New Roman" w:hAnsi="Times New Roman" w:cs="Times New Roman"/>
        </w:rPr>
        <w:t>579.</w:t>
      </w:r>
    </w:p>
  </w:footnote>
  <w:footnote w:id="126">
    <w:p w14:paraId="01886FC6" w14:textId="3EF8DB4E" w:rsidR="00114F82" w:rsidRPr="0012284A" w:rsidRDefault="00114F82" w:rsidP="00FE0ABA">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M. Vagias, ‘The Territorial Jurisdiction of the International Criminal Court – A Jurisdictional Rule of Reason for the ICC?’, 59(1) </w:t>
      </w:r>
      <w:r w:rsidRPr="0012284A">
        <w:rPr>
          <w:rFonts w:ascii="Times New Roman" w:hAnsi="Times New Roman" w:cs="Times New Roman"/>
          <w:i/>
          <w:lang w:val="en-US"/>
        </w:rPr>
        <w:t>Netherlands International Law Review</w:t>
      </w:r>
      <w:r w:rsidRPr="0012284A">
        <w:rPr>
          <w:rFonts w:ascii="Times New Roman" w:hAnsi="Times New Roman" w:cs="Times New Roman"/>
          <w:lang w:val="en-US"/>
        </w:rPr>
        <w:t xml:space="preserve"> 43-64, 46 (2012).</w:t>
      </w:r>
    </w:p>
  </w:footnote>
  <w:footnote w:id="127">
    <w:p w14:paraId="6A34AD28" w14:textId="24909948" w:rsidR="00114F82" w:rsidRPr="0012284A" w:rsidRDefault="00114F82" w:rsidP="00FE0ABA">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see also Vagias, </w:t>
      </w:r>
      <w:r w:rsidRPr="0012284A">
        <w:rPr>
          <w:rFonts w:ascii="Times New Roman" w:hAnsi="Times New Roman" w:cs="Times New Roman"/>
          <w:i/>
          <w:lang w:val="en-US"/>
        </w:rPr>
        <w:t>The Territorial Jurisdiction of the International Criminal Court</w:t>
      </w:r>
      <w:r w:rsidRPr="0012284A">
        <w:rPr>
          <w:rFonts w:ascii="Times New Roman" w:hAnsi="Times New Roman" w:cs="Times New Roman"/>
          <w:lang w:val="en-US"/>
        </w:rPr>
        <w:t xml:space="preserve">, </w:t>
      </w:r>
      <w:r w:rsidRPr="0012284A">
        <w:rPr>
          <w:rFonts w:ascii="Times New Roman" w:hAnsi="Times New Roman" w:cs="Times New Roman"/>
          <w:i/>
          <w:lang w:val="en-US"/>
        </w:rPr>
        <w:t>supra</w:t>
      </w:r>
      <w:r w:rsidR="005C2740">
        <w:rPr>
          <w:rFonts w:ascii="Times New Roman" w:hAnsi="Times New Roman" w:cs="Times New Roman"/>
          <w:lang w:val="en-US"/>
        </w:rPr>
        <w:t>. note 122</w:t>
      </w:r>
      <w:bookmarkStart w:id="0" w:name="_GoBack"/>
      <w:bookmarkEnd w:id="0"/>
      <w:r w:rsidRPr="0012284A">
        <w:rPr>
          <w:rFonts w:ascii="Times New Roman" w:hAnsi="Times New Roman" w:cs="Times New Roman"/>
          <w:lang w:val="en-US"/>
        </w:rPr>
        <w:t xml:space="preserve">, at 161; D. Guilfoyle, ‘The ICC Pre-Trial Chamber Decision on Jurisdiction Over the Situation in Myanmar’, 73(1) </w:t>
      </w:r>
      <w:r w:rsidRPr="0012284A">
        <w:rPr>
          <w:rFonts w:ascii="Times New Roman" w:hAnsi="Times New Roman" w:cs="Times New Roman"/>
          <w:i/>
          <w:lang w:val="en-US"/>
        </w:rPr>
        <w:t>Australian Journal of International Affairs</w:t>
      </w:r>
      <w:r w:rsidRPr="0012284A">
        <w:rPr>
          <w:rFonts w:ascii="Times New Roman" w:hAnsi="Times New Roman" w:cs="Times New Roman"/>
          <w:lang w:val="en-US"/>
        </w:rPr>
        <w:t xml:space="preserve"> 2-8, 4 (2019).</w:t>
      </w:r>
    </w:p>
  </w:footnote>
  <w:footnote w:id="128">
    <w:p w14:paraId="285EB9C6" w14:textId="1AC8AB0E" w:rsidR="00114F82" w:rsidRPr="0012284A" w:rsidRDefault="00114F82" w:rsidP="006563DF">
      <w:pPr>
        <w:widowControl w:val="0"/>
        <w:autoSpaceDE w:val="0"/>
        <w:autoSpaceDN w:val="0"/>
        <w:adjustRightInd w:val="0"/>
        <w:jc w:val="both"/>
        <w:rPr>
          <w:rFonts w:ascii="Times New Roman" w:hAnsi="Times New Roman" w:cs="Times New Roman"/>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color w:val="000000" w:themeColor="text1"/>
        </w:rPr>
        <w:t xml:space="preserve">D. Luban, ‘Fairness to Rightness: Jurisdiction, Legality, and the Legitimacy of International Criminal Law’, in S. Besson and J. Tasioulas (eds.), </w:t>
      </w:r>
      <w:r w:rsidRPr="0012284A">
        <w:rPr>
          <w:rFonts w:ascii="Times New Roman" w:hAnsi="Times New Roman" w:cs="Times New Roman"/>
          <w:i/>
          <w:color w:val="000000" w:themeColor="text1"/>
        </w:rPr>
        <w:t xml:space="preserve">The Philosophy of International Law </w:t>
      </w:r>
      <w:r w:rsidRPr="0012284A">
        <w:rPr>
          <w:rFonts w:ascii="Times New Roman" w:hAnsi="Times New Roman" w:cs="Times New Roman"/>
          <w:color w:val="000000" w:themeColor="text1"/>
        </w:rPr>
        <w:t>(Oxford University Press, 2010), at 578.</w:t>
      </w:r>
    </w:p>
  </w:footnote>
  <w:footnote w:id="129">
    <w:p w14:paraId="505ECE0F" w14:textId="0FC0DA69"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Guilfoyle, ‘The ICC Pre-Trial Chamber Decision’, </w:t>
      </w:r>
      <w:r w:rsidRPr="0012284A">
        <w:rPr>
          <w:rFonts w:ascii="Times New Roman" w:hAnsi="Times New Roman" w:cs="Times New Roman"/>
          <w:i/>
          <w:lang w:val="en-US"/>
        </w:rPr>
        <w:t>supra</w:t>
      </w:r>
      <w:r w:rsidRPr="0012284A">
        <w:rPr>
          <w:rFonts w:ascii="Times New Roman" w:hAnsi="Times New Roman" w:cs="Times New Roman"/>
          <w:lang w:val="en-US"/>
        </w:rPr>
        <w:t xml:space="preserve"> n</w:t>
      </w:r>
      <w:r w:rsidR="005C2740">
        <w:rPr>
          <w:rFonts w:ascii="Times New Roman" w:hAnsi="Times New Roman" w:cs="Times New Roman"/>
          <w:lang w:val="en-US"/>
        </w:rPr>
        <w:t>ote 127</w:t>
      </w:r>
      <w:r w:rsidRPr="0012284A">
        <w:rPr>
          <w:rFonts w:ascii="Times New Roman" w:hAnsi="Times New Roman" w:cs="Times New Roman"/>
          <w:lang w:val="en-US"/>
        </w:rPr>
        <w:t>, at 5.</w:t>
      </w:r>
    </w:p>
  </w:footnote>
  <w:footnote w:id="130">
    <w:p w14:paraId="0E27CBBF" w14:textId="1358968A" w:rsidR="00114F82" w:rsidRPr="0012284A" w:rsidRDefault="00114F82" w:rsidP="00E24F2E">
      <w:pPr>
        <w:pStyle w:val="FootnoteText"/>
        <w:rPr>
          <w:rFonts w:ascii="Times New Roman" w:hAnsi="Times New Roman" w:cs="Times New Roman"/>
          <w:i/>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Schabas, </w:t>
      </w:r>
      <w:r w:rsidRPr="0012284A">
        <w:rPr>
          <w:rFonts w:ascii="Times New Roman" w:hAnsi="Times New Roman" w:cs="Times New Roman"/>
          <w:i/>
          <w:lang w:val="en-US"/>
        </w:rPr>
        <w:t>An Introduction</w:t>
      </w:r>
      <w:r w:rsidRPr="0012284A">
        <w:rPr>
          <w:rFonts w:ascii="Times New Roman" w:hAnsi="Times New Roman" w:cs="Times New Roman"/>
          <w:lang w:val="en-US"/>
        </w:rPr>
        <w:t xml:space="preserve">, </w:t>
      </w:r>
      <w:r w:rsidRPr="0012284A">
        <w:rPr>
          <w:rFonts w:ascii="Times New Roman" w:hAnsi="Times New Roman" w:cs="Times New Roman"/>
          <w:i/>
          <w:lang w:val="en-US"/>
        </w:rPr>
        <w:t>supra</w:t>
      </w:r>
      <w:r w:rsidR="005C2740">
        <w:rPr>
          <w:rFonts w:ascii="Times New Roman" w:hAnsi="Times New Roman" w:cs="Times New Roman"/>
          <w:lang w:val="en-US"/>
        </w:rPr>
        <w:t xml:space="preserve"> note 42</w:t>
      </w:r>
      <w:r w:rsidRPr="0012284A">
        <w:rPr>
          <w:rFonts w:ascii="Times New Roman" w:hAnsi="Times New Roman" w:cs="Times New Roman"/>
          <w:lang w:val="en-US"/>
        </w:rPr>
        <w:t>,</w:t>
      </w:r>
      <w:r w:rsidRPr="0012284A">
        <w:rPr>
          <w:rFonts w:ascii="Times New Roman" w:hAnsi="Times New Roman" w:cs="Times New Roman"/>
          <w:i/>
          <w:lang w:val="en-US"/>
        </w:rPr>
        <w:t xml:space="preserve"> </w:t>
      </w:r>
      <w:r w:rsidRPr="0012284A">
        <w:rPr>
          <w:rFonts w:ascii="Times New Roman" w:hAnsi="Times New Roman" w:cs="Times New Roman"/>
          <w:lang w:val="en-US"/>
        </w:rPr>
        <w:t>at 68.</w:t>
      </w:r>
    </w:p>
  </w:footnote>
  <w:footnote w:id="131">
    <w:p w14:paraId="1799342F" w14:textId="34B79DAB"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Vagias, </w:t>
      </w:r>
      <w:r w:rsidRPr="0012284A">
        <w:rPr>
          <w:rFonts w:ascii="Times New Roman" w:hAnsi="Times New Roman" w:cs="Times New Roman"/>
          <w:i/>
          <w:lang w:val="en-US"/>
        </w:rPr>
        <w:t>The Territorial Jurisdiction of the International Criminal Court</w:t>
      </w:r>
      <w:r w:rsidRPr="0012284A">
        <w:rPr>
          <w:rFonts w:ascii="Times New Roman" w:hAnsi="Times New Roman" w:cs="Times New Roman"/>
          <w:lang w:val="en-US"/>
        </w:rPr>
        <w:t xml:space="preserve">, </w:t>
      </w:r>
      <w:r w:rsidRPr="0012284A">
        <w:rPr>
          <w:rFonts w:ascii="Times New Roman" w:hAnsi="Times New Roman" w:cs="Times New Roman"/>
          <w:i/>
          <w:lang w:val="en-US"/>
        </w:rPr>
        <w:t>supra</w:t>
      </w:r>
      <w:r w:rsidR="005C2740">
        <w:rPr>
          <w:rFonts w:ascii="Times New Roman" w:hAnsi="Times New Roman" w:cs="Times New Roman"/>
          <w:lang w:val="en-US"/>
        </w:rPr>
        <w:t xml:space="preserve"> note 122</w:t>
      </w:r>
      <w:r w:rsidRPr="0012284A">
        <w:rPr>
          <w:rFonts w:ascii="Times New Roman" w:hAnsi="Times New Roman" w:cs="Times New Roman"/>
          <w:lang w:val="en-US"/>
        </w:rPr>
        <w:t>, at 81.</w:t>
      </w:r>
    </w:p>
  </w:footnote>
  <w:footnote w:id="132">
    <w:p w14:paraId="57068891" w14:textId="7AACE39C"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Pr>
          <w:rFonts w:ascii="Times New Roman" w:hAnsi="Times New Roman" w:cs="Times New Roman"/>
          <w:lang w:val="en-US"/>
        </w:rPr>
        <w:t>Ibid</w:t>
      </w:r>
      <w:r w:rsidRPr="0012284A">
        <w:rPr>
          <w:rFonts w:ascii="Times New Roman" w:hAnsi="Times New Roman" w:cs="Times New Roman"/>
          <w:lang w:val="en-US"/>
        </w:rPr>
        <w:t xml:space="preserve">; citing ICC Assembly of the States Parties, </w:t>
      </w:r>
      <w:r w:rsidRPr="0012284A">
        <w:rPr>
          <w:rFonts w:ascii="Times New Roman" w:hAnsi="Times New Roman" w:cs="Times New Roman"/>
          <w:i/>
          <w:lang w:val="en-US"/>
        </w:rPr>
        <w:t>Report of the Special Working Group on the Crime of Aggression</w:t>
      </w:r>
      <w:r w:rsidRPr="0012284A">
        <w:rPr>
          <w:rFonts w:ascii="Times New Roman" w:hAnsi="Times New Roman" w:cs="Times New Roman"/>
          <w:lang w:val="en-US"/>
        </w:rPr>
        <w:t>, ICC-ASP/7/SWGCA/2, 7</w:t>
      </w:r>
      <w:r w:rsidRPr="0012284A">
        <w:rPr>
          <w:rFonts w:ascii="Times New Roman" w:hAnsi="Times New Roman" w:cs="Times New Roman"/>
          <w:vertAlign w:val="superscript"/>
          <w:lang w:val="en-US"/>
        </w:rPr>
        <w:t>th</w:t>
      </w:r>
      <w:r w:rsidRPr="0012284A">
        <w:rPr>
          <w:rFonts w:ascii="Times New Roman" w:hAnsi="Times New Roman" w:cs="Times New Roman"/>
          <w:lang w:val="en-US"/>
        </w:rPr>
        <w:t xml:space="preserve"> Session of the Assembly of States Parties (Second Resumption), 9-13 February 2008, </w:t>
      </w:r>
      <w:r w:rsidRPr="0012284A">
        <w:rPr>
          <w:rFonts w:ascii="Times New Roman" w:hAnsi="Times New Roman" w:cs="Times New Roman"/>
          <w:color w:val="000000"/>
        </w:rPr>
        <w:t>¶ 39.</w:t>
      </w:r>
    </w:p>
  </w:footnote>
  <w:footnote w:id="133">
    <w:p w14:paraId="07F290AD" w14:textId="7E3A6D7B" w:rsidR="00114F82" w:rsidRPr="0012284A" w:rsidRDefault="00114F82">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ICC Assembly of the States Parties, </w:t>
      </w:r>
      <w:r w:rsidRPr="0012284A">
        <w:rPr>
          <w:rFonts w:ascii="Times New Roman" w:hAnsi="Times New Roman" w:cs="Times New Roman"/>
          <w:i/>
          <w:lang w:val="en-US"/>
        </w:rPr>
        <w:t>Discussion Paper on the Crime of Aggression Proposed by the Chairman</w:t>
      </w:r>
      <w:r w:rsidRPr="0012284A">
        <w:rPr>
          <w:rFonts w:ascii="Times New Roman" w:hAnsi="Times New Roman" w:cs="Times New Roman"/>
          <w:lang w:val="en-US"/>
        </w:rPr>
        <w:t xml:space="preserve"> (revision January 2009),</w:t>
      </w:r>
      <w:r w:rsidRPr="0012284A">
        <w:rPr>
          <w:rFonts w:ascii="Times New Roman" w:hAnsi="Times New Roman" w:cs="Times New Roman"/>
          <w:i/>
          <w:lang w:val="en-US"/>
        </w:rPr>
        <w:t xml:space="preserve"> </w:t>
      </w:r>
      <w:r w:rsidRPr="0012284A">
        <w:rPr>
          <w:rFonts w:ascii="Times New Roman" w:hAnsi="Times New Roman" w:cs="Times New Roman"/>
          <w:lang w:val="en-US"/>
        </w:rPr>
        <w:t>ICC-ASP/7/SWGCA/INF.1, 7</w:t>
      </w:r>
      <w:r w:rsidRPr="0012284A">
        <w:rPr>
          <w:rFonts w:ascii="Times New Roman" w:hAnsi="Times New Roman" w:cs="Times New Roman"/>
          <w:vertAlign w:val="superscript"/>
          <w:lang w:val="en-US"/>
        </w:rPr>
        <w:t>th</w:t>
      </w:r>
      <w:r w:rsidRPr="0012284A">
        <w:rPr>
          <w:rFonts w:ascii="Times New Roman" w:hAnsi="Times New Roman" w:cs="Times New Roman"/>
          <w:lang w:val="en-US"/>
        </w:rPr>
        <w:t xml:space="preserve"> Session of the Assembly of States Parties (Second Resumption), 9-13 February 2008, </w:t>
      </w:r>
      <w:r w:rsidRPr="0012284A">
        <w:rPr>
          <w:rFonts w:ascii="Times New Roman" w:hAnsi="Times New Roman" w:cs="Times New Roman"/>
          <w:color w:val="000000"/>
        </w:rPr>
        <w:t>at 2-3.</w:t>
      </w:r>
    </w:p>
  </w:footnote>
  <w:footnote w:id="134">
    <w:p w14:paraId="557D1CF6"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Request Under Regulation 46(3) of the Regulations of the Court (Amicus Curiae Observations by Guernica 37 International Justice Chambers (pursuant to Rule 103 of the Rules)) No. ICC-RoC46(3)-01/18, PT Ch (18 June 2018), at </w:t>
      </w:r>
      <w:r w:rsidRPr="0012284A">
        <w:rPr>
          <w:rFonts w:ascii="Times New Roman" w:hAnsi="Times New Roman" w:cs="Times New Roman"/>
          <w:color w:val="000000"/>
        </w:rPr>
        <w:t>¶ 7.1.</w:t>
      </w:r>
    </w:p>
  </w:footnote>
  <w:footnote w:id="135">
    <w:p w14:paraId="3BCCE3BB"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T. Cadman and C. Buckley, ‘Filling the Vacuum: Syria and the International Criminal Court’ (Justice In Conflict, 19 March 2019) &lt;https://justiceinconflict.org/2019/03/19/filling-the-vacuum-syria-and-the-international-criminal-court/&gt; accessed 22 March 2019.</w:t>
      </w:r>
    </w:p>
  </w:footnote>
  <w:footnote w:id="136">
    <w:p w14:paraId="3E495905"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 w:id="137">
    <w:p w14:paraId="1EE8F7B9"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Guernica Centre for International Justice, ‘Press Statement: GCIJ Files Article 15 Communication with ICC Prosecutor on Syria’ (4 March 2019) &lt;https://www.guernicagroup.org/news/press-statement-gcij-files-article-15-communication-with-icc-prosecutor-on-syria&gt; accessed 22 March 2019.</w:t>
      </w:r>
    </w:p>
  </w:footnote>
  <w:footnote w:id="138">
    <w:p w14:paraId="6A74450D" w14:textId="2F6DA479"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Amicus Curiae Observations by Guernica 37, </w:t>
      </w:r>
      <w:r w:rsidRPr="0012284A">
        <w:rPr>
          <w:rFonts w:ascii="Times New Roman" w:hAnsi="Times New Roman" w:cs="Times New Roman"/>
          <w:i/>
        </w:rPr>
        <w:t xml:space="preserve">supra </w:t>
      </w:r>
      <w:r w:rsidR="005C2740">
        <w:rPr>
          <w:rFonts w:ascii="Times New Roman" w:hAnsi="Times New Roman" w:cs="Times New Roman"/>
        </w:rPr>
        <w:t>note 134</w:t>
      </w:r>
      <w:r w:rsidRPr="0012284A">
        <w:rPr>
          <w:rFonts w:ascii="Times New Roman" w:hAnsi="Times New Roman" w:cs="Times New Roman"/>
        </w:rPr>
        <w:t xml:space="preserve">, at </w:t>
      </w:r>
      <w:r w:rsidRPr="0012284A">
        <w:rPr>
          <w:rFonts w:ascii="Times New Roman" w:hAnsi="Times New Roman" w:cs="Times New Roman"/>
          <w:color w:val="000000"/>
        </w:rPr>
        <w:t>¶ 7.8.</w:t>
      </w:r>
    </w:p>
  </w:footnote>
  <w:footnote w:id="139">
    <w:p w14:paraId="098A038E"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7.10, 7.14.</w:t>
      </w:r>
    </w:p>
  </w:footnote>
  <w:footnote w:id="140">
    <w:p w14:paraId="0EB70D6B"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Ibid at </w:t>
      </w:r>
      <w:r w:rsidRPr="0012284A">
        <w:rPr>
          <w:rFonts w:ascii="Times New Roman" w:hAnsi="Times New Roman" w:cs="Times New Roman"/>
          <w:color w:val="000000"/>
        </w:rPr>
        <w:t>¶ 7.11.</w:t>
      </w:r>
    </w:p>
  </w:footnote>
  <w:footnote w:id="141">
    <w:p w14:paraId="1F8A8981"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 xml:space="preserve">O. Bowcott, ‘Syrian Refugees Launch Legal Bid To Try Assad For Crimes Against Humanity’, </w:t>
      </w:r>
      <w:r w:rsidRPr="0012284A">
        <w:rPr>
          <w:rFonts w:ascii="Times New Roman" w:hAnsi="Times New Roman" w:cs="Times New Roman"/>
          <w:i/>
          <w:lang w:val="en-US"/>
        </w:rPr>
        <w:t>The Guardian</w:t>
      </w:r>
      <w:r w:rsidRPr="0012284A">
        <w:rPr>
          <w:rFonts w:ascii="Times New Roman" w:hAnsi="Times New Roman" w:cs="Times New Roman"/>
          <w:lang w:val="en-US"/>
        </w:rPr>
        <w:t xml:space="preserve"> (London, 7 March 2019) &lt;https://www.theguardian.com/law/2019/mar/07/syrian-refugees-launch-legal-bid-to-try-assad-for-crimes-against-humanity&gt; accessed 22 March 2019.</w:t>
      </w:r>
    </w:p>
  </w:footnote>
  <w:footnote w:id="142">
    <w:p w14:paraId="20C9E638" w14:textId="77777777" w:rsidR="00114F82" w:rsidRPr="0012284A" w:rsidRDefault="00114F82" w:rsidP="006D54E3">
      <w:pPr>
        <w:pStyle w:val="FootnoteText"/>
        <w:rPr>
          <w:rFonts w:ascii="Times New Roman" w:hAnsi="Times New Roman" w:cs="Times New Roman"/>
          <w:lang w:val="en-US"/>
        </w:rPr>
      </w:pPr>
      <w:r w:rsidRPr="0012284A">
        <w:rPr>
          <w:rStyle w:val="FootnoteReference"/>
          <w:rFonts w:ascii="Times New Roman" w:hAnsi="Times New Roman" w:cs="Times New Roman"/>
        </w:rPr>
        <w:footnoteRef/>
      </w:r>
      <w:r w:rsidRPr="0012284A">
        <w:rPr>
          <w:rFonts w:ascii="Times New Roman" w:hAnsi="Times New Roman" w:cs="Times New Roman"/>
        </w:rPr>
        <w:t xml:space="preserve"> </w:t>
      </w:r>
      <w:r w:rsidRPr="0012284A">
        <w:rPr>
          <w:rFonts w:ascii="Times New Roman" w:hAnsi="Times New Roman" w:cs="Times New Roman"/>
          <w:lang w:val="en-US"/>
        </w:rPr>
        <w:t>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E3"/>
    <w:rsid w:val="00031701"/>
    <w:rsid w:val="00034C64"/>
    <w:rsid w:val="00036F9E"/>
    <w:rsid w:val="00084954"/>
    <w:rsid w:val="000E687E"/>
    <w:rsid w:val="00114F82"/>
    <w:rsid w:val="0012284A"/>
    <w:rsid w:val="001428EF"/>
    <w:rsid w:val="00152B32"/>
    <w:rsid w:val="00160320"/>
    <w:rsid w:val="001624BA"/>
    <w:rsid w:val="00177318"/>
    <w:rsid w:val="001D2015"/>
    <w:rsid w:val="001E7279"/>
    <w:rsid w:val="0020417A"/>
    <w:rsid w:val="0021468A"/>
    <w:rsid w:val="00224FA2"/>
    <w:rsid w:val="002311DF"/>
    <w:rsid w:val="00254B3C"/>
    <w:rsid w:val="002A5181"/>
    <w:rsid w:val="00300E1E"/>
    <w:rsid w:val="00313D0D"/>
    <w:rsid w:val="00323A1D"/>
    <w:rsid w:val="00333ECE"/>
    <w:rsid w:val="0034090D"/>
    <w:rsid w:val="00357530"/>
    <w:rsid w:val="00382D90"/>
    <w:rsid w:val="00384A9A"/>
    <w:rsid w:val="00397193"/>
    <w:rsid w:val="003A211B"/>
    <w:rsid w:val="003A2E1F"/>
    <w:rsid w:val="003A78FE"/>
    <w:rsid w:val="003D4DEC"/>
    <w:rsid w:val="00412612"/>
    <w:rsid w:val="004307AC"/>
    <w:rsid w:val="00440D87"/>
    <w:rsid w:val="004615CD"/>
    <w:rsid w:val="004727A8"/>
    <w:rsid w:val="0048084A"/>
    <w:rsid w:val="004F2449"/>
    <w:rsid w:val="004F3D6E"/>
    <w:rsid w:val="00505A42"/>
    <w:rsid w:val="00506416"/>
    <w:rsid w:val="005074C3"/>
    <w:rsid w:val="00515A34"/>
    <w:rsid w:val="00525C1E"/>
    <w:rsid w:val="00535B3F"/>
    <w:rsid w:val="00553618"/>
    <w:rsid w:val="00566778"/>
    <w:rsid w:val="0059355E"/>
    <w:rsid w:val="005C2740"/>
    <w:rsid w:val="005E0AE0"/>
    <w:rsid w:val="005F281F"/>
    <w:rsid w:val="005F41A9"/>
    <w:rsid w:val="00606B03"/>
    <w:rsid w:val="00611FAF"/>
    <w:rsid w:val="00633E93"/>
    <w:rsid w:val="006417A8"/>
    <w:rsid w:val="006451D5"/>
    <w:rsid w:val="006563DF"/>
    <w:rsid w:val="00667957"/>
    <w:rsid w:val="006D54E3"/>
    <w:rsid w:val="006F15B5"/>
    <w:rsid w:val="00724CD4"/>
    <w:rsid w:val="00730106"/>
    <w:rsid w:val="00733923"/>
    <w:rsid w:val="00754A42"/>
    <w:rsid w:val="00775A8E"/>
    <w:rsid w:val="007763B2"/>
    <w:rsid w:val="0078289A"/>
    <w:rsid w:val="0079316D"/>
    <w:rsid w:val="007B2EDC"/>
    <w:rsid w:val="007C79E9"/>
    <w:rsid w:val="007D1B3E"/>
    <w:rsid w:val="007E5756"/>
    <w:rsid w:val="00822F3A"/>
    <w:rsid w:val="0083088D"/>
    <w:rsid w:val="008419FA"/>
    <w:rsid w:val="008629BF"/>
    <w:rsid w:val="00870FD6"/>
    <w:rsid w:val="0088255B"/>
    <w:rsid w:val="008A558F"/>
    <w:rsid w:val="008A675E"/>
    <w:rsid w:val="008E42CB"/>
    <w:rsid w:val="008F38C0"/>
    <w:rsid w:val="00925D41"/>
    <w:rsid w:val="009811B0"/>
    <w:rsid w:val="0098470B"/>
    <w:rsid w:val="00993994"/>
    <w:rsid w:val="009A278F"/>
    <w:rsid w:val="009A7F77"/>
    <w:rsid w:val="009C6398"/>
    <w:rsid w:val="009D61A5"/>
    <w:rsid w:val="009D6794"/>
    <w:rsid w:val="00A02DC2"/>
    <w:rsid w:val="00A036FE"/>
    <w:rsid w:val="00A13078"/>
    <w:rsid w:val="00A25510"/>
    <w:rsid w:val="00A36F0F"/>
    <w:rsid w:val="00A77FEC"/>
    <w:rsid w:val="00A84D65"/>
    <w:rsid w:val="00AB42F8"/>
    <w:rsid w:val="00AC7397"/>
    <w:rsid w:val="00AE410B"/>
    <w:rsid w:val="00AF2D78"/>
    <w:rsid w:val="00AF3CC0"/>
    <w:rsid w:val="00AF6E37"/>
    <w:rsid w:val="00AF7B5A"/>
    <w:rsid w:val="00B4076F"/>
    <w:rsid w:val="00B43293"/>
    <w:rsid w:val="00B90A12"/>
    <w:rsid w:val="00BA4840"/>
    <w:rsid w:val="00BE54A3"/>
    <w:rsid w:val="00BF1153"/>
    <w:rsid w:val="00C36045"/>
    <w:rsid w:val="00C37C63"/>
    <w:rsid w:val="00C418A3"/>
    <w:rsid w:val="00C7256E"/>
    <w:rsid w:val="00C8263E"/>
    <w:rsid w:val="00CB12A9"/>
    <w:rsid w:val="00CC6FFB"/>
    <w:rsid w:val="00D21C53"/>
    <w:rsid w:val="00D37035"/>
    <w:rsid w:val="00D4183B"/>
    <w:rsid w:val="00D42BE2"/>
    <w:rsid w:val="00D736E4"/>
    <w:rsid w:val="00D86981"/>
    <w:rsid w:val="00D962A9"/>
    <w:rsid w:val="00DA1282"/>
    <w:rsid w:val="00DE29B7"/>
    <w:rsid w:val="00E24F2E"/>
    <w:rsid w:val="00E66F37"/>
    <w:rsid w:val="00EB260D"/>
    <w:rsid w:val="00F01DC9"/>
    <w:rsid w:val="00F15694"/>
    <w:rsid w:val="00F311F1"/>
    <w:rsid w:val="00F460FD"/>
    <w:rsid w:val="00F5709E"/>
    <w:rsid w:val="00F65AE9"/>
    <w:rsid w:val="00F86216"/>
    <w:rsid w:val="00F8786C"/>
    <w:rsid w:val="00FA315D"/>
    <w:rsid w:val="00FE0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3739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4E3"/>
    <w:pPr>
      <w:spacing w:before="100" w:beforeAutospacing="1" w:after="100" w:afterAutospacing="1"/>
    </w:pPr>
    <w:rPr>
      <w:rFonts w:ascii="Times New Roman" w:hAnsi="Times New Roman" w:cs="Times New Roman"/>
      <w:sz w:val="20"/>
      <w:szCs w:val="20"/>
      <w:lang w:val="en-US"/>
    </w:rPr>
  </w:style>
  <w:style w:type="paragraph" w:styleId="FootnoteText">
    <w:name w:val="footnote text"/>
    <w:aliases w:val="5_G"/>
    <w:basedOn w:val="Normal"/>
    <w:link w:val="FootnoteTextChar"/>
    <w:uiPriority w:val="99"/>
    <w:unhideWhenUsed/>
    <w:rsid w:val="006D54E3"/>
  </w:style>
  <w:style w:type="character" w:customStyle="1" w:styleId="FootnoteTextChar">
    <w:name w:val="Footnote Text Char"/>
    <w:aliases w:val="5_G Char"/>
    <w:basedOn w:val="DefaultParagraphFont"/>
    <w:link w:val="FootnoteText"/>
    <w:uiPriority w:val="99"/>
    <w:rsid w:val="006D54E3"/>
    <w:rPr>
      <w:lang w:val="en-GB"/>
    </w:rPr>
  </w:style>
  <w:style w:type="character" w:styleId="FootnoteReference">
    <w:name w:val="footnote reference"/>
    <w:aliases w:val="4_G"/>
    <w:basedOn w:val="DefaultParagraphFont"/>
    <w:uiPriority w:val="99"/>
    <w:unhideWhenUsed/>
    <w:rsid w:val="006D54E3"/>
    <w:rPr>
      <w:vertAlign w:val="superscript"/>
    </w:rPr>
  </w:style>
  <w:style w:type="character" w:styleId="Emphasis">
    <w:name w:val="Emphasis"/>
    <w:basedOn w:val="DefaultParagraphFont"/>
    <w:uiPriority w:val="20"/>
    <w:qFormat/>
    <w:rsid w:val="006D54E3"/>
    <w:rPr>
      <w:i/>
      <w:iCs/>
    </w:rPr>
  </w:style>
  <w:style w:type="paragraph" w:styleId="Footer">
    <w:name w:val="footer"/>
    <w:basedOn w:val="Normal"/>
    <w:link w:val="FooterChar"/>
    <w:uiPriority w:val="99"/>
    <w:unhideWhenUsed/>
    <w:rsid w:val="006D54E3"/>
    <w:pPr>
      <w:tabs>
        <w:tab w:val="center" w:pos="4320"/>
        <w:tab w:val="right" w:pos="8640"/>
      </w:tabs>
    </w:pPr>
  </w:style>
  <w:style w:type="character" w:customStyle="1" w:styleId="FooterChar">
    <w:name w:val="Footer Char"/>
    <w:basedOn w:val="DefaultParagraphFont"/>
    <w:link w:val="Footer"/>
    <w:uiPriority w:val="99"/>
    <w:rsid w:val="006D54E3"/>
    <w:rPr>
      <w:lang w:val="en-GB"/>
    </w:rPr>
  </w:style>
  <w:style w:type="character" w:styleId="PageNumber">
    <w:name w:val="page number"/>
    <w:basedOn w:val="DefaultParagraphFont"/>
    <w:uiPriority w:val="99"/>
    <w:semiHidden/>
    <w:unhideWhenUsed/>
    <w:rsid w:val="006D54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4E3"/>
    <w:pPr>
      <w:spacing w:before="100" w:beforeAutospacing="1" w:after="100" w:afterAutospacing="1"/>
    </w:pPr>
    <w:rPr>
      <w:rFonts w:ascii="Times New Roman" w:hAnsi="Times New Roman" w:cs="Times New Roman"/>
      <w:sz w:val="20"/>
      <w:szCs w:val="20"/>
      <w:lang w:val="en-US"/>
    </w:rPr>
  </w:style>
  <w:style w:type="paragraph" w:styleId="FootnoteText">
    <w:name w:val="footnote text"/>
    <w:aliases w:val="5_G"/>
    <w:basedOn w:val="Normal"/>
    <w:link w:val="FootnoteTextChar"/>
    <w:uiPriority w:val="99"/>
    <w:unhideWhenUsed/>
    <w:rsid w:val="006D54E3"/>
  </w:style>
  <w:style w:type="character" w:customStyle="1" w:styleId="FootnoteTextChar">
    <w:name w:val="Footnote Text Char"/>
    <w:aliases w:val="5_G Char"/>
    <w:basedOn w:val="DefaultParagraphFont"/>
    <w:link w:val="FootnoteText"/>
    <w:uiPriority w:val="99"/>
    <w:rsid w:val="006D54E3"/>
    <w:rPr>
      <w:lang w:val="en-GB"/>
    </w:rPr>
  </w:style>
  <w:style w:type="character" w:styleId="FootnoteReference">
    <w:name w:val="footnote reference"/>
    <w:aliases w:val="4_G"/>
    <w:basedOn w:val="DefaultParagraphFont"/>
    <w:uiPriority w:val="99"/>
    <w:unhideWhenUsed/>
    <w:rsid w:val="006D54E3"/>
    <w:rPr>
      <w:vertAlign w:val="superscript"/>
    </w:rPr>
  </w:style>
  <w:style w:type="character" w:styleId="Emphasis">
    <w:name w:val="Emphasis"/>
    <w:basedOn w:val="DefaultParagraphFont"/>
    <w:uiPriority w:val="20"/>
    <w:qFormat/>
    <w:rsid w:val="006D54E3"/>
    <w:rPr>
      <w:i/>
      <w:iCs/>
    </w:rPr>
  </w:style>
  <w:style w:type="paragraph" w:styleId="Footer">
    <w:name w:val="footer"/>
    <w:basedOn w:val="Normal"/>
    <w:link w:val="FooterChar"/>
    <w:uiPriority w:val="99"/>
    <w:unhideWhenUsed/>
    <w:rsid w:val="006D54E3"/>
    <w:pPr>
      <w:tabs>
        <w:tab w:val="center" w:pos="4320"/>
        <w:tab w:val="right" w:pos="8640"/>
      </w:tabs>
    </w:pPr>
  </w:style>
  <w:style w:type="character" w:customStyle="1" w:styleId="FooterChar">
    <w:name w:val="Footer Char"/>
    <w:basedOn w:val="DefaultParagraphFont"/>
    <w:link w:val="Footer"/>
    <w:uiPriority w:val="99"/>
    <w:rsid w:val="006D54E3"/>
    <w:rPr>
      <w:lang w:val="en-GB"/>
    </w:rPr>
  </w:style>
  <w:style w:type="character" w:styleId="PageNumber">
    <w:name w:val="page number"/>
    <w:basedOn w:val="DefaultParagraphFont"/>
    <w:uiPriority w:val="99"/>
    <w:semiHidden/>
    <w:unhideWhenUsed/>
    <w:rsid w:val="006D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29</Pages>
  <Words>9822</Words>
  <Characters>48623</Characters>
  <Application>Microsoft Macintosh Word</Application>
  <DocSecurity>0</DocSecurity>
  <Lines>810</Lines>
  <Paragraphs>87</Paragraphs>
  <ScaleCrop>false</ScaleCrop>
  <Company/>
  <LinksUpToDate>false</LinksUpToDate>
  <CharactersWithSpaces>58358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Wheeler</dc:creator>
  <cp:keywords/>
  <dc:description/>
  <cp:lastModifiedBy>Caleb Wheeler</cp:lastModifiedBy>
  <cp:revision>64</cp:revision>
  <dcterms:created xsi:type="dcterms:W3CDTF">2019-05-14T14:59:00Z</dcterms:created>
  <dcterms:modified xsi:type="dcterms:W3CDTF">2019-06-17T13:07:00Z</dcterms:modified>
</cp:coreProperties>
</file>