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9DA7F" w14:textId="77777777" w:rsidR="009C76E8" w:rsidRPr="008C28EB" w:rsidRDefault="00956B0F" w:rsidP="00C25996">
      <w:pPr>
        <w:pStyle w:val="Nessunaspaziatura"/>
        <w:spacing w:line="480" w:lineRule="auto"/>
        <w:jc w:val="center"/>
        <w:rPr>
          <w:rFonts w:ascii="Times New Roman" w:hAnsi="Times New Roman"/>
          <w:b/>
          <w:sz w:val="30"/>
          <w:szCs w:val="30"/>
          <w:shd w:val="clear" w:color="auto" w:fill="FFFFFF"/>
          <w:lang w:val="en-US"/>
        </w:rPr>
      </w:pPr>
      <w:r w:rsidRPr="008C28EB">
        <w:rPr>
          <w:rFonts w:ascii="Times New Roman" w:eastAsia="Times New Roman" w:hAnsi="Times New Roman"/>
          <w:b/>
          <w:sz w:val="30"/>
          <w:szCs w:val="30"/>
          <w:lang w:val="en-US"/>
        </w:rPr>
        <w:t>Surprised or not s</w:t>
      </w:r>
      <w:r w:rsidR="00300F3C" w:rsidRPr="008C28EB">
        <w:rPr>
          <w:rFonts w:ascii="Times New Roman" w:eastAsia="Times New Roman" w:hAnsi="Times New Roman"/>
          <w:b/>
          <w:sz w:val="30"/>
          <w:szCs w:val="30"/>
          <w:lang w:val="en-US"/>
        </w:rPr>
        <w:t xml:space="preserve">urprised? </w:t>
      </w:r>
      <w:r w:rsidR="005112AB" w:rsidRPr="008C28EB">
        <w:rPr>
          <w:rFonts w:ascii="Times New Roman" w:eastAsia="Times New Roman" w:hAnsi="Times New Roman"/>
          <w:b/>
          <w:sz w:val="30"/>
          <w:szCs w:val="30"/>
          <w:lang w:val="en-US"/>
        </w:rPr>
        <w:br/>
      </w:r>
      <w:r w:rsidR="00804749" w:rsidRPr="008C28EB">
        <w:rPr>
          <w:rFonts w:ascii="Times New Roman" w:eastAsia="Times New Roman" w:hAnsi="Times New Roman"/>
          <w:b/>
          <w:sz w:val="30"/>
          <w:szCs w:val="30"/>
          <w:lang w:val="en-US"/>
        </w:rPr>
        <w:t>I</w:t>
      </w:r>
      <w:r w:rsidR="00300F3C" w:rsidRPr="008C28EB">
        <w:rPr>
          <w:rFonts w:ascii="Times New Roman" w:eastAsia="Times New Roman" w:hAnsi="Times New Roman"/>
          <w:b/>
          <w:sz w:val="30"/>
          <w:szCs w:val="30"/>
          <w:lang w:val="en-US"/>
        </w:rPr>
        <w:t xml:space="preserve">nvestors’ reaction to </w:t>
      </w:r>
      <w:r w:rsidR="00714B63" w:rsidRPr="008C28EB">
        <w:rPr>
          <w:rFonts w:ascii="Times New Roman" w:eastAsia="Times New Roman" w:hAnsi="Times New Roman"/>
          <w:b/>
          <w:sz w:val="30"/>
          <w:szCs w:val="30"/>
          <w:lang w:val="en-US"/>
        </w:rPr>
        <w:t xml:space="preserve">the </w:t>
      </w:r>
      <w:r w:rsidR="007B3EF6" w:rsidRPr="008C28EB">
        <w:rPr>
          <w:rFonts w:ascii="Times New Roman" w:eastAsia="Times New Roman" w:hAnsi="Times New Roman"/>
          <w:b/>
          <w:sz w:val="30"/>
          <w:szCs w:val="30"/>
          <w:lang w:val="en-US"/>
        </w:rPr>
        <w:t>Comprehensive Assessment preceding the</w:t>
      </w:r>
      <w:r w:rsidR="00804749" w:rsidRPr="008C28EB">
        <w:rPr>
          <w:rFonts w:ascii="Times New Roman" w:eastAsia="Times New Roman" w:hAnsi="Times New Roman"/>
          <w:b/>
          <w:sz w:val="30"/>
          <w:szCs w:val="30"/>
          <w:lang w:val="en-US"/>
        </w:rPr>
        <w:t xml:space="preserve"> </w:t>
      </w:r>
      <w:r w:rsidR="00851AE8" w:rsidRPr="008C28EB">
        <w:rPr>
          <w:rFonts w:ascii="Times New Roman" w:eastAsia="Times New Roman" w:hAnsi="Times New Roman"/>
          <w:b/>
          <w:sz w:val="30"/>
          <w:szCs w:val="30"/>
          <w:lang w:val="en-US"/>
        </w:rPr>
        <w:t xml:space="preserve">launch </w:t>
      </w:r>
      <w:r w:rsidR="007B3EF6" w:rsidRPr="008C28EB">
        <w:rPr>
          <w:rFonts w:ascii="Times New Roman" w:eastAsia="Times New Roman" w:hAnsi="Times New Roman"/>
          <w:b/>
          <w:sz w:val="30"/>
          <w:szCs w:val="30"/>
          <w:lang w:val="en-US"/>
        </w:rPr>
        <w:t>of the Banking Union</w:t>
      </w:r>
    </w:p>
    <w:p w14:paraId="3FDFFF5F" w14:textId="77777777" w:rsidR="00690049" w:rsidRPr="008C28EB" w:rsidRDefault="00690049" w:rsidP="00C25996">
      <w:pPr>
        <w:pStyle w:val="Nessunaspaziatura"/>
        <w:tabs>
          <w:tab w:val="left" w:pos="4864"/>
        </w:tabs>
        <w:spacing w:line="480" w:lineRule="auto"/>
        <w:rPr>
          <w:rFonts w:ascii="Times New Roman" w:hAnsi="Times New Roman"/>
          <w:b/>
          <w:sz w:val="21"/>
          <w:szCs w:val="21"/>
          <w:shd w:val="clear" w:color="auto" w:fill="FFFFFF"/>
          <w:lang w:val="en-US"/>
        </w:rPr>
      </w:pPr>
    </w:p>
    <w:p w14:paraId="0F54B30F" w14:textId="77777777" w:rsidR="00D310B7" w:rsidRPr="008C28EB" w:rsidRDefault="00D310B7" w:rsidP="00C25996">
      <w:pPr>
        <w:pStyle w:val="Nessunaspaziatura"/>
        <w:tabs>
          <w:tab w:val="left" w:pos="4864"/>
        </w:tabs>
        <w:spacing w:line="480" w:lineRule="auto"/>
        <w:rPr>
          <w:rFonts w:ascii="Times New Roman" w:hAnsi="Times New Roman"/>
          <w:b/>
          <w:sz w:val="21"/>
          <w:szCs w:val="21"/>
          <w:shd w:val="clear" w:color="auto" w:fill="FFFFFF"/>
          <w:lang w:val="en-US"/>
        </w:rPr>
      </w:pPr>
    </w:p>
    <w:p w14:paraId="3F660E3B" w14:textId="77777777" w:rsidR="007041AE" w:rsidRPr="008C28EB" w:rsidRDefault="007041AE" w:rsidP="00C25996">
      <w:pPr>
        <w:pStyle w:val="Nessunaspaziatura"/>
        <w:spacing w:line="480" w:lineRule="auto"/>
        <w:rPr>
          <w:rFonts w:ascii="Times New Roman" w:hAnsi="Times New Roman"/>
          <w:b/>
          <w:sz w:val="21"/>
          <w:szCs w:val="21"/>
          <w:shd w:val="clear" w:color="auto" w:fill="FFFFFF"/>
          <w:lang w:val="en-US"/>
        </w:rPr>
      </w:pPr>
    </w:p>
    <w:p w14:paraId="493CC7B9" w14:textId="77777777" w:rsidR="009C76E8" w:rsidRPr="008C28EB" w:rsidRDefault="009C76E8" w:rsidP="00C25996">
      <w:pPr>
        <w:pStyle w:val="Nessunaspaziatura"/>
        <w:spacing w:line="480" w:lineRule="auto"/>
        <w:jc w:val="center"/>
        <w:rPr>
          <w:rFonts w:ascii="Times New Roman" w:hAnsi="Times New Roman"/>
          <w:b/>
          <w:sz w:val="24"/>
          <w:szCs w:val="24"/>
          <w:shd w:val="clear" w:color="auto" w:fill="FFFFFF"/>
          <w:lang w:val="en-US"/>
        </w:rPr>
      </w:pPr>
      <w:r w:rsidRPr="008C28EB">
        <w:rPr>
          <w:rFonts w:ascii="Times New Roman" w:hAnsi="Times New Roman"/>
          <w:b/>
          <w:sz w:val="24"/>
          <w:szCs w:val="24"/>
          <w:shd w:val="clear" w:color="auto" w:fill="FFFFFF"/>
          <w:lang w:val="en-US"/>
        </w:rPr>
        <w:t>Abstract</w:t>
      </w:r>
    </w:p>
    <w:p w14:paraId="3BC6D953" w14:textId="77777777" w:rsidR="00684165" w:rsidRPr="008C28EB" w:rsidRDefault="00684165" w:rsidP="00C25996">
      <w:pPr>
        <w:pStyle w:val="NormaleWeb"/>
        <w:spacing w:before="120" w:beforeAutospacing="0" w:after="120" w:afterAutospacing="0" w:line="480" w:lineRule="auto"/>
        <w:jc w:val="both"/>
        <w:rPr>
          <w:rFonts w:ascii="Times New Roman" w:hAnsi="Times New Roman"/>
          <w:sz w:val="21"/>
          <w:szCs w:val="21"/>
          <w:lang w:val="en-US"/>
        </w:rPr>
      </w:pPr>
    </w:p>
    <w:p w14:paraId="568C2C2D" w14:textId="603C9492" w:rsidR="00D310B7" w:rsidRPr="008C28EB" w:rsidRDefault="00F44C63" w:rsidP="00C25996">
      <w:pPr>
        <w:pStyle w:val="NormaleWeb"/>
        <w:spacing w:before="120" w:beforeAutospacing="0" w:after="120" w:afterAutospacing="0" w:line="480" w:lineRule="auto"/>
        <w:jc w:val="both"/>
        <w:rPr>
          <w:rFonts w:ascii="Times New Roman" w:hAnsi="Times New Roman"/>
          <w:sz w:val="22"/>
          <w:szCs w:val="22"/>
          <w:lang w:val="en-US"/>
        </w:rPr>
      </w:pPr>
      <w:r w:rsidRPr="008C28EB">
        <w:rPr>
          <w:rFonts w:ascii="Times New Roman" w:hAnsi="Times New Roman"/>
          <w:sz w:val="22"/>
          <w:szCs w:val="22"/>
          <w:lang w:val="en-US"/>
        </w:rPr>
        <w:t xml:space="preserve">Did the Comprehensive Assessment </w:t>
      </w:r>
      <w:r w:rsidR="000767E3" w:rsidRPr="008C28EB">
        <w:rPr>
          <w:rFonts w:ascii="Times New Roman" w:hAnsi="Times New Roman"/>
          <w:sz w:val="22"/>
          <w:szCs w:val="22"/>
          <w:lang w:val="en-US"/>
        </w:rPr>
        <w:t>(CA), preceding th</w:t>
      </w:r>
      <w:r w:rsidR="00245C71" w:rsidRPr="008C28EB">
        <w:rPr>
          <w:rFonts w:ascii="Times New Roman" w:hAnsi="Times New Roman"/>
          <w:sz w:val="22"/>
          <w:szCs w:val="22"/>
          <w:lang w:val="en-US"/>
        </w:rPr>
        <w:t>e Single Supervisory Mechanism (SSM)</w:t>
      </w:r>
      <w:r w:rsidR="000767E3" w:rsidRPr="008C28EB">
        <w:rPr>
          <w:rFonts w:ascii="Times New Roman" w:hAnsi="Times New Roman"/>
          <w:sz w:val="22"/>
          <w:szCs w:val="22"/>
          <w:lang w:val="en-US"/>
        </w:rPr>
        <w:t xml:space="preserve"> launch in Europe, achieve its aims of </w:t>
      </w:r>
      <w:r w:rsidRPr="008C28EB">
        <w:rPr>
          <w:rFonts w:ascii="Times New Roman" w:hAnsi="Times New Roman"/>
          <w:sz w:val="22"/>
          <w:szCs w:val="22"/>
          <w:lang w:val="en-US"/>
        </w:rPr>
        <w:t>produc</w:t>
      </w:r>
      <w:r w:rsidR="000767E3" w:rsidRPr="008C28EB">
        <w:rPr>
          <w:rFonts w:ascii="Times New Roman" w:hAnsi="Times New Roman"/>
          <w:sz w:val="22"/>
          <w:szCs w:val="22"/>
          <w:lang w:val="en-US"/>
        </w:rPr>
        <w:t>ing</w:t>
      </w:r>
      <w:r w:rsidRPr="008C28EB">
        <w:rPr>
          <w:rFonts w:ascii="Times New Roman" w:hAnsi="Times New Roman"/>
          <w:sz w:val="22"/>
          <w:szCs w:val="22"/>
          <w:lang w:val="en-US"/>
        </w:rPr>
        <w:t xml:space="preserve"> new valuable information for the market</w:t>
      </w:r>
      <w:r w:rsidR="000767E3" w:rsidRPr="008C28EB">
        <w:rPr>
          <w:rFonts w:ascii="Times New Roman" w:hAnsi="Times New Roman"/>
          <w:sz w:val="22"/>
          <w:szCs w:val="22"/>
          <w:lang w:val="en-US"/>
        </w:rPr>
        <w:t xml:space="preserve">? </w:t>
      </w:r>
      <w:r w:rsidR="00B0499B" w:rsidRPr="008C28EB">
        <w:rPr>
          <w:rFonts w:ascii="Times New Roman" w:hAnsi="Times New Roman"/>
          <w:sz w:val="22"/>
          <w:szCs w:val="22"/>
          <w:lang w:val="en-US"/>
        </w:rPr>
        <w:t xml:space="preserve">We </w:t>
      </w:r>
      <w:r w:rsidR="00D0412F" w:rsidRPr="008C28EB">
        <w:rPr>
          <w:rFonts w:ascii="Times New Roman" w:hAnsi="Times New Roman"/>
          <w:sz w:val="22"/>
          <w:szCs w:val="22"/>
          <w:lang w:val="en-US"/>
        </w:rPr>
        <w:t xml:space="preserve">show </w:t>
      </w:r>
      <w:r w:rsidR="00B0499B" w:rsidRPr="008C28EB">
        <w:rPr>
          <w:rFonts w:ascii="Times New Roman" w:hAnsi="Times New Roman"/>
          <w:sz w:val="22"/>
          <w:szCs w:val="22"/>
          <w:lang w:val="en-US"/>
        </w:rPr>
        <w:t xml:space="preserve">that the </w:t>
      </w:r>
      <w:r w:rsidR="000767E3" w:rsidRPr="008C28EB">
        <w:rPr>
          <w:rFonts w:ascii="Times New Roman" w:hAnsi="Times New Roman"/>
          <w:sz w:val="22"/>
          <w:szCs w:val="22"/>
          <w:lang w:val="en-US"/>
        </w:rPr>
        <w:t xml:space="preserve">CA achieved </w:t>
      </w:r>
      <w:r w:rsidR="00B0499B" w:rsidRPr="008C28EB">
        <w:rPr>
          <w:rFonts w:ascii="Times New Roman" w:hAnsi="Times New Roman"/>
          <w:sz w:val="22"/>
          <w:szCs w:val="22"/>
          <w:lang w:val="en-US"/>
        </w:rPr>
        <w:t xml:space="preserve">the </w:t>
      </w:r>
      <w:r w:rsidR="000767E3" w:rsidRPr="008C28EB">
        <w:rPr>
          <w:rFonts w:ascii="Times New Roman" w:hAnsi="Times New Roman"/>
          <w:sz w:val="22"/>
          <w:szCs w:val="22"/>
          <w:lang w:val="en-US"/>
        </w:rPr>
        <w:t xml:space="preserve">goal of increasing transparency: </w:t>
      </w:r>
      <w:r w:rsidR="00B0499B" w:rsidRPr="008C28EB">
        <w:rPr>
          <w:rFonts w:ascii="Times New Roman" w:hAnsi="Times New Roman"/>
          <w:sz w:val="22"/>
          <w:szCs w:val="22"/>
          <w:lang w:val="en-US"/>
        </w:rPr>
        <w:t>investors were able to detect weak banks at the announcement of the procedure (23</w:t>
      </w:r>
      <w:r w:rsidR="00B75688" w:rsidRPr="008C28EB">
        <w:rPr>
          <w:rFonts w:ascii="Times New Roman" w:hAnsi="Times New Roman"/>
          <w:sz w:val="22"/>
          <w:szCs w:val="22"/>
          <w:vertAlign w:val="superscript"/>
          <w:lang w:val="en-US"/>
        </w:rPr>
        <w:t>rd</w:t>
      </w:r>
      <w:r w:rsidR="00B75688" w:rsidRPr="008C28EB">
        <w:rPr>
          <w:rFonts w:ascii="Times New Roman" w:hAnsi="Times New Roman"/>
          <w:sz w:val="22"/>
          <w:szCs w:val="22"/>
          <w:lang w:val="en-US"/>
        </w:rPr>
        <w:t xml:space="preserve"> </w:t>
      </w:r>
      <w:r w:rsidR="00B0499B" w:rsidRPr="008C28EB">
        <w:rPr>
          <w:rFonts w:ascii="Times New Roman" w:hAnsi="Times New Roman"/>
          <w:sz w:val="22"/>
          <w:szCs w:val="22"/>
          <w:lang w:val="en-US"/>
        </w:rPr>
        <w:t xml:space="preserve">October 2013), but gained full information on the amount of the capital shortfall only at the disclosure of </w:t>
      </w:r>
      <w:r w:rsidR="00211844" w:rsidRPr="008C28EB">
        <w:rPr>
          <w:rFonts w:ascii="Times New Roman" w:hAnsi="Times New Roman"/>
          <w:sz w:val="22"/>
          <w:szCs w:val="22"/>
          <w:lang w:val="en-US"/>
        </w:rPr>
        <w:t xml:space="preserve">the </w:t>
      </w:r>
      <w:r w:rsidR="00B0499B" w:rsidRPr="008C28EB">
        <w:rPr>
          <w:rFonts w:ascii="Times New Roman" w:hAnsi="Times New Roman"/>
          <w:sz w:val="22"/>
          <w:szCs w:val="22"/>
          <w:lang w:val="en-US"/>
        </w:rPr>
        <w:t>results (26</w:t>
      </w:r>
      <w:r w:rsidR="00B75688" w:rsidRPr="008C28EB">
        <w:rPr>
          <w:rFonts w:ascii="Times New Roman" w:hAnsi="Times New Roman"/>
          <w:sz w:val="22"/>
          <w:szCs w:val="22"/>
          <w:vertAlign w:val="superscript"/>
          <w:lang w:val="en-US"/>
        </w:rPr>
        <w:t>th</w:t>
      </w:r>
      <w:r w:rsidR="00B0499B" w:rsidRPr="008C28EB">
        <w:rPr>
          <w:rFonts w:ascii="Times New Roman" w:hAnsi="Times New Roman"/>
          <w:sz w:val="22"/>
          <w:szCs w:val="22"/>
          <w:lang w:val="en-US"/>
        </w:rPr>
        <w:t xml:space="preserve"> October 2014). Furthermore, </w:t>
      </w:r>
      <w:r w:rsidR="00914D1B" w:rsidRPr="008C28EB">
        <w:rPr>
          <w:rFonts w:ascii="Times New Roman" w:hAnsi="Times New Roman"/>
          <w:sz w:val="22"/>
          <w:szCs w:val="22"/>
          <w:lang w:val="en-US"/>
        </w:rPr>
        <w:t>at the official launch of the SSM (4</w:t>
      </w:r>
      <w:r w:rsidR="00B75688" w:rsidRPr="008C28EB">
        <w:rPr>
          <w:rFonts w:ascii="Times New Roman" w:hAnsi="Times New Roman"/>
          <w:sz w:val="22"/>
          <w:szCs w:val="22"/>
          <w:vertAlign w:val="superscript"/>
          <w:lang w:val="en-US"/>
        </w:rPr>
        <w:t>th</w:t>
      </w:r>
      <w:r w:rsidR="00B75688" w:rsidRPr="008C28EB">
        <w:rPr>
          <w:rFonts w:ascii="Times New Roman" w:hAnsi="Times New Roman"/>
          <w:sz w:val="22"/>
          <w:szCs w:val="22"/>
          <w:lang w:val="en-US"/>
        </w:rPr>
        <w:t xml:space="preserve"> </w:t>
      </w:r>
      <w:r w:rsidR="00914D1B" w:rsidRPr="008C28EB">
        <w:rPr>
          <w:rFonts w:ascii="Times New Roman" w:hAnsi="Times New Roman"/>
          <w:sz w:val="22"/>
          <w:szCs w:val="22"/>
          <w:lang w:val="en-US"/>
        </w:rPr>
        <w:t>November 2014)</w:t>
      </w:r>
      <w:r w:rsidR="00B46D8B" w:rsidRPr="008C28EB">
        <w:rPr>
          <w:rFonts w:ascii="Times New Roman" w:hAnsi="Times New Roman"/>
          <w:sz w:val="22"/>
          <w:szCs w:val="22"/>
          <w:lang w:val="en-US"/>
        </w:rPr>
        <w:t>,</w:t>
      </w:r>
      <w:r w:rsidR="00914D1B" w:rsidRPr="008C28EB">
        <w:rPr>
          <w:rFonts w:ascii="Times New Roman" w:hAnsi="Times New Roman"/>
          <w:sz w:val="22"/>
          <w:szCs w:val="22"/>
          <w:lang w:val="en-US"/>
        </w:rPr>
        <w:t xml:space="preserve"> banks under direct </w:t>
      </w:r>
      <w:r w:rsidR="00245C71" w:rsidRPr="008C28EB">
        <w:rPr>
          <w:rFonts w:ascii="Times New Roman" w:hAnsi="Times New Roman"/>
          <w:sz w:val="22"/>
          <w:szCs w:val="22"/>
          <w:lang w:val="en-US"/>
        </w:rPr>
        <w:t>European Central Bank (</w:t>
      </w:r>
      <w:r w:rsidR="00914D1B" w:rsidRPr="008C28EB">
        <w:rPr>
          <w:rFonts w:ascii="Times New Roman" w:hAnsi="Times New Roman"/>
          <w:sz w:val="22"/>
          <w:szCs w:val="22"/>
          <w:lang w:val="en-US"/>
        </w:rPr>
        <w:t>ECB</w:t>
      </w:r>
      <w:r w:rsidR="00245C71" w:rsidRPr="008C28EB">
        <w:rPr>
          <w:rFonts w:ascii="Times New Roman" w:hAnsi="Times New Roman"/>
          <w:sz w:val="22"/>
          <w:szCs w:val="22"/>
          <w:lang w:val="en-US"/>
        </w:rPr>
        <w:t>)</w:t>
      </w:r>
      <w:r w:rsidR="00914D1B" w:rsidRPr="008C28EB">
        <w:rPr>
          <w:rFonts w:ascii="Times New Roman" w:hAnsi="Times New Roman"/>
          <w:sz w:val="22"/>
          <w:szCs w:val="22"/>
          <w:lang w:val="en-US"/>
        </w:rPr>
        <w:t xml:space="preserve"> supervision registered a more negative market reaction with respect to banks maintaining their national super</w:t>
      </w:r>
      <w:r w:rsidR="002D10B0" w:rsidRPr="008C28EB">
        <w:rPr>
          <w:rFonts w:ascii="Times New Roman" w:hAnsi="Times New Roman"/>
          <w:sz w:val="22"/>
          <w:szCs w:val="22"/>
          <w:lang w:val="en-US"/>
        </w:rPr>
        <w:t>visors. Using a</w:t>
      </w:r>
      <w:r w:rsidR="00914D1B" w:rsidRPr="008C28EB">
        <w:rPr>
          <w:rFonts w:ascii="Times New Roman" w:hAnsi="Times New Roman"/>
          <w:sz w:val="22"/>
          <w:szCs w:val="22"/>
          <w:lang w:val="en-US"/>
        </w:rPr>
        <w:t xml:space="preserve"> regression model including possible confounders and allowing for treatment effect heterogeneity, this negative reaction is confirmed</w:t>
      </w:r>
      <w:r w:rsidR="00276895" w:rsidRPr="008C28EB">
        <w:rPr>
          <w:rFonts w:ascii="Times New Roman" w:hAnsi="Times New Roman"/>
          <w:sz w:val="22"/>
          <w:szCs w:val="22"/>
          <w:lang w:val="en-US"/>
        </w:rPr>
        <w:t>. These findings</w:t>
      </w:r>
      <w:r w:rsidR="00914D1B" w:rsidRPr="008C28EB">
        <w:rPr>
          <w:rFonts w:ascii="Times New Roman" w:hAnsi="Times New Roman"/>
          <w:sz w:val="22"/>
          <w:szCs w:val="22"/>
          <w:lang w:val="en-US"/>
        </w:rPr>
        <w:t xml:space="preserve"> suggest that</w:t>
      </w:r>
      <w:r w:rsidR="00B46D8B" w:rsidRPr="008C28EB">
        <w:rPr>
          <w:rFonts w:ascii="Times New Roman" w:hAnsi="Times New Roman"/>
          <w:sz w:val="22"/>
          <w:szCs w:val="22"/>
          <w:lang w:val="en-US"/>
        </w:rPr>
        <w:t xml:space="preserve">, at least in the short run, </w:t>
      </w:r>
      <w:r w:rsidR="00914D1B" w:rsidRPr="008C28EB">
        <w:rPr>
          <w:rFonts w:ascii="Times New Roman" w:hAnsi="Times New Roman"/>
          <w:sz w:val="22"/>
          <w:szCs w:val="22"/>
          <w:lang w:val="en-US"/>
        </w:rPr>
        <w:t xml:space="preserve">investors penalized banks subject to direct ECB supervision, probably </w:t>
      </w:r>
      <w:r w:rsidR="00B46D8B" w:rsidRPr="008C28EB">
        <w:rPr>
          <w:rFonts w:ascii="Times New Roman" w:hAnsi="Times New Roman"/>
          <w:sz w:val="22"/>
          <w:szCs w:val="22"/>
          <w:lang w:val="en-US"/>
        </w:rPr>
        <w:t xml:space="preserve">because of </w:t>
      </w:r>
      <w:r w:rsidR="003126FC" w:rsidRPr="008C28EB">
        <w:rPr>
          <w:rFonts w:ascii="Times New Roman" w:hAnsi="Times New Roman"/>
          <w:sz w:val="22"/>
          <w:szCs w:val="22"/>
          <w:lang w:val="en-US"/>
        </w:rPr>
        <w:t xml:space="preserve">the fear of </w:t>
      </w:r>
      <w:r w:rsidR="00914D1B" w:rsidRPr="008C28EB">
        <w:rPr>
          <w:rFonts w:ascii="Times New Roman" w:hAnsi="Times New Roman"/>
          <w:sz w:val="22"/>
          <w:szCs w:val="22"/>
          <w:lang w:val="en-US"/>
        </w:rPr>
        <w:t>regulatory inconsistencies.</w:t>
      </w:r>
    </w:p>
    <w:p w14:paraId="5A87B12F" w14:textId="77777777" w:rsidR="00684165" w:rsidRPr="008C28EB" w:rsidRDefault="00684165" w:rsidP="00C25996">
      <w:pPr>
        <w:pStyle w:val="NormaleWeb"/>
        <w:spacing w:before="120" w:beforeAutospacing="0" w:after="120" w:afterAutospacing="0" w:line="480" w:lineRule="auto"/>
        <w:jc w:val="both"/>
        <w:rPr>
          <w:rFonts w:ascii="Times New Roman" w:hAnsi="Times New Roman"/>
          <w:sz w:val="21"/>
          <w:szCs w:val="21"/>
          <w:lang w:val="en-US"/>
        </w:rPr>
      </w:pPr>
    </w:p>
    <w:p w14:paraId="22A53510" w14:textId="77777777" w:rsidR="009C76E8" w:rsidRPr="008C28EB" w:rsidRDefault="009C76E8" w:rsidP="00C25996">
      <w:pPr>
        <w:pStyle w:val="Nessunaspaziatura"/>
        <w:spacing w:line="480" w:lineRule="auto"/>
        <w:rPr>
          <w:rFonts w:ascii="Times New Roman" w:hAnsi="Times New Roman"/>
          <w:b/>
          <w:sz w:val="24"/>
          <w:szCs w:val="24"/>
          <w:shd w:val="clear" w:color="auto" w:fill="FFFFFF"/>
          <w:lang w:val="en-US"/>
        </w:rPr>
      </w:pPr>
      <w:r w:rsidRPr="008C28EB">
        <w:rPr>
          <w:rFonts w:ascii="Times New Roman" w:hAnsi="Times New Roman"/>
          <w:b/>
          <w:i/>
          <w:sz w:val="24"/>
          <w:szCs w:val="24"/>
          <w:shd w:val="clear" w:color="auto" w:fill="FFFFFF"/>
          <w:lang w:val="en-US"/>
        </w:rPr>
        <w:t>JEL classification</w:t>
      </w:r>
      <w:r w:rsidRPr="008C28EB">
        <w:rPr>
          <w:rFonts w:ascii="Times New Roman" w:hAnsi="Times New Roman"/>
          <w:b/>
          <w:sz w:val="24"/>
          <w:szCs w:val="24"/>
          <w:shd w:val="clear" w:color="auto" w:fill="FFFFFF"/>
          <w:lang w:val="en-US"/>
        </w:rPr>
        <w:t xml:space="preserve">: </w:t>
      </w:r>
      <w:r w:rsidRPr="008C28EB">
        <w:rPr>
          <w:rFonts w:ascii="Times New Roman" w:hAnsi="Times New Roman"/>
          <w:sz w:val="24"/>
          <w:szCs w:val="24"/>
          <w:shd w:val="clear" w:color="auto" w:fill="FFFFFF"/>
          <w:lang w:val="en-US"/>
        </w:rPr>
        <w:t>G21, G28</w:t>
      </w:r>
    </w:p>
    <w:p w14:paraId="36F16A40" w14:textId="77777777" w:rsidR="009C76E8" w:rsidRPr="008C28EB" w:rsidRDefault="009C76E8" w:rsidP="00C25996">
      <w:pPr>
        <w:pStyle w:val="Nessunaspaziatura"/>
        <w:spacing w:line="480" w:lineRule="auto"/>
        <w:rPr>
          <w:rFonts w:ascii="Times New Roman" w:hAnsi="Times New Roman"/>
          <w:sz w:val="24"/>
          <w:szCs w:val="24"/>
          <w:shd w:val="clear" w:color="auto" w:fill="FFFFFF"/>
          <w:lang w:val="en-US"/>
        </w:rPr>
      </w:pPr>
      <w:r w:rsidRPr="008C28EB">
        <w:rPr>
          <w:rFonts w:ascii="Times New Roman" w:hAnsi="Times New Roman"/>
          <w:b/>
          <w:i/>
          <w:sz w:val="24"/>
          <w:szCs w:val="24"/>
          <w:shd w:val="clear" w:color="auto" w:fill="FFFFFF"/>
          <w:lang w:val="en-US"/>
        </w:rPr>
        <w:t>Keywords</w:t>
      </w:r>
      <w:r w:rsidRPr="008C28EB">
        <w:rPr>
          <w:rFonts w:ascii="Times New Roman" w:hAnsi="Times New Roman"/>
          <w:b/>
          <w:sz w:val="24"/>
          <w:szCs w:val="24"/>
          <w:shd w:val="clear" w:color="auto" w:fill="FFFFFF"/>
          <w:lang w:val="en-US"/>
        </w:rPr>
        <w:t xml:space="preserve">: </w:t>
      </w:r>
      <w:r w:rsidR="00376467" w:rsidRPr="008C28EB">
        <w:rPr>
          <w:rFonts w:ascii="Times New Roman" w:hAnsi="Times New Roman"/>
          <w:sz w:val="24"/>
          <w:szCs w:val="24"/>
          <w:shd w:val="clear" w:color="auto" w:fill="FFFFFF"/>
          <w:lang w:val="en-US"/>
        </w:rPr>
        <w:t xml:space="preserve">Banking, </w:t>
      </w:r>
      <w:r w:rsidRPr="008C28EB">
        <w:rPr>
          <w:rFonts w:ascii="Times New Roman" w:hAnsi="Times New Roman"/>
          <w:sz w:val="24"/>
          <w:szCs w:val="24"/>
          <w:shd w:val="clear" w:color="auto" w:fill="FFFFFF"/>
          <w:lang w:val="en-US"/>
        </w:rPr>
        <w:t>Super</w:t>
      </w:r>
      <w:r w:rsidR="00376467" w:rsidRPr="008C28EB">
        <w:rPr>
          <w:rFonts w:ascii="Times New Roman" w:hAnsi="Times New Roman"/>
          <w:sz w:val="24"/>
          <w:szCs w:val="24"/>
          <w:shd w:val="clear" w:color="auto" w:fill="FFFFFF"/>
          <w:lang w:val="en-US"/>
        </w:rPr>
        <w:t>vision</w:t>
      </w:r>
      <w:r w:rsidR="003C2DFE" w:rsidRPr="008C28EB">
        <w:rPr>
          <w:rFonts w:ascii="Times New Roman" w:hAnsi="Times New Roman"/>
          <w:sz w:val="24"/>
          <w:szCs w:val="24"/>
          <w:shd w:val="clear" w:color="auto" w:fill="FFFFFF"/>
          <w:lang w:val="en-US"/>
        </w:rPr>
        <w:t xml:space="preserve">; </w:t>
      </w:r>
      <w:r w:rsidR="00942C3D" w:rsidRPr="008C28EB">
        <w:rPr>
          <w:rFonts w:ascii="Times New Roman" w:hAnsi="Times New Roman"/>
          <w:sz w:val="24"/>
          <w:szCs w:val="24"/>
          <w:shd w:val="clear" w:color="auto" w:fill="FFFFFF"/>
          <w:lang w:val="en-US"/>
        </w:rPr>
        <w:t>Regulation, L</w:t>
      </w:r>
      <w:r w:rsidR="00376467" w:rsidRPr="008C28EB">
        <w:rPr>
          <w:rFonts w:ascii="Times New Roman" w:hAnsi="Times New Roman"/>
          <w:sz w:val="24"/>
          <w:szCs w:val="24"/>
          <w:shd w:val="clear" w:color="auto" w:fill="FFFFFF"/>
          <w:lang w:val="en-US"/>
        </w:rPr>
        <w:t>ending, R</w:t>
      </w:r>
      <w:r w:rsidR="003C2DFE" w:rsidRPr="008C28EB">
        <w:rPr>
          <w:rFonts w:ascii="Times New Roman" w:hAnsi="Times New Roman"/>
          <w:sz w:val="24"/>
          <w:szCs w:val="24"/>
          <w:shd w:val="clear" w:color="auto" w:fill="FFFFFF"/>
          <w:lang w:val="en-US"/>
        </w:rPr>
        <w:t>isk-taking</w:t>
      </w:r>
      <w:r w:rsidRPr="008C28EB">
        <w:rPr>
          <w:rFonts w:ascii="Times New Roman" w:hAnsi="Times New Roman"/>
          <w:sz w:val="24"/>
          <w:szCs w:val="24"/>
          <w:shd w:val="clear" w:color="auto" w:fill="FFFFFF"/>
          <w:lang w:val="en-US"/>
        </w:rPr>
        <w:t>.</w:t>
      </w:r>
    </w:p>
    <w:p w14:paraId="6685DF02" w14:textId="77777777" w:rsidR="00D310B7" w:rsidRPr="008C28EB" w:rsidRDefault="00D310B7" w:rsidP="00C25996">
      <w:pPr>
        <w:pStyle w:val="Nessunaspaziatura"/>
        <w:spacing w:line="480" w:lineRule="auto"/>
        <w:rPr>
          <w:rFonts w:ascii="Times New Roman" w:hAnsi="Times New Roman"/>
          <w:b/>
          <w:sz w:val="24"/>
          <w:szCs w:val="24"/>
          <w:shd w:val="clear" w:color="auto" w:fill="FFFFFF"/>
          <w:lang w:val="en-US"/>
        </w:rPr>
      </w:pPr>
    </w:p>
    <w:p w14:paraId="38C92DB0" w14:textId="77777777" w:rsidR="009C76E8" w:rsidRPr="008C28EB" w:rsidRDefault="009C76E8" w:rsidP="00C25996">
      <w:pPr>
        <w:pStyle w:val="Nessunaspaziatura"/>
        <w:spacing w:after="120" w:line="480" w:lineRule="auto"/>
        <w:rPr>
          <w:rFonts w:ascii="Times New Roman" w:hAnsi="Times New Roman"/>
          <w:b/>
          <w:sz w:val="24"/>
          <w:szCs w:val="24"/>
          <w:shd w:val="clear" w:color="auto" w:fill="FFFFFF"/>
          <w:lang w:val="en-US"/>
        </w:rPr>
      </w:pPr>
      <w:r w:rsidRPr="008C28EB">
        <w:rPr>
          <w:rFonts w:ascii="Times New Roman" w:hAnsi="Times New Roman"/>
          <w:b/>
          <w:sz w:val="24"/>
          <w:szCs w:val="24"/>
          <w:shd w:val="clear" w:color="auto" w:fill="FFFFFF"/>
          <w:lang w:val="en-US"/>
        </w:rPr>
        <w:lastRenderedPageBreak/>
        <w:t>1. Introduction</w:t>
      </w:r>
    </w:p>
    <w:p w14:paraId="18EA8A3D" w14:textId="52EFF2D8" w:rsidR="00320FE3" w:rsidRPr="008C28EB" w:rsidRDefault="007113B2" w:rsidP="00222C6F">
      <w:pPr>
        <w:spacing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After the financial turmoil triggered by subprime mortgages in summer 2007, the systemic risk of European banks increased dramatically, </w:t>
      </w:r>
      <w:r w:rsidR="00FA4C32" w:rsidRPr="008C28EB">
        <w:rPr>
          <w:rFonts w:ascii="Times New Roman" w:hAnsi="Times New Roman"/>
          <w:sz w:val="24"/>
          <w:szCs w:val="24"/>
          <w:lang w:val="en-US"/>
        </w:rPr>
        <w:t>reaching its peak in November 2011, with large scale banking rescues occurr</w:t>
      </w:r>
      <w:r w:rsidR="00211844" w:rsidRPr="008C28EB">
        <w:rPr>
          <w:rFonts w:ascii="Times New Roman" w:hAnsi="Times New Roman"/>
          <w:sz w:val="24"/>
          <w:szCs w:val="24"/>
          <w:lang w:val="en-US"/>
        </w:rPr>
        <w:t xml:space="preserve">ing </w:t>
      </w:r>
      <w:r w:rsidR="00FA4C32" w:rsidRPr="008C28EB">
        <w:rPr>
          <w:rFonts w:ascii="Times New Roman" w:hAnsi="Times New Roman"/>
          <w:sz w:val="24"/>
          <w:szCs w:val="24"/>
          <w:lang w:val="en-US"/>
        </w:rPr>
        <w:t>in all major EU economies (Molyneux et al., 2014)</w:t>
      </w:r>
      <w:r w:rsidRPr="008C28EB">
        <w:rPr>
          <w:rFonts w:ascii="Times New Roman" w:hAnsi="Times New Roman"/>
          <w:sz w:val="24"/>
          <w:szCs w:val="24"/>
          <w:lang w:val="en-US"/>
        </w:rPr>
        <w:t xml:space="preserve">. The global financial crisis and the following European sovereign debt crisis led policymakers to recognize that the traditional micro-prudential approach to financial stability needed to be complemented with a system-wide macro-prudential approach (Black et al., 2016). In this context, the ECB intervened decisively with both standard and non-standard monetary policy interventions, enhancing liquidity conditions to restore the banking system (Ricci, 2015). The ECB not only adopted exceptional monetary policy measures, but also took charge of bank supervision. </w:t>
      </w:r>
      <w:r w:rsidR="002A7634" w:rsidRPr="008C28EB">
        <w:rPr>
          <w:rFonts w:ascii="Times New Roman" w:hAnsi="Times New Roman"/>
          <w:sz w:val="24"/>
          <w:szCs w:val="24"/>
          <w:lang w:val="en-US"/>
        </w:rPr>
        <w:t>Recognizing</w:t>
      </w:r>
      <w:r w:rsidR="004B6C8A" w:rsidRPr="008C28EB">
        <w:rPr>
          <w:rFonts w:ascii="Times New Roman" w:hAnsi="Times New Roman"/>
          <w:sz w:val="24"/>
          <w:szCs w:val="24"/>
          <w:lang w:val="en-US"/>
        </w:rPr>
        <w:t xml:space="preserve"> the need </w:t>
      </w:r>
      <w:r w:rsidR="007357F0" w:rsidRPr="008C28EB">
        <w:rPr>
          <w:rFonts w:ascii="Times New Roman" w:hAnsi="Times New Roman"/>
          <w:sz w:val="24"/>
          <w:szCs w:val="24"/>
          <w:lang w:val="en-US"/>
        </w:rPr>
        <w:t xml:space="preserve">for </w:t>
      </w:r>
      <w:r w:rsidR="005A36E2" w:rsidRPr="008C28EB">
        <w:rPr>
          <w:rFonts w:ascii="Times New Roman" w:hAnsi="Times New Roman"/>
          <w:sz w:val="24"/>
          <w:szCs w:val="24"/>
          <w:lang w:val="en-US"/>
        </w:rPr>
        <w:t>reshaping</w:t>
      </w:r>
      <w:r w:rsidR="004B6C8A" w:rsidRPr="008C28EB">
        <w:rPr>
          <w:rFonts w:ascii="Times New Roman" w:hAnsi="Times New Roman"/>
          <w:sz w:val="24"/>
          <w:szCs w:val="24"/>
          <w:lang w:val="en-US"/>
        </w:rPr>
        <w:t xml:space="preserve"> banking supervision</w:t>
      </w:r>
      <w:r w:rsidR="00617096">
        <w:rPr>
          <w:rFonts w:ascii="Times New Roman" w:hAnsi="Times New Roman"/>
          <w:sz w:val="24"/>
          <w:szCs w:val="24"/>
          <w:lang w:val="en-US"/>
        </w:rPr>
        <w:t xml:space="preserve"> (Girardone et al., 2013; Barth et al., </w:t>
      </w:r>
      <w:r w:rsidRPr="008C28EB">
        <w:rPr>
          <w:rFonts w:ascii="Times New Roman" w:hAnsi="Times New Roman"/>
          <w:sz w:val="24"/>
          <w:szCs w:val="24"/>
          <w:lang w:val="en-US"/>
        </w:rPr>
        <w:t>2013; Matousek, 2011; U.S. Financial Crisis Inquiry Commission, 2011)</w:t>
      </w:r>
      <w:r w:rsidR="004B6C8A" w:rsidRPr="008C28EB">
        <w:rPr>
          <w:rFonts w:ascii="Times New Roman" w:hAnsi="Times New Roman"/>
          <w:sz w:val="24"/>
          <w:szCs w:val="24"/>
          <w:lang w:val="en-US"/>
        </w:rPr>
        <w:t xml:space="preserve">, </w:t>
      </w:r>
      <w:r w:rsidR="007357F0" w:rsidRPr="008C28EB">
        <w:rPr>
          <w:rFonts w:ascii="Times New Roman" w:hAnsi="Times New Roman"/>
          <w:sz w:val="24"/>
          <w:szCs w:val="24"/>
          <w:lang w:val="en-US"/>
        </w:rPr>
        <w:t>the Europea</w:t>
      </w:r>
      <w:r w:rsidR="00AA2C3F" w:rsidRPr="008C28EB">
        <w:rPr>
          <w:rFonts w:ascii="Times New Roman" w:hAnsi="Times New Roman"/>
          <w:sz w:val="24"/>
          <w:szCs w:val="24"/>
          <w:lang w:val="en-US"/>
        </w:rPr>
        <w:t xml:space="preserve">n Commission </w:t>
      </w:r>
      <w:r w:rsidR="00E44BB1" w:rsidRPr="008C28EB">
        <w:rPr>
          <w:rFonts w:ascii="Times New Roman" w:hAnsi="Times New Roman"/>
          <w:sz w:val="24"/>
          <w:szCs w:val="24"/>
          <w:lang w:val="en-US"/>
        </w:rPr>
        <w:t>change</w:t>
      </w:r>
      <w:r w:rsidR="001F2175" w:rsidRPr="008C28EB">
        <w:rPr>
          <w:rFonts w:ascii="Times New Roman" w:hAnsi="Times New Roman"/>
          <w:sz w:val="24"/>
          <w:szCs w:val="24"/>
          <w:lang w:val="en-US"/>
        </w:rPr>
        <w:t>d</w:t>
      </w:r>
      <w:r w:rsidR="00211844" w:rsidRPr="008C28EB">
        <w:rPr>
          <w:rFonts w:ascii="Times New Roman" w:hAnsi="Times New Roman"/>
          <w:sz w:val="24"/>
          <w:szCs w:val="24"/>
          <w:lang w:val="en-US"/>
        </w:rPr>
        <w:t xml:space="preserve"> </w:t>
      </w:r>
      <w:r w:rsidR="00320FE3" w:rsidRPr="008C28EB">
        <w:rPr>
          <w:rFonts w:ascii="Times New Roman" w:hAnsi="Times New Roman"/>
          <w:sz w:val="24"/>
          <w:szCs w:val="24"/>
          <w:lang w:val="en-US"/>
        </w:rPr>
        <w:t xml:space="preserve">the European Banking </w:t>
      </w:r>
      <w:r w:rsidR="00297D1F" w:rsidRPr="008C28EB">
        <w:rPr>
          <w:rFonts w:ascii="Times New Roman" w:hAnsi="Times New Roman"/>
          <w:sz w:val="24"/>
          <w:szCs w:val="24"/>
          <w:lang w:val="en-US"/>
        </w:rPr>
        <w:t>supervisory</w:t>
      </w:r>
      <w:r w:rsidR="007357F0" w:rsidRPr="008C28EB">
        <w:rPr>
          <w:rFonts w:ascii="Times New Roman" w:hAnsi="Times New Roman"/>
          <w:sz w:val="24"/>
          <w:szCs w:val="24"/>
          <w:lang w:val="en-US"/>
        </w:rPr>
        <w:t xml:space="preserve"> system</w:t>
      </w:r>
      <w:r w:rsidR="00211844" w:rsidRPr="008C28EB">
        <w:rPr>
          <w:rFonts w:ascii="Times New Roman" w:hAnsi="Times New Roman"/>
          <w:sz w:val="24"/>
          <w:szCs w:val="24"/>
          <w:lang w:val="en-US"/>
        </w:rPr>
        <w:t xml:space="preserve"> </w:t>
      </w:r>
      <w:r w:rsidRPr="008C28EB">
        <w:rPr>
          <w:rFonts w:ascii="Times New Roman" w:hAnsi="Times New Roman"/>
          <w:sz w:val="24"/>
          <w:szCs w:val="24"/>
          <w:lang w:val="en-US"/>
        </w:rPr>
        <w:t xml:space="preserve">in autumn 2012 </w:t>
      </w:r>
      <w:r w:rsidR="00320FE3" w:rsidRPr="008C28EB">
        <w:rPr>
          <w:rFonts w:ascii="Times New Roman" w:hAnsi="Times New Roman"/>
          <w:sz w:val="24"/>
          <w:szCs w:val="24"/>
          <w:lang w:val="en-US"/>
        </w:rPr>
        <w:t>by creating</w:t>
      </w:r>
      <w:r w:rsidR="004B6C8A" w:rsidRPr="008C28EB">
        <w:rPr>
          <w:rFonts w:ascii="Times New Roman" w:hAnsi="Times New Roman"/>
          <w:sz w:val="24"/>
          <w:szCs w:val="24"/>
          <w:lang w:val="en-US"/>
        </w:rPr>
        <w:t xml:space="preserve"> a </w:t>
      </w:r>
      <w:r w:rsidR="00E44BB1" w:rsidRPr="008C28EB">
        <w:rPr>
          <w:rFonts w:ascii="Times New Roman" w:hAnsi="Times New Roman"/>
          <w:sz w:val="24"/>
          <w:szCs w:val="24"/>
          <w:lang w:val="en-US"/>
        </w:rPr>
        <w:t xml:space="preserve">Single Supervisory Mechanism </w:t>
      </w:r>
      <w:r w:rsidR="004B6C8A" w:rsidRPr="008C28EB">
        <w:rPr>
          <w:rFonts w:ascii="Times New Roman" w:hAnsi="Times New Roman"/>
          <w:sz w:val="24"/>
          <w:szCs w:val="24"/>
          <w:lang w:val="en-US"/>
        </w:rPr>
        <w:t xml:space="preserve">(SSM) led by the European Central Bank (ECB). </w:t>
      </w:r>
      <w:r w:rsidR="001F2175" w:rsidRPr="008C28EB">
        <w:rPr>
          <w:rFonts w:ascii="Times New Roman" w:hAnsi="Times New Roman"/>
          <w:sz w:val="24"/>
          <w:szCs w:val="24"/>
          <w:lang w:val="en-US"/>
        </w:rPr>
        <w:t>Specifically, s</w:t>
      </w:r>
      <w:r w:rsidR="004B6C8A" w:rsidRPr="008C28EB">
        <w:rPr>
          <w:rFonts w:ascii="Times New Roman" w:hAnsi="Times New Roman"/>
          <w:sz w:val="24"/>
          <w:szCs w:val="24"/>
          <w:lang w:val="en-US"/>
        </w:rPr>
        <w:t>tart</w:t>
      </w:r>
      <w:r w:rsidR="001F2175" w:rsidRPr="008C28EB">
        <w:rPr>
          <w:rFonts w:ascii="Times New Roman" w:hAnsi="Times New Roman"/>
          <w:sz w:val="24"/>
          <w:szCs w:val="24"/>
          <w:lang w:val="en-US"/>
        </w:rPr>
        <w:t>ing</w:t>
      </w:r>
      <w:r w:rsidR="00211844" w:rsidRPr="008C28EB">
        <w:rPr>
          <w:rFonts w:ascii="Times New Roman" w:hAnsi="Times New Roman"/>
          <w:sz w:val="24"/>
          <w:szCs w:val="24"/>
          <w:lang w:val="en-US"/>
        </w:rPr>
        <w:t xml:space="preserve"> from </w:t>
      </w:r>
      <w:r w:rsidR="004B6C8A" w:rsidRPr="008C28EB">
        <w:rPr>
          <w:rFonts w:ascii="Times New Roman" w:hAnsi="Times New Roman"/>
          <w:sz w:val="24"/>
          <w:szCs w:val="24"/>
          <w:lang w:val="en-US"/>
        </w:rPr>
        <w:t xml:space="preserve">November </w:t>
      </w:r>
      <w:r w:rsidR="0058395D" w:rsidRPr="008C28EB">
        <w:rPr>
          <w:rFonts w:ascii="Times New Roman" w:hAnsi="Times New Roman"/>
          <w:sz w:val="24"/>
          <w:szCs w:val="24"/>
          <w:lang w:val="en-US"/>
        </w:rPr>
        <w:t>4</w:t>
      </w:r>
      <w:r w:rsidR="001A207F" w:rsidRPr="008C28EB">
        <w:rPr>
          <w:rFonts w:ascii="Times New Roman" w:hAnsi="Times New Roman"/>
          <w:sz w:val="24"/>
          <w:szCs w:val="24"/>
          <w:vertAlign w:val="superscript"/>
          <w:lang w:val="en-US"/>
        </w:rPr>
        <w:t>th</w:t>
      </w:r>
      <w:r w:rsidR="0058395D" w:rsidRPr="008C28EB">
        <w:rPr>
          <w:rFonts w:ascii="Times New Roman" w:hAnsi="Times New Roman"/>
          <w:sz w:val="24"/>
          <w:szCs w:val="24"/>
          <w:lang w:val="en-US"/>
        </w:rPr>
        <w:t xml:space="preserve">, </w:t>
      </w:r>
      <w:r w:rsidR="004B6C8A" w:rsidRPr="008C28EB">
        <w:rPr>
          <w:rFonts w:ascii="Times New Roman" w:hAnsi="Times New Roman"/>
          <w:sz w:val="24"/>
          <w:szCs w:val="24"/>
          <w:lang w:val="en-US"/>
        </w:rPr>
        <w:t xml:space="preserve">2014, the SSM </w:t>
      </w:r>
      <w:r w:rsidR="00211844" w:rsidRPr="008C28EB">
        <w:rPr>
          <w:rFonts w:ascii="Times New Roman" w:hAnsi="Times New Roman"/>
          <w:sz w:val="24"/>
          <w:szCs w:val="24"/>
          <w:lang w:val="en-US"/>
        </w:rPr>
        <w:t xml:space="preserve">has involved </w:t>
      </w:r>
      <w:r w:rsidR="004B6C8A" w:rsidRPr="008C28EB">
        <w:rPr>
          <w:rFonts w:ascii="Times New Roman" w:hAnsi="Times New Roman"/>
          <w:sz w:val="24"/>
          <w:szCs w:val="24"/>
          <w:lang w:val="en-US"/>
        </w:rPr>
        <w:t>a</w:t>
      </w:r>
      <w:r w:rsidR="00211844" w:rsidRPr="008C28EB">
        <w:rPr>
          <w:rFonts w:ascii="Times New Roman" w:hAnsi="Times New Roman"/>
          <w:sz w:val="24"/>
          <w:szCs w:val="24"/>
          <w:lang w:val="en-US"/>
        </w:rPr>
        <w:t xml:space="preserve"> </w:t>
      </w:r>
      <w:r w:rsidR="004B6C8A" w:rsidRPr="008C28EB">
        <w:rPr>
          <w:rFonts w:ascii="Times New Roman" w:hAnsi="Times New Roman"/>
          <w:sz w:val="24"/>
          <w:szCs w:val="24"/>
          <w:lang w:val="en-US"/>
        </w:rPr>
        <w:t xml:space="preserve">transfer to the European level of the regulatory and institutional framework responsible for </w:t>
      </w:r>
      <w:r w:rsidR="007357F0" w:rsidRPr="008C28EB">
        <w:rPr>
          <w:rFonts w:ascii="Times New Roman" w:hAnsi="Times New Roman"/>
          <w:sz w:val="24"/>
          <w:szCs w:val="24"/>
          <w:lang w:val="en-US"/>
        </w:rPr>
        <w:t xml:space="preserve">the </w:t>
      </w:r>
      <w:r w:rsidR="004B6C8A" w:rsidRPr="008C28EB">
        <w:rPr>
          <w:rFonts w:ascii="Times New Roman" w:hAnsi="Times New Roman"/>
          <w:sz w:val="24"/>
          <w:szCs w:val="24"/>
          <w:lang w:val="en-US"/>
        </w:rPr>
        <w:t>safeguard</w:t>
      </w:r>
      <w:r w:rsidR="007357F0" w:rsidRPr="008C28EB">
        <w:rPr>
          <w:rFonts w:ascii="Times New Roman" w:hAnsi="Times New Roman"/>
          <w:sz w:val="24"/>
          <w:szCs w:val="24"/>
          <w:lang w:val="en-US"/>
        </w:rPr>
        <w:t xml:space="preserve"> of </w:t>
      </w:r>
      <w:r w:rsidR="004B6C8A" w:rsidRPr="008C28EB">
        <w:rPr>
          <w:rFonts w:ascii="Times New Roman" w:hAnsi="Times New Roman"/>
          <w:sz w:val="24"/>
          <w:szCs w:val="24"/>
          <w:lang w:val="en-US"/>
        </w:rPr>
        <w:t xml:space="preserve">the robustness and </w:t>
      </w:r>
      <w:r w:rsidR="007357F0" w:rsidRPr="008C28EB">
        <w:rPr>
          <w:rFonts w:ascii="Times New Roman" w:hAnsi="Times New Roman"/>
          <w:sz w:val="24"/>
          <w:szCs w:val="24"/>
          <w:lang w:val="en-US"/>
        </w:rPr>
        <w:t xml:space="preserve">the </w:t>
      </w:r>
      <w:r w:rsidR="004B6C8A" w:rsidRPr="008C28EB">
        <w:rPr>
          <w:rFonts w:ascii="Times New Roman" w:hAnsi="Times New Roman"/>
          <w:sz w:val="24"/>
          <w:szCs w:val="24"/>
          <w:lang w:val="en-US"/>
        </w:rPr>
        <w:t xml:space="preserve">stability of the banking industry. </w:t>
      </w:r>
      <w:r w:rsidR="001F2175" w:rsidRPr="008C28EB">
        <w:rPr>
          <w:rFonts w:ascii="Times New Roman" w:hAnsi="Times New Roman"/>
          <w:sz w:val="24"/>
          <w:szCs w:val="24"/>
          <w:lang w:val="en-US"/>
        </w:rPr>
        <w:t>T</w:t>
      </w:r>
      <w:r w:rsidR="004B6C8A" w:rsidRPr="008C28EB">
        <w:rPr>
          <w:rFonts w:ascii="Times New Roman" w:hAnsi="Times New Roman"/>
          <w:sz w:val="24"/>
          <w:szCs w:val="24"/>
          <w:lang w:val="en-US"/>
        </w:rPr>
        <w:t xml:space="preserve">he most significant 130 banks in 19 countries </w:t>
      </w:r>
      <w:r w:rsidR="004B6C8A" w:rsidRPr="008C28EB">
        <w:rPr>
          <w:rFonts w:ascii="Times New Roman" w:eastAsia="Times New Roman" w:hAnsi="Times New Roman"/>
          <w:sz w:val="24"/>
          <w:szCs w:val="24"/>
          <w:lang w:val="en-US"/>
        </w:rPr>
        <w:t xml:space="preserve">(representing assets worth €22 trillion, i.e. 82% of total banking assets in the </w:t>
      </w:r>
      <w:r w:rsidR="003126FC" w:rsidRPr="008C28EB">
        <w:rPr>
          <w:rFonts w:ascii="Times New Roman" w:eastAsia="Times New Roman" w:hAnsi="Times New Roman"/>
          <w:sz w:val="24"/>
          <w:szCs w:val="24"/>
          <w:lang w:val="en-US"/>
        </w:rPr>
        <w:t>Euro zone</w:t>
      </w:r>
      <w:r w:rsidR="004B6C8A" w:rsidRPr="008C28EB">
        <w:rPr>
          <w:rFonts w:ascii="Times New Roman" w:eastAsia="Times New Roman" w:hAnsi="Times New Roman"/>
          <w:sz w:val="24"/>
          <w:szCs w:val="24"/>
          <w:lang w:val="en-US"/>
        </w:rPr>
        <w:t>)</w:t>
      </w:r>
      <w:r w:rsidR="00211844" w:rsidRPr="008C28EB">
        <w:rPr>
          <w:rFonts w:ascii="Times New Roman" w:eastAsia="Times New Roman" w:hAnsi="Times New Roman"/>
          <w:sz w:val="24"/>
          <w:szCs w:val="24"/>
          <w:lang w:val="en-US"/>
        </w:rPr>
        <w:t xml:space="preserve"> </w:t>
      </w:r>
      <w:r w:rsidR="001F2175" w:rsidRPr="008C28EB">
        <w:rPr>
          <w:rFonts w:ascii="Times New Roman" w:hAnsi="Times New Roman"/>
          <w:sz w:val="24"/>
          <w:szCs w:val="24"/>
          <w:lang w:val="en-US"/>
        </w:rPr>
        <w:t xml:space="preserve">now </w:t>
      </w:r>
      <w:r w:rsidR="004B6C8A" w:rsidRPr="008C28EB">
        <w:rPr>
          <w:rFonts w:ascii="Times New Roman" w:hAnsi="Times New Roman"/>
          <w:sz w:val="24"/>
          <w:szCs w:val="24"/>
          <w:lang w:val="en-US"/>
        </w:rPr>
        <w:t>fall under the direct supervision of the ECB</w:t>
      </w:r>
      <w:r w:rsidR="007F248B" w:rsidRPr="008C28EB">
        <w:rPr>
          <w:rFonts w:ascii="Times New Roman" w:hAnsi="Times New Roman"/>
          <w:sz w:val="24"/>
          <w:szCs w:val="24"/>
          <w:lang w:val="en-US"/>
        </w:rPr>
        <w:t>,</w:t>
      </w:r>
      <w:r w:rsidR="00211844" w:rsidRPr="008C28EB">
        <w:rPr>
          <w:rFonts w:ascii="Times New Roman" w:hAnsi="Times New Roman"/>
          <w:sz w:val="24"/>
          <w:szCs w:val="24"/>
          <w:lang w:val="en-US"/>
        </w:rPr>
        <w:t xml:space="preserve"> </w:t>
      </w:r>
      <w:r w:rsidR="001F2175" w:rsidRPr="008C28EB">
        <w:rPr>
          <w:rFonts w:ascii="Times New Roman" w:hAnsi="Times New Roman"/>
          <w:sz w:val="24"/>
          <w:szCs w:val="24"/>
          <w:lang w:val="en-US"/>
        </w:rPr>
        <w:t xml:space="preserve">while </w:t>
      </w:r>
      <w:r w:rsidR="00D86C4E" w:rsidRPr="008C28EB">
        <w:rPr>
          <w:rFonts w:ascii="Times New Roman" w:hAnsi="Times New Roman"/>
          <w:sz w:val="24"/>
          <w:szCs w:val="24"/>
          <w:lang w:val="en-US"/>
        </w:rPr>
        <w:t xml:space="preserve">the </w:t>
      </w:r>
      <w:r w:rsidR="00BB229D" w:rsidRPr="008C28EB">
        <w:rPr>
          <w:rFonts w:ascii="Times New Roman" w:hAnsi="Times New Roman"/>
          <w:sz w:val="24"/>
          <w:szCs w:val="24"/>
          <w:lang w:val="en-US"/>
        </w:rPr>
        <w:t>N</w:t>
      </w:r>
      <w:r w:rsidR="004B6C8A" w:rsidRPr="008C28EB">
        <w:rPr>
          <w:rFonts w:ascii="Times New Roman" w:hAnsi="Times New Roman"/>
          <w:sz w:val="24"/>
          <w:szCs w:val="24"/>
          <w:lang w:val="en-US"/>
        </w:rPr>
        <w:t xml:space="preserve">ational </w:t>
      </w:r>
      <w:r w:rsidR="00BB229D" w:rsidRPr="008C28EB">
        <w:rPr>
          <w:rFonts w:ascii="Times New Roman" w:hAnsi="Times New Roman"/>
          <w:sz w:val="24"/>
          <w:szCs w:val="24"/>
          <w:lang w:val="en-US"/>
        </w:rPr>
        <w:t>S</w:t>
      </w:r>
      <w:r w:rsidR="004B6C8A" w:rsidRPr="008C28EB">
        <w:rPr>
          <w:rFonts w:ascii="Times New Roman" w:hAnsi="Times New Roman"/>
          <w:sz w:val="24"/>
          <w:szCs w:val="24"/>
          <w:lang w:val="en-US"/>
        </w:rPr>
        <w:t xml:space="preserve">upervisory </w:t>
      </w:r>
      <w:r w:rsidR="00BB229D" w:rsidRPr="008C28EB">
        <w:rPr>
          <w:rFonts w:ascii="Times New Roman" w:hAnsi="Times New Roman"/>
          <w:sz w:val="24"/>
          <w:szCs w:val="24"/>
          <w:lang w:val="en-US"/>
        </w:rPr>
        <w:t>A</w:t>
      </w:r>
      <w:r w:rsidR="004B6C8A" w:rsidRPr="008C28EB">
        <w:rPr>
          <w:rFonts w:ascii="Times New Roman" w:hAnsi="Times New Roman"/>
          <w:sz w:val="24"/>
          <w:szCs w:val="24"/>
          <w:lang w:val="en-US"/>
        </w:rPr>
        <w:t xml:space="preserve">uthorities </w:t>
      </w:r>
      <w:r w:rsidR="00BB229D" w:rsidRPr="008C28EB">
        <w:rPr>
          <w:rFonts w:ascii="Times New Roman" w:hAnsi="Times New Roman"/>
          <w:sz w:val="24"/>
          <w:szCs w:val="24"/>
          <w:lang w:val="en-US"/>
        </w:rPr>
        <w:t>(NSA</w:t>
      </w:r>
      <w:r w:rsidR="001A4420" w:rsidRPr="008C28EB">
        <w:rPr>
          <w:rFonts w:ascii="Times New Roman" w:hAnsi="Times New Roman"/>
          <w:sz w:val="24"/>
          <w:szCs w:val="24"/>
          <w:lang w:val="en-US"/>
        </w:rPr>
        <w:t>s</w:t>
      </w:r>
      <w:r w:rsidR="00BB229D" w:rsidRPr="008C28EB">
        <w:rPr>
          <w:rFonts w:ascii="Times New Roman" w:hAnsi="Times New Roman"/>
          <w:sz w:val="24"/>
          <w:szCs w:val="24"/>
          <w:lang w:val="en-US"/>
        </w:rPr>
        <w:t xml:space="preserve">) </w:t>
      </w:r>
      <w:r w:rsidR="0039774E" w:rsidRPr="008C28EB">
        <w:rPr>
          <w:rFonts w:ascii="Times New Roman" w:hAnsi="Times New Roman"/>
          <w:sz w:val="24"/>
          <w:szCs w:val="24"/>
          <w:lang w:val="en-US"/>
        </w:rPr>
        <w:t>maintain</w:t>
      </w:r>
      <w:r w:rsidR="00BB229D" w:rsidRPr="008C28EB">
        <w:rPr>
          <w:rFonts w:ascii="Times New Roman" w:hAnsi="Times New Roman"/>
          <w:sz w:val="24"/>
          <w:szCs w:val="24"/>
          <w:lang w:val="en-US"/>
        </w:rPr>
        <w:t xml:space="preserve"> the direct </w:t>
      </w:r>
      <w:r w:rsidR="004B6C8A" w:rsidRPr="008C28EB">
        <w:rPr>
          <w:rFonts w:ascii="Times New Roman" w:hAnsi="Times New Roman"/>
          <w:sz w:val="24"/>
          <w:szCs w:val="24"/>
          <w:lang w:val="en-US"/>
        </w:rPr>
        <w:t xml:space="preserve">supervision </w:t>
      </w:r>
      <w:r w:rsidR="00BB229D" w:rsidRPr="008C28EB">
        <w:rPr>
          <w:rFonts w:ascii="Times New Roman" w:hAnsi="Times New Roman"/>
          <w:sz w:val="24"/>
          <w:szCs w:val="24"/>
          <w:lang w:val="en-US"/>
        </w:rPr>
        <w:t xml:space="preserve">(in collaboration with the ECB) of the remaining </w:t>
      </w:r>
      <w:r w:rsidR="004B6C8A" w:rsidRPr="008C28EB">
        <w:rPr>
          <w:rFonts w:ascii="Times New Roman" w:hAnsi="Times New Roman"/>
          <w:sz w:val="24"/>
          <w:szCs w:val="24"/>
          <w:lang w:val="en-US"/>
        </w:rPr>
        <w:t xml:space="preserve">banks. </w:t>
      </w:r>
    </w:p>
    <w:p w14:paraId="78C5FCB4" w14:textId="77777777" w:rsidR="00460507" w:rsidRPr="008C28EB" w:rsidRDefault="0004148E" w:rsidP="00C25996">
      <w:pPr>
        <w:widowControl w:val="0"/>
        <w:autoSpaceDE w:val="0"/>
        <w:autoSpaceDN w:val="0"/>
        <w:adjustRightInd w:val="0"/>
        <w:spacing w:after="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lastRenderedPageBreak/>
        <w:t xml:space="preserve">As an essential </w:t>
      </w:r>
      <w:r w:rsidR="00D86C4E" w:rsidRPr="008C28EB">
        <w:rPr>
          <w:rFonts w:ascii="Times New Roman" w:hAnsi="Times New Roman"/>
          <w:sz w:val="24"/>
          <w:szCs w:val="24"/>
          <w:lang w:val="en-US"/>
        </w:rPr>
        <w:t xml:space="preserve">part </w:t>
      </w:r>
      <w:r w:rsidRPr="008C28EB">
        <w:rPr>
          <w:rFonts w:ascii="Times New Roman" w:hAnsi="Times New Roman"/>
          <w:sz w:val="24"/>
          <w:szCs w:val="24"/>
          <w:lang w:val="en-US"/>
        </w:rPr>
        <w:t xml:space="preserve">of the preparation for the SSM, the ECB and the NSAs carried out a </w:t>
      </w:r>
      <w:bookmarkStart w:id="0" w:name="OLE_LINK7"/>
      <w:bookmarkStart w:id="1" w:name="OLE_LINK8"/>
      <w:r w:rsidRPr="008C28EB">
        <w:rPr>
          <w:rFonts w:ascii="Times New Roman" w:hAnsi="Times New Roman"/>
          <w:sz w:val="24"/>
          <w:szCs w:val="24"/>
          <w:lang w:val="en-US"/>
        </w:rPr>
        <w:t>Comprehensive Assessmen</w:t>
      </w:r>
      <w:r w:rsidR="00CF2BAE" w:rsidRPr="008C28EB">
        <w:rPr>
          <w:rFonts w:ascii="Times New Roman" w:hAnsi="Times New Roman"/>
          <w:sz w:val="24"/>
          <w:szCs w:val="24"/>
          <w:lang w:val="en-US"/>
        </w:rPr>
        <w:t xml:space="preserve">t </w:t>
      </w:r>
      <w:bookmarkEnd w:id="0"/>
      <w:bookmarkEnd w:id="1"/>
      <w:r w:rsidR="00CF2BAE" w:rsidRPr="008C28EB">
        <w:rPr>
          <w:rFonts w:ascii="Times New Roman" w:hAnsi="Times New Roman"/>
          <w:sz w:val="24"/>
          <w:szCs w:val="24"/>
          <w:lang w:val="en-US"/>
        </w:rPr>
        <w:t>(CA) announced on the</w:t>
      </w:r>
      <w:r w:rsidR="00211844" w:rsidRPr="008C28EB">
        <w:rPr>
          <w:rFonts w:ascii="Times New Roman" w:hAnsi="Times New Roman"/>
          <w:sz w:val="24"/>
          <w:szCs w:val="24"/>
          <w:lang w:val="en-US"/>
        </w:rPr>
        <w:t xml:space="preserve"> </w:t>
      </w:r>
      <w:r w:rsidR="00CF2BAE" w:rsidRPr="008C28EB">
        <w:rPr>
          <w:rFonts w:ascii="Times New Roman" w:hAnsi="Times New Roman"/>
          <w:sz w:val="24"/>
          <w:szCs w:val="24"/>
          <w:lang w:val="en-US"/>
        </w:rPr>
        <w:t>Octo</w:t>
      </w:r>
      <w:r w:rsidRPr="008C28EB">
        <w:rPr>
          <w:rFonts w:ascii="Times New Roman" w:hAnsi="Times New Roman"/>
          <w:sz w:val="24"/>
          <w:szCs w:val="24"/>
          <w:lang w:val="en-US"/>
        </w:rPr>
        <w:t>ber</w:t>
      </w:r>
      <w:r w:rsidR="00211844" w:rsidRPr="008C28EB">
        <w:rPr>
          <w:rFonts w:ascii="Times New Roman" w:hAnsi="Times New Roman"/>
          <w:sz w:val="24"/>
          <w:szCs w:val="24"/>
          <w:lang w:val="en-US"/>
        </w:rPr>
        <w:t xml:space="preserve"> 23</w:t>
      </w:r>
      <w:r w:rsidR="002F741C" w:rsidRPr="008C28EB">
        <w:rPr>
          <w:rFonts w:ascii="Times New Roman" w:hAnsi="Times New Roman"/>
          <w:sz w:val="24"/>
          <w:szCs w:val="24"/>
          <w:vertAlign w:val="superscript"/>
          <w:lang w:val="en-US"/>
        </w:rPr>
        <w:t>rd</w:t>
      </w:r>
      <w:r w:rsidR="00E409C8" w:rsidRPr="008C28EB">
        <w:rPr>
          <w:rFonts w:ascii="Times New Roman" w:hAnsi="Times New Roman"/>
          <w:sz w:val="24"/>
          <w:szCs w:val="24"/>
          <w:lang w:val="en-US"/>
        </w:rPr>
        <w:t xml:space="preserve">, </w:t>
      </w:r>
      <w:r w:rsidRPr="008C28EB">
        <w:rPr>
          <w:rFonts w:ascii="Times New Roman" w:hAnsi="Times New Roman"/>
          <w:sz w:val="24"/>
          <w:szCs w:val="24"/>
          <w:lang w:val="en-US"/>
        </w:rPr>
        <w:t>2013</w:t>
      </w:r>
      <w:r w:rsidR="00E409C8" w:rsidRPr="008C28EB">
        <w:rPr>
          <w:rFonts w:ascii="Times New Roman" w:hAnsi="Times New Roman"/>
          <w:sz w:val="24"/>
          <w:szCs w:val="24"/>
          <w:lang w:val="en-US"/>
        </w:rPr>
        <w:t>,</w:t>
      </w:r>
      <w:r w:rsidRPr="008C28EB">
        <w:rPr>
          <w:rFonts w:ascii="Times New Roman" w:hAnsi="Times New Roman"/>
          <w:sz w:val="24"/>
          <w:szCs w:val="24"/>
          <w:lang w:val="en-US"/>
        </w:rPr>
        <w:t xml:space="preserve"> and </w:t>
      </w:r>
      <w:r w:rsidR="00D86C4E" w:rsidRPr="008C28EB">
        <w:rPr>
          <w:rFonts w:ascii="Times New Roman" w:hAnsi="Times New Roman"/>
          <w:sz w:val="24"/>
          <w:szCs w:val="24"/>
          <w:lang w:val="en-US"/>
        </w:rPr>
        <w:t>completed</w:t>
      </w:r>
      <w:r w:rsidRPr="008C28EB">
        <w:rPr>
          <w:rFonts w:ascii="Times New Roman" w:hAnsi="Times New Roman"/>
          <w:sz w:val="24"/>
          <w:szCs w:val="24"/>
          <w:lang w:val="en-US"/>
        </w:rPr>
        <w:t xml:space="preserve"> on October </w:t>
      </w:r>
      <w:r w:rsidR="00922010" w:rsidRPr="008C28EB">
        <w:rPr>
          <w:rFonts w:ascii="Times New Roman" w:hAnsi="Times New Roman"/>
          <w:sz w:val="24"/>
          <w:szCs w:val="24"/>
          <w:lang w:val="en-US"/>
        </w:rPr>
        <w:t>26</w:t>
      </w:r>
      <w:r w:rsidR="00922010" w:rsidRPr="008C28EB">
        <w:rPr>
          <w:rFonts w:ascii="Times New Roman" w:hAnsi="Times New Roman"/>
          <w:sz w:val="24"/>
          <w:szCs w:val="24"/>
          <w:vertAlign w:val="superscript"/>
          <w:lang w:val="en-US"/>
        </w:rPr>
        <w:t>th</w:t>
      </w:r>
      <w:r w:rsidR="00E409C8" w:rsidRPr="008C28EB">
        <w:rPr>
          <w:rFonts w:ascii="Times New Roman" w:hAnsi="Times New Roman"/>
          <w:sz w:val="24"/>
          <w:szCs w:val="24"/>
          <w:lang w:val="en-US"/>
        </w:rPr>
        <w:t>,</w:t>
      </w:r>
      <w:r w:rsidR="00922010" w:rsidRPr="008C28EB">
        <w:rPr>
          <w:rFonts w:ascii="Times New Roman" w:hAnsi="Times New Roman"/>
          <w:sz w:val="24"/>
          <w:szCs w:val="24"/>
          <w:lang w:val="en-US"/>
        </w:rPr>
        <w:t xml:space="preserve"> </w:t>
      </w:r>
      <w:r w:rsidRPr="008C28EB">
        <w:rPr>
          <w:rFonts w:ascii="Times New Roman" w:hAnsi="Times New Roman"/>
          <w:sz w:val="24"/>
          <w:szCs w:val="24"/>
          <w:lang w:val="en-US"/>
        </w:rPr>
        <w:t>2014</w:t>
      </w:r>
      <w:r w:rsidR="004D0659" w:rsidRPr="008C28EB">
        <w:rPr>
          <w:rFonts w:ascii="Times New Roman" w:hAnsi="Times New Roman"/>
          <w:sz w:val="24"/>
          <w:szCs w:val="24"/>
          <w:lang w:val="en-US"/>
        </w:rPr>
        <w:t xml:space="preserve">, </w:t>
      </w:r>
      <w:r w:rsidR="001F2175" w:rsidRPr="008C28EB">
        <w:rPr>
          <w:rFonts w:ascii="Times New Roman" w:hAnsi="Times New Roman"/>
          <w:sz w:val="24"/>
          <w:szCs w:val="24"/>
          <w:lang w:val="en-US"/>
        </w:rPr>
        <w:t xml:space="preserve">in order to </w:t>
      </w:r>
      <w:r w:rsidR="004D0659" w:rsidRPr="008C28EB">
        <w:rPr>
          <w:rFonts w:ascii="Times New Roman" w:hAnsi="Times New Roman"/>
          <w:sz w:val="24"/>
          <w:szCs w:val="24"/>
          <w:lang w:val="en-US"/>
        </w:rPr>
        <w:t>“</w:t>
      </w:r>
      <w:r w:rsidR="004D0659" w:rsidRPr="008C28EB">
        <w:rPr>
          <w:rFonts w:ascii="Times New Roman" w:hAnsi="Times New Roman"/>
          <w:i/>
          <w:sz w:val="24"/>
          <w:szCs w:val="24"/>
          <w:lang w:val="en-US"/>
        </w:rPr>
        <w:t>provid</w:t>
      </w:r>
      <w:r w:rsidR="001F2175" w:rsidRPr="008C28EB">
        <w:rPr>
          <w:rFonts w:ascii="Times New Roman" w:hAnsi="Times New Roman"/>
          <w:i/>
          <w:sz w:val="24"/>
          <w:szCs w:val="24"/>
          <w:lang w:val="en-US"/>
        </w:rPr>
        <w:t xml:space="preserve">e </w:t>
      </w:r>
      <w:r w:rsidR="004D0659" w:rsidRPr="008C28EB">
        <w:rPr>
          <w:rFonts w:ascii="Times New Roman" w:hAnsi="Times New Roman"/>
          <w:i/>
          <w:sz w:val="24"/>
          <w:szCs w:val="24"/>
          <w:lang w:val="en-US"/>
        </w:rPr>
        <w:t>the necessary clarity on the banks that will be subject to the ECB’s direct supervision</w:t>
      </w:r>
      <w:r w:rsidR="004D0659" w:rsidRPr="008C28EB">
        <w:rPr>
          <w:rFonts w:ascii="Times New Roman" w:hAnsi="Times New Roman"/>
          <w:sz w:val="24"/>
          <w:szCs w:val="24"/>
          <w:lang w:val="en-US"/>
        </w:rPr>
        <w:t>” (ECB 2013, p. 1)</w:t>
      </w:r>
      <w:r w:rsidRPr="008C28EB">
        <w:rPr>
          <w:rFonts w:ascii="Times New Roman" w:hAnsi="Times New Roman"/>
          <w:sz w:val="24"/>
          <w:szCs w:val="24"/>
          <w:lang w:val="en-US"/>
        </w:rPr>
        <w:t xml:space="preserve">. </w:t>
      </w:r>
      <w:r w:rsidR="009B1767" w:rsidRPr="008C28EB">
        <w:rPr>
          <w:rFonts w:ascii="Times New Roman" w:hAnsi="Times New Roman"/>
          <w:sz w:val="24"/>
          <w:szCs w:val="24"/>
          <w:lang w:val="en-US"/>
        </w:rPr>
        <w:t>Explaining the rationale of the CA, the ECB (2013) underlined that supervisors and regulators had already taken many actions to address the adverse consequences of the global financial crisis and many banks had already raised new capital to reinforce their positions. However, the ECB also stated “</w:t>
      </w:r>
      <w:r w:rsidR="009B1767" w:rsidRPr="008C28EB">
        <w:rPr>
          <w:rFonts w:ascii="Times New Roman" w:hAnsi="Times New Roman"/>
          <w:i/>
          <w:sz w:val="24"/>
          <w:szCs w:val="24"/>
          <w:lang w:val="en-US"/>
        </w:rPr>
        <w:t>weaknesses remain, compounded by the perception that banks’ balance sheets are not transparent and concerns about their overall risk situation</w:t>
      </w:r>
      <w:r w:rsidR="009B1767" w:rsidRPr="008C28EB">
        <w:rPr>
          <w:rFonts w:ascii="Times New Roman" w:hAnsi="Times New Roman"/>
          <w:sz w:val="24"/>
          <w:szCs w:val="24"/>
          <w:lang w:val="en-US"/>
        </w:rPr>
        <w:t xml:space="preserve">” (ECB, 2013, p. 2). </w:t>
      </w:r>
      <w:r w:rsidRPr="008C28EB">
        <w:rPr>
          <w:rFonts w:ascii="Times New Roman" w:hAnsi="Times New Roman"/>
          <w:sz w:val="24"/>
          <w:szCs w:val="24"/>
          <w:lang w:val="en-US"/>
        </w:rPr>
        <w:t xml:space="preserve">As </w:t>
      </w:r>
      <w:r w:rsidR="009B1767" w:rsidRPr="008C28EB">
        <w:rPr>
          <w:rFonts w:ascii="Times New Roman" w:hAnsi="Times New Roman"/>
          <w:sz w:val="24"/>
          <w:szCs w:val="24"/>
          <w:lang w:val="en-US"/>
        </w:rPr>
        <w:t>further specified</w:t>
      </w:r>
      <w:r w:rsidRPr="008C28EB">
        <w:rPr>
          <w:rFonts w:ascii="Times New Roman" w:hAnsi="Times New Roman"/>
          <w:sz w:val="24"/>
          <w:szCs w:val="24"/>
          <w:lang w:val="en-US"/>
        </w:rPr>
        <w:t xml:space="preserve"> by the ECB (2013, p. 2), “</w:t>
      </w:r>
      <w:r w:rsidRPr="008C28EB">
        <w:rPr>
          <w:rFonts w:ascii="Times New Roman" w:hAnsi="Times New Roman"/>
          <w:i/>
          <w:sz w:val="24"/>
          <w:szCs w:val="24"/>
          <w:lang w:val="en-US"/>
        </w:rPr>
        <w:t xml:space="preserve">The exercise has three main goals: </w:t>
      </w:r>
      <w:r w:rsidRPr="008C28EB">
        <w:rPr>
          <w:rFonts w:ascii="Times New Roman" w:hAnsi="Times New Roman"/>
          <w:i/>
          <w:iCs/>
          <w:sz w:val="24"/>
          <w:szCs w:val="24"/>
          <w:lang w:val="en-US"/>
        </w:rPr>
        <w:t>transparency</w:t>
      </w:r>
      <w:r w:rsidRPr="008C28EB">
        <w:rPr>
          <w:rFonts w:ascii="Times New Roman" w:hAnsi="Times New Roman"/>
          <w:i/>
          <w:sz w:val="24"/>
          <w:szCs w:val="24"/>
          <w:lang w:val="en-US"/>
        </w:rPr>
        <w:t xml:space="preserve">, that is, enhancing the quality of information available concerning the condition of banks; </w:t>
      </w:r>
      <w:r w:rsidRPr="008C28EB">
        <w:rPr>
          <w:rFonts w:ascii="Times New Roman" w:hAnsi="Times New Roman"/>
          <w:i/>
          <w:iCs/>
          <w:sz w:val="24"/>
          <w:szCs w:val="24"/>
          <w:lang w:val="en-US"/>
        </w:rPr>
        <w:t>repair</w:t>
      </w:r>
      <w:r w:rsidRPr="008C28EB">
        <w:rPr>
          <w:rFonts w:ascii="Times New Roman" w:hAnsi="Times New Roman"/>
          <w:i/>
          <w:sz w:val="24"/>
          <w:szCs w:val="24"/>
          <w:lang w:val="en-US"/>
        </w:rPr>
        <w:t xml:space="preserve">, by identifying and implementing necessary corrective actions, if and where needed; and </w:t>
      </w:r>
      <w:r w:rsidRPr="008C28EB">
        <w:rPr>
          <w:rFonts w:ascii="Times New Roman" w:hAnsi="Times New Roman"/>
          <w:i/>
          <w:iCs/>
          <w:sz w:val="24"/>
          <w:szCs w:val="24"/>
          <w:lang w:val="en-US"/>
        </w:rPr>
        <w:t>confidence building</w:t>
      </w:r>
      <w:r w:rsidRPr="008C28EB">
        <w:rPr>
          <w:rFonts w:ascii="Times New Roman" w:hAnsi="Times New Roman"/>
          <w:i/>
          <w:sz w:val="24"/>
          <w:szCs w:val="24"/>
          <w:lang w:val="en-US"/>
        </w:rPr>
        <w:t>, namely assuring all stakeholders that banks are fundamentally sound and trustworthy</w:t>
      </w:r>
      <w:r w:rsidRPr="008C28EB">
        <w:rPr>
          <w:rFonts w:ascii="Times New Roman" w:hAnsi="Times New Roman"/>
          <w:sz w:val="24"/>
          <w:szCs w:val="24"/>
          <w:lang w:val="en-US"/>
        </w:rPr>
        <w:t>”.</w:t>
      </w:r>
    </w:p>
    <w:p w14:paraId="5E7C8E95" w14:textId="77777777" w:rsidR="00460507" w:rsidRPr="008C28EB" w:rsidRDefault="00C6579D" w:rsidP="00C25996">
      <w:pPr>
        <w:widowControl w:val="0"/>
        <w:autoSpaceDE w:val="0"/>
        <w:autoSpaceDN w:val="0"/>
        <w:adjustRightInd w:val="0"/>
        <w:spacing w:after="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 xml:space="preserve">With respect to other </w:t>
      </w:r>
      <w:r w:rsidR="00245C71" w:rsidRPr="008C28EB">
        <w:rPr>
          <w:rFonts w:ascii="Times New Roman" w:hAnsi="Times New Roman"/>
          <w:sz w:val="24"/>
          <w:szCs w:val="24"/>
          <w:lang w:val="en-US"/>
        </w:rPr>
        <w:t xml:space="preserve">regulatory </w:t>
      </w:r>
      <w:r w:rsidRPr="008C28EB">
        <w:rPr>
          <w:rFonts w:ascii="Times New Roman" w:hAnsi="Times New Roman"/>
          <w:sz w:val="24"/>
          <w:szCs w:val="24"/>
          <w:lang w:val="en-US"/>
        </w:rPr>
        <w:t xml:space="preserve">stress test exercises conducted in Europe or in the U.S., the CA is particularly interesting because it was launched as a preliminary step for a much larger process, the implementation of the Single Supervisory Mechanism (SSM), with the most significant banking institutions falling under direct ECB supervision and the others maintaining national supervisors. </w:t>
      </w:r>
      <w:r w:rsidR="00E61B4D" w:rsidRPr="008C28EB">
        <w:rPr>
          <w:rFonts w:ascii="Times New Roman" w:hAnsi="Times New Roman"/>
          <w:sz w:val="24"/>
          <w:szCs w:val="24"/>
          <w:lang w:val="en-US"/>
        </w:rPr>
        <w:t>Although it is true that the SSM consequence</w:t>
      </w:r>
      <w:r w:rsidR="00245C71" w:rsidRPr="008C28EB">
        <w:rPr>
          <w:rFonts w:ascii="Times New Roman" w:hAnsi="Times New Roman"/>
          <w:sz w:val="24"/>
          <w:szCs w:val="24"/>
          <w:lang w:val="en-US"/>
        </w:rPr>
        <w:t>s</w:t>
      </w:r>
      <w:r w:rsidR="00E61B4D" w:rsidRPr="008C28EB">
        <w:rPr>
          <w:rFonts w:ascii="Times New Roman" w:hAnsi="Times New Roman"/>
          <w:sz w:val="24"/>
          <w:szCs w:val="24"/>
          <w:lang w:val="en-US"/>
        </w:rPr>
        <w:t xml:space="preserve"> may be fully analyzed in the long term, it is possible to have a first assessment focusing on stock markets. </w:t>
      </w:r>
      <w:r w:rsidRPr="008C28EB">
        <w:rPr>
          <w:rFonts w:ascii="Times New Roman" w:hAnsi="Times New Roman"/>
          <w:sz w:val="24"/>
          <w:szCs w:val="24"/>
          <w:lang w:val="en-US"/>
        </w:rPr>
        <w:t xml:space="preserve">Our paper </w:t>
      </w:r>
      <w:r w:rsidR="005C6DBF" w:rsidRPr="008C28EB">
        <w:rPr>
          <w:rFonts w:ascii="Times New Roman" w:hAnsi="Times New Roman"/>
          <w:sz w:val="24"/>
          <w:szCs w:val="24"/>
          <w:lang w:val="en-US"/>
        </w:rPr>
        <w:t xml:space="preserve">aims to verify </w:t>
      </w:r>
      <w:r w:rsidRPr="008C28EB">
        <w:rPr>
          <w:rFonts w:ascii="Times New Roman" w:hAnsi="Times New Roman"/>
          <w:sz w:val="24"/>
          <w:szCs w:val="24"/>
          <w:lang w:val="en-US"/>
        </w:rPr>
        <w:t>whether the CA reached its main objectives</w:t>
      </w:r>
      <w:r w:rsidR="005C6DBF" w:rsidRPr="008C28EB">
        <w:rPr>
          <w:rFonts w:ascii="Times New Roman" w:hAnsi="Times New Roman"/>
          <w:sz w:val="24"/>
          <w:szCs w:val="24"/>
          <w:lang w:val="en-US"/>
        </w:rPr>
        <w:t>. S</w:t>
      </w:r>
      <w:r w:rsidR="007B041B" w:rsidRPr="008C28EB">
        <w:rPr>
          <w:rFonts w:ascii="Times New Roman" w:hAnsi="Times New Roman"/>
          <w:sz w:val="24"/>
          <w:szCs w:val="24"/>
          <w:lang w:val="en-US"/>
        </w:rPr>
        <w:t>pecifically, w</w:t>
      </w:r>
      <w:r w:rsidR="003F3B17" w:rsidRPr="008C28EB">
        <w:rPr>
          <w:rFonts w:ascii="Times New Roman" w:hAnsi="Times New Roman"/>
          <w:sz w:val="24"/>
          <w:szCs w:val="24"/>
          <w:lang w:val="en-US"/>
        </w:rPr>
        <w:t xml:space="preserve">e focus on the </w:t>
      </w:r>
      <w:r w:rsidR="007B041B" w:rsidRPr="008C28EB">
        <w:rPr>
          <w:rFonts w:ascii="Times New Roman" w:hAnsi="Times New Roman"/>
          <w:sz w:val="24"/>
          <w:szCs w:val="24"/>
          <w:lang w:val="en-US"/>
        </w:rPr>
        <w:t xml:space="preserve">CA’s </w:t>
      </w:r>
      <w:r w:rsidR="007905D7" w:rsidRPr="008C28EB">
        <w:rPr>
          <w:rFonts w:ascii="Times New Roman" w:hAnsi="Times New Roman"/>
          <w:sz w:val="24"/>
          <w:szCs w:val="24"/>
          <w:lang w:val="en-US"/>
        </w:rPr>
        <w:t>aims of</w:t>
      </w:r>
      <w:r w:rsidR="00211844" w:rsidRPr="008C28EB">
        <w:rPr>
          <w:rFonts w:ascii="Times New Roman" w:hAnsi="Times New Roman"/>
          <w:sz w:val="24"/>
          <w:szCs w:val="24"/>
          <w:lang w:val="en-US"/>
        </w:rPr>
        <w:t xml:space="preserve"> </w:t>
      </w:r>
      <w:r w:rsidR="007905D7" w:rsidRPr="008C28EB">
        <w:rPr>
          <w:rFonts w:ascii="Times New Roman" w:hAnsi="Times New Roman"/>
          <w:sz w:val="24"/>
          <w:szCs w:val="24"/>
          <w:lang w:val="en-US"/>
        </w:rPr>
        <w:t>increasing transparency</w:t>
      </w:r>
      <w:r w:rsidR="00211844" w:rsidRPr="008C28EB">
        <w:rPr>
          <w:rFonts w:ascii="Times New Roman" w:hAnsi="Times New Roman"/>
          <w:sz w:val="24"/>
          <w:szCs w:val="24"/>
          <w:lang w:val="en-US"/>
        </w:rPr>
        <w:t xml:space="preserve"> </w:t>
      </w:r>
      <w:r w:rsidR="001A1540" w:rsidRPr="008C28EB">
        <w:rPr>
          <w:rFonts w:ascii="Times New Roman" w:hAnsi="Times New Roman"/>
          <w:sz w:val="24"/>
          <w:szCs w:val="24"/>
          <w:lang w:val="en-US"/>
        </w:rPr>
        <w:t>and building confidence</w:t>
      </w:r>
      <w:r w:rsidR="007B041B" w:rsidRPr="008C28EB">
        <w:rPr>
          <w:rFonts w:ascii="Times New Roman" w:hAnsi="Times New Roman"/>
          <w:sz w:val="24"/>
          <w:szCs w:val="24"/>
          <w:lang w:val="en-US"/>
        </w:rPr>
        <w:t xml:space="preserve">. </w:t>
      </w:r>
    </w:p>
    <w:p w14:paraId="6B76DA72" w14:textId="77777777" w:rsidR="00515779" w:rsidRPr="008C28EB" w:rsidRDefault="00F44C63" w:rsidP="00C25996">
      <w:pPr>
        <w:widowControl w:val="0"/>
        <w:autoSpaceDE w:val="0"/>
        <w:autoSpaceDN w:val="0"/>
        <w:adjustRightInd w:val="0"/>
        <w:spacing w:after="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lastRenderedPageBreak/>
        <w:t>O</w:t>
      </w:r>
      <w:r w:rsidR="007905D7" w:rsidRPr="008C28EB">
        <w:rPr>
          <w:rFonts w:ascii="Times New Roman" w:hAnsi="Times New Roman"/>
          <w:sz w:val="24"/>
          <w:szCs w:val="24"/>
          <w:lang w:val="en-US"/>
        </w:rPr>
        <w:t>ur paper answers the following two questions</w:t>
      </w:r>
      <w:r w:rsidR="005C6DBF" w:rsidRPr="008C28EB">
        <w:rPr>
          <w:rFonts w:ascii="Times New Roman" w:hAnsi="Times New Roman"/>
          <w:sz w:val="24"/>
          <w:szCs w:val="24"/>
          <w:lang w:val="en-US"/>
        </w:rPr>
        <w:t xml:space="preserve">: </w:t>
      </w:r>
      <w:bookmarkStart w:id="2" w:name="OLE_LINK5"/>
      <w:bookmarkStart w:id="3" w:name="OLE_LINK6"/>
      <w:r w:rsidR="005C6DBF" w:rsidRPr="008C28EB">
        <w:rPr>
          <w:rFonts w:ascii="Times New Roman" w:hAnsi="Times New Roman"/>
          <w:sz w:val="24"/>
          <w:szCs w:val="24"/>
          <w:lang w:val="en-US"/>
        </w:rPr>
        <w:t>d</w:t>
      </w:r>
      <w:r w:rsidR="007B041B" w:rsidRPr="008C28EB">
        <w:rPr>
          <w:rFonts w:ascii="Times New Roman" w:hAnsi="Times New Roman"/>
          <w:sz w:val="24"/>
          <w:szCs w:val="24"/>
          <w:lang w:val="en-US"/>
        </w:rPr>
        <w:t xml:space="preserve">id the CA produce new valuable information for the market? </w:t>
      </w:r>
      <w:r w:rsidR="007905D7" w:rsidRPr="008C28EB">
        <w:rPr>
          <w:rFonts w:ascii="Times New Roman" w:hAnsi="Times New Roman"/>
          <w:sz w:val="24"/>
          <w:szCs w:val="24"/>
          <w:lang w:val="en-US"/>
        </w:rPr>
        <w:t>D</w:t>
      </w:r>
      <w:r w:rsidR="007B041B" w:rsidRPr="008C28EB">
        <w:rPr>
          <w:rFonts w:ascii="Times New Roman" w:hAnsi="Times New Roman"/>
          <w:sz w:val="24"/>
          <w:szCs w:val="24"/>
          <w:lang w:val="en-US"/>
        </w:rPr>
        <w:t xml:space="preserve">id the CA </w:t>
      </w:r>
      <w:r w:rsidR="003F3B17" w:rsidRPr="008C28EB">
        <w:rPr>
          <w:rFonts w:ascii="Times New Roman" w:hAnsi="Times New Roman"/>
          <w:sz w:val="24"/>
          <w:szCs w:val="24"/>
          <w:lang w:val="en-US"/>
        </w:rPr>
        <w:t>ha</w:t>
      </w:r>
      <w:r w:rsidR="007B041B" w:rsidRPr="008C28EB">
        <w:rPr>
          <w:rFonts w:ascii="Times New Roman" w:hAnsi="Times New Roman"/>
          <w:sz w:val="24"/>
          <w:szCs w:val="24"/>
          <w:lang w:val="en-US"/>
        </w:rPr>
        <w:t>ve</w:t>
      </w:r>
      <w:r w:rsidR="003F3B17" w:rsidRPr="008C28EB">
        <w:rPr>
          <w:rFonts w:ascii="Times New Roman" w:hAnsi="Times New Roman"/>
          <w:sz w:val="24"/>
          <w:szCs w:val="24"/>
          <w:lang w:val="en-US"/>
        </w:rPr>
        <w:t xml:space="preserve"> a positive effect on the stock price of involved institutions</w:t>
      </w:r>
      <w:r w:rsidR="00515779" w:rsidRPr="008C28EB">
        <w:rPr>
          <w:rFonts w:ascii="Times New Roman" w:hAnsi="Times New Roman"/>
          <w:sz w:val="24"/>
          <w:szCs w:val="24"/>
          <w:lang w:val="en-US"/>
        </w:rPr>
        <w:t xml:space="preserve">? </w:t>
      </w:r>
      <w:bookmarkEnd w:id="2"/>
      <w:bookmarkEnd w:id="3"/>
    </w:p>
    <w:p w14:paraId="49A72BF8" w14:textId="77777777" w:rsidR="00297D1F" w:rsidRPr="008C28EB" w:rsidRDefault="0003356F" w:rsidP="00C25996">
      <w:pPr>
        <w:pStyle w:val="NormaleWeb"/>
        <w:spacing w:before="0" w:beforeAutospacing="0" w:after="120" w:afterAutospacing="0" w:line="480" w:lineRule="auto"/>
        <w:ind w:firstLine="737"/>
        <w:jc w:val="both"/>
        <w:rPr>
          <w:rFonts w:ascii="Times New Roman" w:hAnsi="Times New Roman"/>
          <w:sz w:val="24"/>
          <w:szCs w:val="24"/>
          <w:lang w:val="en-US"/>
        </w:rPr>
      </w:pPr>
      <w:r w:rsidRPr="008C28EB">
        <w:rPr>
          <w:rFonts w:ascii="Times New Roman" w:hAnsi="Times New Roman"/>
          <w:sz w:val="24"/>
          <w:szCs w:val="24"/>
          <w:lang w:val="en-US"/>
        </w:rPr>
        <w:t xml:space="preserve">The main contribution of our paper is that, </w:t>
      </w:r>
      <w:r w:rsidR="008B4440" w:rsidRPr="008C28EB">
        <w:rPr>
          <w:rFonts w:ascii="Times New Roman" w:hAnsi="Times New Roman"/>
          <w:sz w:val="24"/>
          <w:szCs w:val="24"/>
          <w:lang w:val="en-US"/>
        </w:rPr>
        <w:t xml:space="preserve">to </w:t>
      </w:r>
      <w:r w:rsidRPr="008C28EB">
        <w:rPr>
          <w:rFonts w:ascii="Times New Roman" w:hAnsi="Times New Roman"/>
          <w:sz w:val="24"/>
          <w:szCs w:val="24"/>
          <w:lang w:val="en-US"/>
        </w:rPr>
        <w:t xml:space="preserve">our knowledge, it is </w:t>
      </w:r>
      <w:r w:rsidR="00E61B4D" w:rsidRPr="008C28EB">
        <w:rPr>
          <w:rFonts w:ascii="Times New Roman" w:hAnsi="Times New Roman"/>
          <w:sz w:val="24"/>
          <w:szCs w:val="24"/>
          <w:lang w:val="en-US"/>
        </w:rPr>
        <w:t xml:space="preserve">one of the </w:t>
      </w:r>
      <w:r w:rsidRPr="008C28EB">
        <w:rPr>
          <w:rFonts w:ascii="Times New Roman" w:hAnsi="Times New Roman"/>
          <w:sz w:val="24"/>
          <w:szCs w:val="24"/>
          <w:lang w:val="en-US"/>
        </w:rPr>
        <w:t>first stud</w:t>
      </w:r>
      <w:r w:rsidR="00211844" w:rsidRPr="008C28EB">
        <w:rPr>
          <w:rFonts w:ascii="Times New Roman" w:hAnsi="Times New Roman"/>
          <w:sz w:val="24"/>
          <w:szCs w:val="24"/>
          <w:lang w:val="en-US"/>
        </w:rPr>
        <w:t xml:space="preserve">ies </w:t>
      </w:r>
      <w:r w:rsidR="00E61B4D" w:rsidRPr="008C28EB">
        <w:rPr>
          <w:rFonts w:ascii="Times New Roman" w:hAnsi="Times New Roman"/>
          <w:sz w:val="24"/>
          <w:szCs w:val="24"/>
          <w:lang w:val="en-US"/>
        </w:rPr>
        <w:t xml:space="preserve">to provide empirical evidence of the </w:t>
      </w:r>
      <w:r w:rsidRPr="008C28EB">
        <w:rPr>
          <w:rFonts w:ascii="Times New Roman" w:hAnsi="Times New Roman"/>
          <w:sz w:val="24"/>
          <w:szCs w:val="24"/>
          <w:lang w:val="en-US"/>
        </w:rPr>
        <w:t xml:space="preserve">market reaction to every single step of the CA, and </w:t>
      </w:r>
      <w:r w:rsidR="00211844" w:rsidRPr="008C28EB">
        <w:rPr>
          <w:rFonts w:ascii="Times New Roman" w:hAnsi="Times New Roman"/>
          <w:sz w:val="24"/>
          <w:szCs w:val="24"/>
          <w:lang w:val="en-US"/>
        </w:rPr>
        <w:t xml:space="preserve">to </w:t>
      </w:r>
      <w:r w:rsidRPr="008C28EB">
        <w:rPr>
          <w:rFonts w:ascii="Times New Roman" w:hAnsi="Times New Roman"/>
          <w:sz w:val="24"/>
          <w:szCs w:val="24"/>
          <w:lang w:val="en-US"/>
        </w:rPr>
        <w:t>link</w:t>
      </w:r>
      <w:r w:rsidR="00211844" w:rsidRPr="008C28EB">
        <w:rPr>
          <w:rFonts w:ascii="Times New Roman" w:hAnsi="Times New Roman"/>
          <w:sz w:val="24"/>
          <w:szCs w:val="24"/>
          <w:lang w:val="en-US"/>
        </w:rPr>
        <w:t xml:space="preserve"> </w:t>
      </w:r>
      <w:r w:rsidRPr="008C28EB">
        <w:rPr>
          <w:rFonts w:ascii="Times New Roman" w:hAnsi="Times New Roman"/>
          <w:sz w:val="24"/>
          <w:szCs w:val="24"/>
          <w:lang w:val="en-US"/>
        </w:rPr>
        <w:t xml:space="preserve">this stress exercise to the wider SSM process. Specifically, </w:t>
      </w:r>
      <w:r w:rsidR="0042278C" w:rsidRPr="008C28EB">
        <w:rPr>
          <w:rFonts w:ascii="Times New Roman" w:hAnsi="Times New Roman"/>
          <w:sz w:val="24"/>
          <w:szCs w:val="24"/>
          <w:lang w:val="en-US"/>
        </w:rPr>
        <w:t xml:space="preserve">by </w:t>
      </w:r>
      <w:r w:rsidR="00297D1F" w:rsidRPr="008C28EB">
        <w:rPr>
          <w:rFonts w:ascii="Times New Roman" w:hAnsi="Times New Roman"/>
          <w:sz w:val="24"/>
          <w:szCs w:val="24"/>
          <w:lang w:val="en-US"/>
        </w:rPr>
        <w:t>observing market reaction from the beginning to the end of this procedure</w:t>
      </w:r>
      <w:r w:rsidR="00272292" w:rsidRPr="008C28EB">
        <w:rPr>
          <w:rFonts w:ascii="Times New Roman" w:hAnsi="Times New Roman"/>
          <w:sz w:val="24"/>
          <w:szCs w:val="24"/>
          <w:lang w:val="en-US"/>
        </w:rPr>
        <w:t>,</w:t>
      </w:r>
      <w:r w:rsidR="00211844" w:rsidRPr="008C28EB">
        <w:rPr>
          <w:rFonts w:ascii="Times New Roman" w:hAnsi="Times New Roman"/>
          <w:sz w:val="24"/>
          <w:szCs w:val="24"/>
          <w:lang w:val="en-US"/>
        </w:rPr>
        <w:t xml:space="preserve"> </w:t>
      </w:r>
      <w:r w:rsidRPr="008C28EB">
        <w:rPr>
          <w:rFonts w:ascii="Times New Roman" w:hAnsi="Times New Roman"/>
          <w:sz w:val="24"/>
          <w:szCs w:val="24"/>
          <w:lang w:val="en-US"/>
        </w:rPr>
        <w:t xml:space="preserve">we </w:t>
      </w:r>
      <w:r w:rsidR="00E61B4D" w:rsidRPr="008C28EB">
        <w:rPr>
          <w:rFonts w:ascii="Times New Roman" w:hAnsi="Times New Roman"/>
          <w:sz w:val="24"/>
          <w:szCs w:val="24"/>
          <w:lang w:val="en-US"/>
        </w:rPr>
        <w:t xml:space="preserve">are </w:t>
      </w:r>
      <w:r w:rsidR="000C5F41" w:rsidRPr="008C28EB">
        <w:rPr>
          <w:rFonts w:ascii="Times New Roman" w:hAnsi="Times New Roman"/>
          <w:sz w:val="24"/>
          <w:szCs w:val="24"/>
          <w:lang w:val="en-US"/>
        </w:rPr>
        <w:t xml:space="preserve">the first paper </w:t>
      </w:r>
      <w:r w:rsidR="00211844" w:rsidRPr="008C28EB">
        <w:rPr>
          <w:rFonts w:ascii="Times New Roman" w:hAnsi="Times New Roman"/>
          <w:sz w:val="24"/>
          <w:szCs w:val="24"/>
          <w:lang w:val="en-US"/>
        </w:rPr>
        <w:t>to investigate whether</w:t>
      </w:r>
      <w:r w:rsidR="000C5F41" w:rsidRPr="008C28EB">
        <w:rPr>
          <w:rFonts w:ascii="Times New Roman" w:hAnsi="Times New Roman"/>
          <w:sz w:val="24"/>
          <w:szCs w:val="24"/>
          <w:lang w:val="en-US"/>
        </w:rPr>
        <w:t xml:space="preserve"> the CA really increased transparency and confidence in banking, as stated in its aims. Our results have important policy implications for supervisors since we </w:t>
      </w:r>
      <w:r w:rsidR="00297D1F" w:rsidRPr="008C28EB">
        <w:rPr>
          <w:rFonts w:ascii="Times New Roman" w:hAnsi="Times New Roman"/>
          <w:sz w:val="24"/>
          <w:szCs w:val="24"/>
          <w:lang w:val="en-US"/>
        </w:rPr>
        <w:t xml:space="preserve">shed some light on investors’ perceptions about this </w:t>
      </w:r>
      <w:r w:rsidR="005C6DBF" w:rsidRPr="008C28EB">
        <w:rPr>
          <w:rFonts w:ascii="Times New Roman" w:hAnsi="Times New Roman"/>
          <w:sz w:val="24"/>
          <w:szCs w:val="24"/>
          <w:lang w:val="en-US"/>
        </w:rPr>
        <w:t xml:space="preserve">crucial </w:t>
      </w:r>
      <w:r w:rsidR="00297D1F" w:rsidRPr="008C28EB">
        <w:rPr>
          <w:rFonts w:ascii="Times New Roman" w:hAnsi="Times New Roman"/>
          <w:sz w:val="24"/>
          <w:szCs w:val="24"/>
          <w:lang w:val="en-US"/>
        </w:rPr>
        <w:t xml:space="preserve">change in </w:t>
      </w:r>
      <w:r w:rsidR="002C2549" w:rsidRPr="008C28EB">
        <w:rPr>
          <w:rFonts w:ascii="Times New Roman" w:hAnsi="Times New Roman"/>
          <w:sz w:val="24"/>
          <w:szCs w:val="24"/>
          <w:lang w:val="en-US"/>
        </w:rPr>
        <w:t xml:space="preserve">the </w:t>
      </w:r>
      <w:r w:rsidR="00297D1F" w:rsidRPr="008C28EB">
        <w:rPr>
          <w:rFonts w:ascii="Times New Roman" w:hAnsi="Times New Roman"/>
          <w:sz w:val="24"/>
          <w:szCs w:val="24"/>
          <w:lang w:val="en-US"/>
        </w:rPr>
        <w:t>European banking supervision.</w:t>
      </w:r>
    </w:p>
    <w:p w14:paraId="2D4E99F1" w14:textId="77777777" w:rsidR="00A07E30" w:rsidRPr="008C28EB" w:rsidRDefault="00A07E30" w:rsidP="00C25996">
      <w:pPr>
        <w:pStyle w:val="Nessunaspaziatura"/>
        <w:spacing w:after="120" w:line="480" w:lineRule="auto"/>
        <w:ind w:firstLine="737"/>
        <w:jc w:val="both"/>
        <w:rPr>
          <w:rFonts w:ascii="Times New Roman" w:hAnsi="Times New Roman"/>
          <w:sz w:val="24"/>
          <w:szCs w:val="24"/>
          <w:lang w:val="en-US"/>
        </w:rPr>
      </w:pPr>
      <w:r w:rsidRPr="008C28EB">
        <w:rPr>
          <w:rFonts w:ascii="Times New Roman" w:hAnsi="Times New Roman"/>
          <w:sz w:val="24"/>
          <w:szCs w:val="24"/>
          <w:lang w:val="en-US"/>
        </w:rPr>
        <w:t xml:space="preserve">The rest of the paper is structured as follows. First, we review previous studies and develop our research hypotheses (section 2). </w:t>
      </w:r>
      <w:r w:rsidR="009B1767" w:rsidRPr="008C28EB">
        <w:rPr>
          <w:rFonts w:ascii="Times New Roman" w:hAnsi="Times New Roman"/>
          <w:sz w:val="24"/>
          <w:szCs w:val="24"/>
          <w:lang w:val="en-US"/>
        </w:rPr>
        <w:t>Second, w</w:t>
      </w:r>
      <w:r w:rsidRPr="008C28EB">
        <w:rPr>
          <w:rFonts w:ascii="Times New Roman" w:hAnsi="Times New Roman"/>
          <w:sz w:val="24"/>
          <w:szCs w:val="24"/>
          <w:lang w:val="en-US"/>
        </w:rPr>
        <w:t>e run a preliminary inspection</w:t>
      </w:r>
      <w:r w:rsidR="00073D8A" w:rsidRPr="008C28EB">
        <w:rPr>
          <w:rFonts w:ascii="Times New Roman" w:hAnsi="Times New Roman"/>
          <w:sz w:val="24"/>
          <w:szCs w:val="24"/>
          <w:lang w:val="en-US"/>
        </w:rPr>
        <w:t xml:space="preserve"> of market reaction to several CA announcement</w:t>
      </w:r>
      <w:r w:rsidR="009B1767" w:rsidRPr="008C28EB">
        <w:rPr>
          <w:rFonts w:ascii="Times New Roman" w:hAnsi="Times New Roman"/>
          <w:sz w:val="24"/>
          <w:szCs w:val="24"/>
          <w:lang w:val="en-US"/>
        </w:rPr>
        <w:t>s</w:t>
      </w:r>
      <w:r w:rsidRPr="008C28EB">
        <w:rPr>
          <w:rFonts w:ascii="Times New Roman" w:hAnsi="Times New Roman"/>
          <w:sz w:val="24"/>
          <w:szCs w:val="24"/>
          <w:lang w:val="en-US"/>
        </w:rPr>
        <w:t xml:space="preserve"> (section </w:t>
      </w:r>
      <w:r w:rsidR="003A5414" w:rsidRPr="008C28EB">
        <w:rPr>
          <w:rFonts w:ascii="Times New Roman" w:hAnsi="Times New Roman"/>
          <w:sz w:val="24"/>
          <w:szCs w:val="24"/>
          <w:lang w:val="en-US"/>
        </w:rPr>
        <w:t>3</w:t>
      </w:r>
      <w:r w:rsidRPr="008C28EB">
        <w:rPr>
          <w:rFonts w:ascii="Times New Roman" w:hAnsi="Times New Roman"/>
          <w:sz w:val="24"/>
          <w:szCs w:val="24"/>
          <w:lang w:val="en-US"/>
        </w:rPr>
        <w:t xml:space="preserve">), </w:t>
      </w:r>
      <w:r w:rsidR="003A5414" w:rsidRPr="008C28EB">
        <w:rPr>
          <w:rFonts w:ascii="Times New Roman" w:hAnsi="Times New Roman"/>
          <w:sz w:val="24"/>
          <w:szCs w:val="24"/>
          <w:lang w:val="en-US"/>
        </w:rPr>
        <w:t xml:space="preserve">and </w:t>
      </w:r>
      <w:r w:rsidRPr="008C28EB">
        <w:rPr>
          <w:rFonts w:ascii="Times New Roman" w:hAnsi="Times New Roman"/>
          <w:sz w:val="24"/>
          <w:szCs w:val="24"/>
          <w:lang w:val="en-US"/>
        </w:rPr>
        <w:t xml:space="preserve">then we discuss our main results </w:t>
      </w:r>
      <w:r w:rsidR="00073D8A" w:rsidRPr="008C28EB">
        <w:rPr>
          <w:rFonts w:ascii="Times New Roman" w:hAnsi="Times New Roman"/>
          <w:sz w:val="24"/>
          <w:szCs w:val="24"/>
          <w:lang w:val="en-US"/>
        </w:rPr>
        <w:t xml:space="preserve">about the information produced by this review exercise </w:t>
      </w:r>
      <w:r w:rsidRPr="008C28EB">
        <w:rPr>
          <w:rFonts w:ascii="Times New Roman" w:hAnsi="Times New Roman"/>
          <w:sz w:val="24"/>
          <w:szCs w:val="24"/>
          <w:lang w:val="en-US"/>
        </w:rPr>
        <w:t xml:space="preserve">(section </w:t>
      </w:r>
      <w:r w:rsidR="003A5414" w:rsidRPr="008C28EB">
        <w:rPr>
          <w:rFonts w:ascii="Times New Roman" w:hAnsi="Times New Roman"/>
          <w:sz w:val="24"/>
          <w:szCs w:val="24"/>
          <w:lang w:val="en-US"/>
        </w:rPr>
        <w:t>4</w:t>
      </w:r>
      <w:r w:rsidRPr="008C28EB">
        <w:rPr>
          <w:rFonts w:ascii="Times New Roman" w:hAnsi="Times New Roman"/>
          <w:sz w:val="24"/>
          <w:szCs w:val="24"/>
          <w:lang w:val="en-US"/>
        </w:rPr>
        <w:t>)</w:t>
      </w:r>
      <w:r w:rsidR="00073D8A" w:rsidRPr="008C28EB">
        <w:rPr>
          <w:rFonts w:ascii="Times New Roman" w:hAnsi="Times New Roman"/>
          <w:sz w:val="24"/>
          <w:szCs w:val="24"/>
          <w:lang w:val="en-US"/>
        </w:rPr>
        <w:t>. Finally</w:t>
      </w:r>
      <w:r w:rsidR="00272292" w:rsidRPr="008C28EB">
        <w:rPr>
          <w:rFonts w:ascii="Times New Roman" w:hAnsi="Times New Roman"/>
          <w:sz w:val="24"/>
          <w:szCs w:val="24"/>
          <w:lang w:val="en-US"/>
        </w:rPr>
        <w:t>,</w:t>
      </w:r>
      <w:r w:rsidRPr="008C28EB">
        <w:rPr>
          <w:rFonts w:ascii="Times New Roman" w:hAnsi="Times New Roman"/>
          <w:sz w:val="24"/>
          <w:szCs w:val="24"/>
          <w:lang w:val="en-US"/>
        </w:rPr>
        <w:t xml:space="preserve"> we run further investigation to </w:t>
      </w:r>
      <w:r w:rsidR="00073D8A" w:rsidRPr="008C28EB">
        <w:rPr>
          <w:rFonts w:ascii="Times New Roman" w:hAnsi="Times New Roman"/>
          <w:sz w:val="24"/>
          <w:szCs w:val="24"/>
          <w:lang w:val="en-US"/>
        </w:rPr>
        <w:t>detect some</w:t>
      </w:r>
      <w:r w:rsidRPr="008C28EB">
        <w:rPr>
          <w:rFonts w:ascii="Times New Roman" w:hAnsi="Times New Roman"/>
          <w:sz w:val="24"/>
          <w:szCs w:val="24"/>
          <w:lang w:val="en-US"/>
        </w:rPr>
        <w:t xml:space="preserve"> potential </w:t>
      </w:r>
      <w:r w:rsidR="00073D8A" w:rsidRPr="008C28EB">
        <w:rPr>
          <w:rFonts w:ascii="Times New Roman" w:hAnsi="Times New Roman"/>
          <w:sz w:val="24"/>
          <w:szCs w:val="24"/>
          <w:lang w:val="en-US"/>
        </w:rPr>
        <w:t>SSM effects</w:t>
      </w:r>
      <w:r w:rsidR="00211844" w:rsidRPr="008C28EB">
        <w:rPr>
          <w:rFonts w:ascii="Times New Roman" w:hAnsi="Times New Roman"/>
          <w:sz w:val="24"/>
          <w:szCs w:val="24"/>
          <w:lang w:val="en-US"/>
        </w:rPr>
        <w:t xml:space="preserve"> </w:t>
      </w:r>
      <w:r w:rsidR="00073D8A" w:rsidRPr="008C28EB">
        <w:rPr>
          <w:rFonts w:ascii="Times New Roman" w:hAnsi="Times New Roman"/>
          <w:sz w:val="24"/>
          <w:szCs w:val="24"/>
          <w:lang w:val="en-US"/>
        </w:rPr>
        <w:t xml:space="preserve">in investors’ reaction </w:t>
      </w:r>
      <w:r w:rsidRPr="008C28EB">
        <w:rPr>
          <w:rFonts w:ascii="Times New Roman" w:hAnsi="Times New Roman"/>
          <w:sz w:val="24"/>
          <w:szCs w:val="24"/>
          <w:lang w:val="en-US"/>
        </w:rPr>
        <w:t xml:space="preserve">(section </w:t>
      </w:r>
      <w:r w:rsidR="003A5414" w:rsidRPr="008C28EB">
        <w:rPr>
          <w:rFonts w:ascii="Times New Roman" w:hAnsi="Times New Roman"/>
          <w:sz w:val="24"/>
          <w:szCs w:val="24"/>
          <w:lang w:val="en-US"/>
        </w:rPr>
        <w:t>5</w:t>
      </w:r>
      <w:r w:rsidRPr="008C28EB">
        <w:rPr>
          <w:rFonts w:ascii="Times New Roman" w:hAnsi="Times New Roman"/>
          <w:sz w:val="24"/>
          <w:szCs w:val="24"/>
          <w:lang w:val="en-US"/>
        </w:rPr>
        <w:t xml:space="preserve">). Conclusions are drawn in section </w:t>
      </w:r>
      <w:r w:rsidR="003A5414" w:rsidRPr="008C28EB">
        <w:rPr>
          <w:rFonts w:ascii="Times New Roman" w:hAnsi="Times New Roman"/>
          <w:sz w:val="24"/>
          <w:szCs w:val="24"/>
          <w:lang w:val="en-US"/>
        </w:rPr>
        <w:t>6</w:t>
      </w:r>
      <w:r w:rsidRPr="008C28EB">
        <w:rPr>
          <w:rFonts w:ascii="Times New Roman" w:hAnsi="Times New Roman"/>
          <w:sz w:val="24"/>
          <w:szCs w:val="24"/>
          <w:lang w:val="en-US"/>
        </w:rPr>
        <w:t>.</w:t>
      </w:r>
    </w:p>
    <w:p w14:paraId="3B748C04" w14:textId="77777777" w:rsidR="009B1767" w:rsidRPr="008C28EB" w:rsidRDefault="009B1767" w:rsidP="00C25996">
      <w:pPr>
        <w:spacing w:after="120" w:line="480" w:lineRule="auto"/>
        <w:ind w:left="1416" w:hanging="1416"/>
        <w:jc w:val="both"/>
        <w:rPr>
          <w:rFonts w:ascii="Times New Roman" w:hAnsi="Times New Roman"/>
          <w:b/>
          <w:sz w:val="24"/>
          <w:szCs w:val="24"/>
          <w:lang w:val="en-US"/>
        </w:rPr>
      </w:pPr>
    </w:p>
    <w:p w14:paraId="012C4AA7" w14:textId="77777777" w:rsidR="00211844" w:rsidRPr="008C28EB" w:rsidRDefault="00211844" w:rsidP="00C25996">
      <w:pPr>
        <w:spacing w:after="120" w:line="480" w:lineRule="auto"/>
        <w:ind w:left="1416" w:hanging="1416"/>
        <w:jc w:val="both"/>
        <w:rPr>
          <w:rFonts w:ascii="Times New Roman" w:hAnsi="Times New Roman"/>
          <w:b/>
          <w:sz w:val="24"/>
          <w:szCs w:val="24"/>
          <w:lang w:val="en-US"/>
        </w:rPr>
      </w:pPr>
    </w:p>
    <w:p w14:paraId="1B3889F0" w14:textId="77777777" w:rsidR="00454F41" w:rsidRPr="008C28EB" w:rsidRDefault="00454F41" w:rsidP="00C25996">
      <w:pPr>
        <w:spacing w:after="120" w:line="480" w:lineRule="auto"/>
        <w:ind w:left="1416" w:hanging="1416"/>
        <w:jc w:val="both"/>
        <w:rPr>
          <w:rFonts w:ascii="Times New Roman" w:hAnsi="Times New Roman"/>
          <w:b/>
          <w:sz w:val="24"/>
          <w:szCs w:val="24"/>
          <w:lang w:val="en-US"/>
        </w:rPr>
      </w:pPr>
      <w:r w:rsidRPr="008C28EB">
        <w:rPr>
          <w:rFonts w:ascii="Times New Roman" w:hAnsi="Times New Roman"/>
          <w:b/>
          <w:sz w:val="24"/>
          <w:szCs w:val="24"/>
          <w:lang w:val="en-US"/>
        </w:rPr>
        <w:t>2. Literature, contribution and hypotheses</w:t>
      </w:r>
    </w:p>
    <w:p w14:paraId="6310888A" w14:textId="77777777" w:rsidR="00C3118C" w:rsidRPr="008C28EB" w:rsidRDefault="000E4840" w:rsidP="007113B2">
      <w:pPr>
        <w:spacing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This paper </w:t>
      </w:r>
      <w:r w:rsidR="00C3118C" w:rsidRPr="008C28EB">
        <w:rPr>
          <w:rFonts w:ascii="Times New Roman" w:hAnsi="Times New Roman"/>
          <w:sz w:val="24"/>
          <w:szCs w:val="24"/>
          <w:lang w:val="en-US"/>
        </w:rPr>
        <w:t>focus</w:t>
      </w:r>
      <w:r w:rsidR="00004FB8" w:rsidRPr="008C28EB">
        <w:rPr>
          <w:rFonts w:ascii="Times New Roman" w:hAnsi="Times New Roman"/>
          <w:sz w:val="24"/>
          <w:szCs w:val="24"/>
          <w:lang w:val="en-US"/>
        </w:rPr>
        <w:t>es</w:t>
      </w:r>
      <w:r w:rsidR="00C3118C" w:rsidRPr="008C28EB">
        <w:rPr>
          <w:rFonts w:ascii="Times New Roman" w:hAnsi="Times New Roman"/>
          <w:sz w:val="24"/>
          <w:szCs w:val="24"/>
          <w:lang w:val="en-US"/>
        </w:rPr>
        <w:t xml:space="preserve"> on the first fundamental step of the European supervisory architecture revolution, i.e., the Comprehensive Assessment </w:t>
      </w:r>
      <w:r w:rsidRPr="008C28EB">
        <w:rPr>
          <w:rFonts w:ascii="Times New Roman" w:hAnsi="Times New Roman"/>
          <w:sz w:val="24"/>
          <w:szCs w:val="24"/>
          <w:lang w:val="en-US"/>
        </w:rPr>
        <w:t xml:space="preserve">(CA) </w:t>
      </w:r>
      <w:r w:rsidR="00C3118C" w:rsidRPr="008C28EB">
        <w:rPr>
          <w:rFonts w:ascii="Times New Roman" w:hAnsi="Times New Roman"/>
          <w:sz w:val="24"/>
          <w:szCs w:val="24"/>
          <w:lang w:val="en-US"/>
        </w:rPr>
        <w:t xml:space="preserve">run in preparation of the SSM. </w:t>
      </w:r>
      <w:r w:rsidR="007113B2" w:rsidRPr="008C28EB">
        <w:rPr>
          <w:rFonts w:ascii="Times New Roman" w:hAnsi="Times New Roman"/>
          <w:sz w:val="24"/>
          <w:szCs w:val="24"/>
          <w:lang w:val="en-US"/>
        </w:rPr>
        <w:t>As such, w</w:t>
      </w:r>
      <w:r w:rsidR="00C3118C" w:rsidRPr="008C28EB">
        <w:rPr>
          <w:rFonts w:ascii="Times New Roman" w:hAnsi="Times New Roman"/>
          <w:sz w:val="24"/>
          <w:szCs w:val="24"/>
          <w:lang w:val="en-US"/>
        </w:rPr>
        <w:t xml:space="preserve">e contribute </w:t>
      </w:r>
      <w:r w:rsidRPr="008C28EB">
        <w:rPr>
          <w:rFonts w:ascii="Times New Roman" w:hAnsi="Times New Roman"/>
          <w:sz w:val="24"/>
          <w:szCs w:val="24"/>
          <w:lang w:val="en-US"/>
        </w:rPr>
        <w:t xml:space="preserve">not only </w:t>
      </w:r>
      <w:r w:rsidR="00C3118C" w:rsidRPr="008C28EB">
        <w:rPr>
          <w:rFonts w:ascii="Times New Roman" w:hAnsi="Times New Roman"/>
          <w:sz w:val="24"/>
          <w:szCs w:val="24"/>
          <w:lang w:val="en-US"/>
        </w:rPr>
        <w:t xml:space="preserve">to the recent research stream on </w:t>
      </w:r>
      <w:r w:rsidR="00C3118C" w:rsidRPr="008C28EB">
        <w:rPr>
          <w:rFonts w:ascii="Times New Roman" w:hAnsi="Times New Roman"/>
          <w:sz w:val="24"/>
          <w:szCs w:val="24"/>
          <w:lang w:val="en-US"/>
        </w:rPr>
        <w:lastRenderedPageBreak/>
        <w:t>regulatory stress tests, but also to the more established literature on financial stability, bank regulation and supervision.</w:t>
      </w:r>
    </w:p>
    <w:p w14:paraId="0C52FF00" w14:textId="77777777" w:rsidR="002F58C0" w:rsidRPr="008C28EB" w:rsidRDefault="004E337F" w:rsidP="00824972">
      <w:pPr>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T</w:t>
      </w:r>
      <w:r w:rsidR="00612C4F" w:rsidRPr="008C28EB">
        <w:rPr>
          <w:rFonts w:ascii="Times New Roman" w:hAnsi="Times New Roman"/>
          <w:sz w:val="24"/>
          <w:szCs w:val="24"/>
          <w:lang w:val="en-US"/>
        </w:rPr>
        <w:t xml:space="preserve">he literature on regulatory stress tests performed by European or U.S. supervisory authorities </w:t>
      </w:r>
      <w:r w:rsidR="00004FB8" w:rsidRPr="008C28EB">
        <w:rPr>
          <w:rFonts w:ascii="Times New Roman" w:hAnsi="Times New Roman"/>
          <w:sz w:val="24"/>
          <w:szCs w:val="24"/>
          <w:lang w:val="en-US"/>
        </w:rPr>
        <w:t>has grown</w:t>
      </w:r>
      <w:r w:rsidRPr="008C28EB">
        <w:rPr>
          <w:rFonts w:ascii="Times New Roman" w:hAnsi="Times New Roman"/>
          <w:sz w:val="24"/>
          <w:szCs w:val="24"/>
          <w:lang w:val="en-US"/>
        </w:rPr>
        <w:t xml:space="preserve"> fast</w:t>
      </w:r>
      <w:r w:rsidR="00E147DC" w:rsidRPr="008C28EB">
        <w:rPr>
          <w:rFonts w:ascii="Times New Roman" w:hAnsi="Times New Roman"/>
          <w:sz w:val="24"/>
          <w:szCs w:val="24"/>
          <w:lang w:val="en-US"/>
        </w:rPr>
        <w:t xml:space="preserve"> in the last years</w:t>
      </w:r>
      <w:r w:rsidR="00004FB8" w:rsidRPr="008C28EB">
        <w:rPr>
          <w:rFonts w:ascii="Times New Roman" w:hAnsi="Times New Roman"/>
          <w:sz w:val="24"/>
          <w:szCs w:val="24"/>
          <w:lang w:val="en-US"/>
        </w:rPr>
        <w:t>,</w:t>
      </w:r>
      <w:r w:rsidR="00211844" w:rsidRPr="008C28EB">
        <w:rPr>
          <w:rFonts w:ascii="Times New Roman" w:hAnsi="Times New Roman"/>
          <w:sz w:val="24"/>
          <w:szCs w:val="24"/>
          <w:lang w:val="en-US"/>
        </w:rPr>
        <w:t xml:space="preserve"> </w:t>
      </w:r>
      <w:r w:rsidR="00C3118C" w:rsidRPr="008C28EB">
        <w:rPr>
          <w:rFonts w:ascii="Times New Roman" w:hAnsi="Times New Roman"/>
          <w:sz w:val="24"/>
          <w:szCs w:val="24"/>
          <w:lang w:val="en-US"/>
        </w:rPr>
        <w:t>includ</w:t>
      </w:r>
      <w:r w:rsidR="00004FB8" w:rsidRPr="008C28EB">
        <w:rPr>
          <w:rFonts w:ascii="Times New Roman" w:hAnsi="Times New Roman"/>
          <w:sz w:val="24"/>
          <w:szCs w:val="24"/>
          <w:lang w:val="en-US"/>
        </w:rPr>
        <w:t>ing</w:t>
      </w:r>
      <w:r w:rsidR="00C3118C" w:rsidRPr="008C28EB">
        <w:rPr>
          <w:rFonts w:ascii="Times New Roman" w:hAnsi="Times New Roman"/>
          <w:sz w:val="24"/>
          <w:szCs w:val="24"/>
          <w:lang w:val="en-US"/>
        </w:rPr>
        <w:t xml:space="preserve"> both theoretical and empirical papers</w:t>
      </w:r>
      <w:r w:rsidRPr="008C28EB">
        <w:rPr>
          <w:rFonts w:ascii="Times New Roman" w:hAnsi="Times New Roman"/>
          <w:sz w:val="24"/>
          <w:szCs w:val="24"/>
          <w:lang w:val="en-US"/>
        </w:rPr>
        <w:t xml:space="preserve">. </w:t>
      </w:r>
      <w:r w:rsidR="00C3118C" w:rsidRPr="008C28EB">
        <w:rPr>
          <w:rFonts w:ascii="Times New Roman" w:hAnsi="Times New Roman"/>
          <w:sz w:val="24"/>
          <w:szCs w:val="24"/>
          <w:lang w:val="en-US"/>
        </w:rPr>
        <w:t>T</w:t>
      </w:r>
      <w:r w:rsidR="007975B2" w:rsidRPr="008C28EB">
        <w:rPr>
          <w:rFonts w:ascii="Times New Roman" w:hAnsi="Times New Roman"/>
          <w:sz w:val="24"/>
          <w:szCs w:val="24"/>
          <w:lang w:val="en-US"/>
        </w:rPr>
        <w:t xml:space="preserve">heoretical </w:t>
      </w:r>
      <w:r w:rsidRPr="008C28EB">
        <w:rPr>
          <w:rFonts w:ascii="Times New Roman" w:hAnsi="Times New Roman"/>
          <w:sz w:val="24"/>
          <w:szCs w:val="24"/>
          <w:lang w:val="en-US"/>
        </w:rPr>
        <w:t xml:space="preserve">studies </w:t>
      </w:r>
      <w:r w:rsidR="00C3118C" w:rsidRPr="008C28EB">
        <w:rPr>
          <w:rFonts w:ascii="Times New Roman" w:hAnsi="Times New Roman"/>
          <w:sz w:val="24"/>
          <w:szCs w:val="24"/>
          <w:lang w:val="en-US"/>
        </w:rPr>
        <w:t xml:space="preserve">mainly </w:t>
      </w:r>
      <w:r w:rsidRPr="008C28EB">
        <w:rPr>
          <w:rFonts w:ascii="Times New Roman" w:hAnsi="Times New Roman"/>
          <w:sz w:val="24"/>
          <w:szCs w:val="24"/>
          <w:lang w:val="en-US"/>
        </w:rPr>
        <w:t xml:space="preserve">discuss whether results from supervisory stress tests should be disclosed or not. </w:t>
      </w:r>
      <w:r w:rsidR="00DE2B14" w:rsidRPr="008C28EB">
        <w:rPr>
          <w:rFonts w:ascii="Times New Roman" w:hAnsi="Times New Roman"/>
          <w:sz w:val="24"/>
          <w:szCs w:val="24"/>
          <w:lang w:val="en-US"/>
        </w:rPr>
        <w:t xml:space="preserve">Following </w:t>
      </w:r>
      <w:r w:rsidRPr="008C28EB">
        <w:rPr>
          <w:rFonts w:ascii="Times New Roman" w:hAnsi="Times New Roman"/>
          <w:sz w:val="24"/>
          <w:szCs w:val="24"/>
          <w:lang w:val="en-US"/>
        </w:rPr>
        <w:t>Bernanke (2013)</w:t>
      </w:r>
      <w:r w:rsidR="00DE2B14" w:rsidRPr="008C28EB">
        <w:rPr>
          <w:rFonts w:ascii="Times New Roman" w:hAnsi="Times New Roman"/>
          <w:sz w:val="24"/>
          <w:szCs w:val="24"/>
          <w:lang w:val="en-US"/>
        </w:rPr>
        <w:t>, the disclosure of stress test</w:t>
      </w:r>
      <w:r w:rsidR="00E147DC" w:rsidRPr="008C28EB">
        <w:rPr>
          <w:rFonts w:ascii="Times New Roman" w:hAnsi="Times New Roman"/>
          <w:sz w:val="24"/>
          <w:szCs w:val="24"/>
          <w:lang w:val="en-US"/>
        </w:rPr>
        <w:t>s</w:t>
      </w:r>
      <w:r w:rsidR="00DE2B14" w:rsidRPr="008C28EB">
        <w:rPr>
          <w:rFonts w:ascii="Times New Roman" w:hAnsi="Times New Roman"/>
          <w:sz w:val="24"/>
          <w:szCs w:val="24"/>
          <w:lang w:val="en-US"/>
        </w:rPr>
        <w:t xml:space="preserve"> results promote transparency by providing investors with consistent and comparable information about banks’ financial conditions. Other </w:t>
      </w:r>
      <w:r w:rsidR="007975B2" w:rsidRPr="008C28EB">
        <w:rPr>
          <w:rFonts w:ascii="Times New Roman" w:hAnsi="Times New Roman"/>
          <w:sz w:val="24"/>
          <w:szCs w:val="24"/>
          <w:lang w:val="en-US"/>
        </w:rPr>
        <w:t>authors recognize the benefits of disclosure, but also point to potential pro</w:t>
      </w:r>
      <w:r w:rsidR="001D2F84" w:rsidRPr="008C28EB">
        <w:rPr>
          <w:rFonts w:ascii="Times New Roman" w:hAnsi="Times New Roman"/>
          <w:sz w:val="24"/>
          <w:szCs w:val="24"/>
          <w:lang w:val="en-US"/>
        </w:rPr>
        <w:t>blems (Hirtle and Lehnert, 2014;</w:t>
      </w:r>
      <w:r w:rsidR="007975B2" w:rsidRPr="008C28EB">
        <w:rPr>
          <w:rFonts w:ascii="Times New Roman" w:hAnsi="Times New Roman"/>
          <w:sz w:val="24"/>
          <w:szCs w:val="24"/>
          <w:lang w:val="en-US"/>
        </w:rPr>
        <w:t xml:space="preserve"> Goldstein</w:t>
      </w:r>
      <w:r w:rsidR="00B6173A" w:rsidRPr="008C28EB">
        <w:rPr>
          <w:rFonts w:ascii="Times New Roman" w:hAnsi="Times New Roman"/>
          <w:sz w:val="24"/>
          <w:szCs w:val="24"/>
          <w:lang w:val="en-US"/>
        </w:rPr>
        <w:t xml:space="preserve"> and </w:t>
      </w:r>
      <w:r w:rsidR="001D2F84" w:rsidRPr="008C28EB">
        <w:rPr>
          <w:rFonts w:ascii="Times New Roman" w:hAnsi="Times New Roman"/>
          <w:sz w:val="24"/>
          <w:szCs w:val="24"/>
          <w:lang w:val="en-US"/>
        </w:rPr>
        <w:t>Sapra</w:t>
      </w:r>
      <w:r w:rsidR="007975B2" w:rsidRPr="008C28EB">
        <w:rPr>
          <w:rFonts w:ascii="Times New Roman" w:hAnsi="Times New Roman"/>
          <w:sz w:val="24"/>
          <w:szCs w:val="24"/>
          <w:lang w:val="en-US"/>
        </w:rPr>
        <w:t>, 2015), especially the so-called Hirshleifer effect (i.e.,</w:t>
      </w:r>
      <w:r w:rsidR="00E409C8" w:rsidRPr="008C28EB">
        <w:rPr>
          <w:rFonts w:ascii="Times New Roman" w:hAnsi="Times New Roman"/>
          <w:sz w:val="24"/>
          <w:szCs w:val="24"/>
          <w:lang w:val="en-US"/>
        </w:rPr>
        <w:t xml:space="preserve"> </w:t>
      </w:r>
      <w:r w:rsidR="007975B2" w:rsidRPr="008C28EB">
        <w:rPr>
          <w:rFonts w:ascii="Times New Roman" w:hAnsi="Times New Roman"/>
          <w:sz w:val="24"/>
          <w:szCs w:val="24"/>
          <w:lang w:val="en-US"/>
        </w:rPr>
        <w:t>disclosing too much information destroys risk-sharing opportunities and reduce</w:t>
      </w:r>
      <w:r w:rsidR="00211844" w:rsidRPr="008C28EB">
        <w:rPr>
          <w:rFonts w:ascii="Times New Roman" w:hAnsi="Times New Roman"/>
          <w:sz w:val="24"/>
          <w:szCs w:val="24"/>
          <w:lang w:val="en-US"/>
        </w:rPr>
        <w:t>s</w:t>
      </w:r>
      <w:r w:rsidR="007975B2" w:rsidRPr="008C28EB">
        <w:rPr>
          <w:rFonts w:ascii="Times New Roman" w:hAnsi="Times New Roman"/>
          <w:sz w:val="24"/>
          <w:szCs w:val="24"/>
          <w:lang w:val="en-US"/>
        </w:rPr>
        <w:t xml:space="preserve"> liq</w:t>
      </w:r>
      <w:r w:rsidR="002F58C0" w:rsidRPr="008C28EB">
        <w:rPr>
          <w:rFonts w:ascii="Times New Roman" w:hAnsi="Times New Roman"/>
          <w:sz w:val="24"/>
          <w:szCs w:val="24"/>
          <w:lang w:val="en-US"/>
        </w:rPr>
        <w:t>uidity in the interbank market</w:t>
      </w:r>
      <w:r w:rsidR="00C3118C" w:rsidRPr="008C28EB">
        <w:rPr>
          <w:rFonts w:ascii="Times New Roman" w:hAnsi="Times New Roman"/>
          <w:sz w:val="24"/>
          <w:szCs w:val="24"/>
          <w:lang w:val="en-US"/>
        </w:rPr>
        <w:t>)</w:t>
      </w:r>
      <w:r w:rsidR="002F58C0" w:rsidRPr="008C28EB">
        <w:rPr>
          <w:rFonts w:ascii="Times New Roman" w:hAnsi="Times New Roman"/>
          <w:sz w:val="24"/>
          <w:szCs w:val="24"/>
          <w:lang w:val="en-US"/>
        </w:rPr>
        <w:t>. Goldstein and Lei</w:t>
      </w:r>
      <w:r w:rsidR="00973D15" w:rsidRPr="008C28EB">
        <w:rPr>
          <w:rFonts w:ascii="Times New Roman" w:hAnsi="Times New Roman"/>
          <w:sz w:val="24"/>
          <w:szCs w:val="24"/>
          <w:lang w:val="en-US"/>
        </w:rPr>
        <w:t>tner</w:t>
      </w:r>
      <w:r w:rsidR="002F58C0" w:rsidRPr="008C28EB">
        <w:rPr>
          <w:rFonts w:ascii="Times New Roman" w:hAnsi="Times New Roman"/>
          <w:sz w:val="24"/>
          <w:szCs w:val="24"/>
          <w:lang w:val="en-US"/>
        </w:rPr>
        <w:t xml:space="preserve"> (2015) conclude that in time of crisis risk-sharing arrangements are already seriously compromised by the general perception that banks are under-capitalized and (partial) disclosure of regulatory stress tests becomes optimal</w:t>
      </w:r>
      <w:r w:rsidR="00E147DC" w:rsidRPr="008C28EB">
        <w:rPr>
          <w:rFonts w:ascii="Times New Roman" w:hAnsi="Times New Roman"/>
          <w:sz w:val="24"/>
          <w:szCs w:val="24"/>
          <w:lang w:val="en-US"/>
        </w:rPr>
        <w:t xml:space="preserve"> and </w:t>
      </w:r>
      <w:r w:rsidR="00A4558E" w:rsidRPr="008C28EB">
        <w:rPr>
          <w:rFonts w:ascii="Times New Roman" w:hAnsi="Times New Roman"/>
          <w:sz w:val="24"/>
          <w:szCs w:val="24"/>
          <w:lang w:val="en-US"/>
        </w:rPr>
        <w:t xml:space="preserve">able to </w:t>
      </w:r>
      <w:r w:rsidR="00E147DC" w:rsidRPr="008C28EB">
        <w:rPr>
          <w:rFonts w:ascii="Times New Roman" w:hAnsi="Times New Roman"/>
          <w:sz w:val="24"/>
          <w:szCs w:val="24"/>
          <w:lang w:val="en-US"/>
        </w:rPr>
        <w:t>produce a stabilizing effect</w:t>
      </w:r>
      <w:r w:rsidR="002F58C0" w:rsidRPr="008C28EB">
        <w:rPr>
          <w:rFonts w:ascii="Times New Roman" w:hAnsi="Times New Roman"/>
          <w:sz w:val="24"/>
          <w:szCs w:val="24"/>
          <w:lang w:val="en-US"/>
        </w:rPr>
        <w:t xml:space="preserve">. In order to produce </w:t>
      </w:r>
      <w:r w:rsidR="00004FB8" w:rsidRPr="008C28EB">
        <w:rPr>
          <w:rFonts w:ascii="Times New Roman" w:hAnsi="Times New Roman"/>
          <w:sz w:val="24"/>
          <w:szCs w:val="24"/>
          <w:lang w:val="en-US"/>
        </w:rPr>
        <w:t>this reassuring effect</w:t>
      </w:r>
      <w:r w:rsidR="002F58C0" w:rsidRPr="008C28EB">
        <w:rPr>
          <w:rFonts w:ascii="Times New Roman" w:hAnsi="Times New Roman"/>
          <w:sz w:val="24"/>
          <w:szCs w:val="24"/>
          <w:lang w:val="en-US"/>
        </w:rPr>
        <w:t>, it is important that regulatory stress tests do produce new and valuable information to the market</w:t>
      </w:r>
      <w:r w:rsidR="00E147DC" w:rsidRPr="008C28EB">
        <w:rPr>
          <w:rFonts w:ascii="Times New Roman" w:hAnsi="Times New Roman"/>
          <w:sz w:val="24"/>
          <w:szCs w:val="24"/>
          <w:lang w:val="en-US"/>
        </w:rPr>
        <w:t>, increasing transparency on banks</w:t>
      </w:r>
      <w:r w:rsidR="00A4558E" w:rsidRPr="008C28EB">
        <w:rPr>
          <w:rFonts w:ascii="Times New Roman" w:hAnsi="Times New Roman"/>
          <w:sz w:val="24"/>
          <w:szCs w:val="24"/>
          <w:lang w:val="en-US"/>
        </w:rPr>
        <w:t>’ financial</w:t>
      </w:r>
      <w:r w:rsidR="00E147DC" w:rsidRPr="008C28EB">
        <w:rPr>
          <w:rFonts w:ascii="Times New Roman" w:hAnsi="Times New Roman"/>
          <w:sz w:val="24"/>
          <w:szCs w:val="24"/>
          <w:lang w:val="en-US"/>
        </w:rPr>
        <w:t xml:space="preserve"> conditions</w:t>
      </w:r>
      <w:r w:rsidR="002F58C0" w:rsidRPr="008C28EB">
        <w:rPr>
          <w:rFonts w:ascii="Times New Roman" w:hAnsi="Times New Roman"/>
          <w:sz w:val="24"/>
          <w:szCs w:val="24"/>
          <w:lang w:val="en-US"/>
        </w:rPr>
        <w:t xml:space="preserve">. </w:t>
      </w:r>
      <w:r w:rsidR="00824972" w:rsidRPr="008C28EB">
        <w:rPr>
          <w:rFonts w:ascii="Times New Roman" w:hAnsi="Times New Roman"/>
          <w:sz w:val="24"/>
          <w:szCs w:val="24"/>
          <w:lang w:val="en-US"/>
        </w:rPr>
        <w:t xml:space="preserve">A complementary set of empirical </w:t>
      </w:r>
      <w:r w:rsidR="007113B2" w:rsidRPr="008C28EB">
        <w:rPr>
          <w:rFonts w:ascii="Times New Roman" w:hAnsi="Times New Roman"/>
          <w:sz w:val="24"/>
          <w:szCs w:val="24"/>
          <w:lang w:val="en-US"/>
        </w:rPr>
        <w:t xml:space="preserve">papers </w:t>
      </w:r>
      <w:r w:rsidR="00824972" w:rsidRPr="008C28EB">
        <w:rPr>
          <w:rFonts w:ascii="Times New Roman" w:hAnsi="Times New Roman"/>
          <w:sz w:val="24"/>
          <w:szCs w:val="24"/>
          <w:lang w:val="en-US"/>
        </w:rPr>
        <w:t>assess market reactions to these regulatory exercises and/or try to assess whether or not they were able to increase transparency.</w:t>
      </w:r>
    </w:p>
    <w:p w14:paraId="670D4B29" w14:textId="77777777" w:rsidR="009F252D" w:rsidRPr="008C28EB" w:rsidRDefault="002F58C0" w:rsidP="00824972">
      <w:pPr>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 xml:space="preserve">To our knowledge, </w:t>
      </w:r>
      <w:r w:rsidR="00073D8A" w:rsidRPr="008C28EB">
        <w:rPr>
          <w:rFonts w:ascii="Times New Roman" w:hAnsi="Times New Roman"/>
          <w:sz w:val="24"/>
          <w:szCs w:val="24"/>
          <w:lang w:val="en-US"/>
        </w:rPr>
        <w:t xml:space="preserve">only a small number of papers analyze </w:t>
      </w:r>
      <w:r w:rsidR="008B4440" w:rsidRPr="008C28EB">
        <w:rPr>
          <w:rFonts w:ascii="Times New Roman" w:hAnsi="Times New Roman"/>
          <w:sz w:val="24"/>
          <w:szCs w:val="24"/>
          <w:lang w:val="en-US"/>
        </w:rPr>
        <w:t xml:space="preserve">the </w:t>
      </w:r>
      <w:r w:rsidR="00073D8A" w:rsidRPr="008C28EB">
        <w:rPr>
          <w:rFonts w:ascii="Times New Roman" w:hAnsi="Times New Roman"/>
          <w:sz w:val="24"/>
          <w:szCs w:val="24"/>
          <w:lang w:val="en-US"/>
        </w:rPr>
        <w:t xml:space="preserve">market reaction to the </w:t>
      </w:r>
      <w:r w:rsidR="009F252D" w:rsidRPr="008C28EB">
        <w:rPr>
          <w:rFonts w:ascii="Times New Roman" w:hAnsi="Times New Roman"/>
          <w:sz w:val="24"/>
          <w:szCs w:val="24"/>
          <w:lang w:val="en-US"/>
        </w:rPr>
        <w:t xml:space="preserve">stress tests performed by </w:t>
      </w:r>
      <w:r w:rsidR="008B4440" w:rsidRPr="008C28EB">
        <w:rPr>
          <w:rFonts w:ascii="Times New Roman" w:hAnsi="Times New Roman"/>
          <w:sz w:val="24"/>
          <w:szCs w:val="24"/>
          <w:lang w:val="en-US"/>
        </w:rPr>
        <w:t xml:space="preserve">the </w:t>
      </w:r>
      <w:r w:rsidR="00073D8A" w:rsidRPr="008C28EB">
        <w:rPr>
          <w:rFonts w:ascii="Times New Roman" w:hAnsi="Times New Roman"/>
          <w:sz w:val="24"/>
          <w:szCs w:val="24"/>
          <w:lang w:val="en-US"/>
        </w:rPr>
        <w:t xml:space="preserve">U.S. or European </w:t>
      </w:r>
      <w:r w:rsidR="009F252D" w:rsidRPr="008C28EB">
        <w:rPr>
          <w:rFonts w:ascii="Times New Roman" w:hAnsi="Times New Roman"/>
          <w:sz w:val="24"/>
          <w:szCs w:val="24"/>
          <w:lang w:val="en-US"/>
        </w:rPr>
        <w:t>supervisory authorities</w:t>
      </w:r>
      <w:r w:rsidR="0019007E" w:rsidRPr="008C28EB">
        <w:rPr>
          <w:rFonts w:ascii="Times New Roman" w:hAnsi="Times New Roman"/>
          <w:sz w:val="24"/>
          <w:szCs w:val="24"/>
          <w:lang w:val="en-US"/>
        </w:rPr>
        <w:t xml:space="preserve"> (</w:t>
      </w:r>
      <w:r w:rsidR="00824972" w:rsidRPr="008C28EB">
        <w:rPr>
          <w:rFonts w:ascii="Times New Roman" w:hAnsi="Times New Roman"/>
          <w:sz w:val="24"/>
          <w:szCs w:val="24"/>
          <w:lang w:val="en-US"/>
        </w:rPr>
        <w:t xml:space="preserve">e.g., </w:t>
      </w:r>
      <w:r w:rsidR="001D6D89" w:rsidRPr="008C28EB">
        <w:rPr>
          <w:rFonts w:ascii="Times New Roman" w:hAnsi="Times New Roman"/>
          <w:sz w:val="24"/>
          <w:szCs w:val="24"/>
          <w:lang w:val="en-US"/>
        </w:rPr>
        <w:t>Candelon and Sy, 2015</w:t>
      </w:r>
      <w:r w:rsidR="0019007E" w:rsidRPr="008C28EB">
        <w:rPr>
          <w:rFonts w:ascii="Times New Roman" w:hAnsi="Times New Roman"/>
          <w:sz w:val="24"/>
          <w:szCs w:val="24"/>
          <w:lang w:val="en-US"/>
        </w:rPr>
        <w:t>).</w:t>
      </w:r>
      <w:r w:rsidR="009F252D" w:rsidRPr="008C28EB">
        <w:rPr>
          <w:rFonts w:ascii="Times New Roman" w:hAnsi="Times New Roman"/>
          <w:sz w:val="24"/>
          <w:szCs w:val="24"/>
          <w:lang w:val="en-US"/>
        </w:rPr>
        <w:t xml:space="preserve"> Focusing on the U.S., Morgan et al. (2014) find that </w:t>
      </w:r>
      <w:r w:rsidR="009F252D" w:rsidRPr="008C28EB">
        <w:rPr>
          <w:rFonts w:ascii="Times New Roman" w:hAnsi="Times New Roman"/>
          <w:sz w:val="24"/>
          <w:szCs w:val="24"/>
          <w:lang w:val="en-US"/>
        </w:rPr>
        <w:lastRenderedPageBreak/>
        <w:t xml:space="preserve">the 2009 stress test conducted on the 19 largest U.S. bank holding companies produced valuable information for the market. Before the results were disclosed, investors had already identified weak banks. </w:t>
      </w:r>
      <w:r w:rsidR="002B0ED5" w:rsidRPr="008C28EB">
        <w:rPr>
          <w:rFonts w:ascii="Times New Roman" w:hAnsi="Times New Roman"/>
          <w:sz w:val="24"/>
          <w:szCs w:val="24"/>
          <w:lang w:val="en-US"/>
        </w:rPr>
        <w:t xml:space="preserve">More in details, the authors demonstrate that the market reaction at February 2009 (the so called “date of clarification”) is a good predictor for the capital gap disclosed two months later, in May 2009 (the so called “date of results”). </w:t>
      </w:r>
      <w:r w:rsidR="009F252D" w:rsidRPr="008C28EB">
        <w:rPr>
          <w:rFonts w:ascii="Times New Roman" w:hAnsi="Times New Roman"/>
          <w:sz w:val="24"/>
          <w:szCs w:val="24"/>
          <w:lang w:val="en-US"/>
        </w:rPr>
        <w:t xml:space="preserve">With the publication of results, </w:t>
      </w:r>
      <w:r w:rsidR="00684165" w:rsidRPr="008C28EB">
        <w:rPr>
          <w:rFonts w:ascii="Times New Roman" w:hAnsi="Times New Roman"/>
          <w:sz w:val="24"/>
          <w:szCs w:val="24"/>
          <w:lang w:val="en-US"/>
        </w:rPr>
        <w:t>investors</w:t>
      </w:r>
      <w:r w:rsidR="009F252D" w:rsidRPr="008C28EB">
        <w:rPr>
          <w:rFonts w:ascii="Times New Roman" w:hAnsi="Times New Roman"/>
          <w:sz w:val="24"/>
          <w:szCs w:val="24"/>
          <w:lang w:val="en-US"/>
        </w:rPr>
        <w:t xml:space="preserve"> gained information on the size of the capital gap, and banks with larger gaps experienced more negative abnormal returns. </w:t>
      </w:r>
      <w:r w:rsidR="002B5C9B" w:rsidRPr="008C28EB">
        <w:rPr>
          <w:rFonts w:ascii="Times New Roman" w:hAnsi="Times New Roman"/>
          <w:sz w:val="24"/>
          <w:szCs w:val="24"/>
          <w:lang w:val="en-US"/>
        </w:rPr>
        <w:t xml:space="preserve">Dealing with Europe, Petrella and Resti (2013) provide evidence that the 2011 </w:t>
      </w:r>
      <w:r w:rsidR="00BB40D6" w:rsidRPr="008C28EB">
        <w:rPr>
          <w:rFonts w:ascii="Times New Roman" w:hAnsi="Times New Roman"/>
          <w:sz w:val="24"/>
          <w:szCs w:val="24"/>
          <w:lang w:val="en-US"/>
        </w:rPr>
        <w:t>European Banking Authority (</w:t>
      </w:r>
      <w:r w:rsidR="002B5C9B" w:rsidRPr="008C28EB">
        <w:rPr>
          <w:rFonts w:ascii="Times New Roman" w:hAnsi="Times New Roman"/>
          <w:sz w:val="24"/>
          <w:szCs w:val="24"/>
          <w:lang w:val="en-US"/>
        </w:rPr>
        <w:t>EBA</w:t>
      </w:r>
      <w:r w:rsidR="00BB40D6" w:rsidRPr="008C28EB">
        <w:rPr>
          <w:rFonts w:ascii="Times New Roman" w:hAnsi="Times New Roman"/>
          <w:sz w:val="24"/>
          <w:szCs w:val="24"/>
          <w:lang w:val="en-US"/>
        </w:rPr>
        <w:t>)</w:t>
      </w:r>
      <w:r w:rsidR="002B5C9B" w:rsidRPr="008C28EB">
        <w:rPr>
          <w:rFonts w:ascii="Times New Roman" w:hAnsi="Times New Roman"/>
          <w:sz w:val="24"/>
          <w:szCs w:val="24"/>
          <w:lang w:val="en-US"/>
        </w:rPr>
        <w:t xml:space="preserve"> stress test produced valuable information for the market and investors were not able to anticipate its results. They also find that the stock market reacted not only to detailed historical data released after the test, but also to indicators of the bank’s vulnerability to simulated downturn scenarios. A</w:t>
      </w:r>
      <w:r w:rsidR="009F252D" w:rsidRPr="008C28EB">
        <w:rPr>
          <w:rFonts w:ascii="Times New Roman" w:hAnsi="Times New Roman"/>
          <w:sz w:val="24"/>
          <w:szCs w:val="24"/>
          <w:lang w:val="en-US"/>
        </w:rPr>
        <w:t>charya et al. (2014) compare the capital shortfall measured by regulatory stress tests - conducted both in Europe and in the U.S</w:t>
      </w:r>
      <w:r w:rsidR="0031325A" w:rsidRPr="008C28EB">
        <w:rPr>
          <w:rFonts w:ascii="Times New Roman" w:hAnsi="Times New Roman"/>
          <w:sz w:val="24"/>
          <w:szCs w:val="24"/>
          <w:lang w:val="en-US"/>
        </w:rPr>
        <w:t>.</w:t>
      </w:r>
      <w:r w:rsidR="009F252D" w:rsidRPr="008C28EB">
        <w:rPr>
          <w:rFonts w:ascii="Times New Roman" w:hAnsi="Times New Roman"/>
          <w:sz w:val="24"/>
          <w:szCs w:val="24"/>
          <w:lang w:val="en-US"/>
        </w:rPr>
        <w:t xml:space="preserve"> - to that of a benchmark methodology that employs only publicly available market data. This alternative methodology assumes a crisis scenario, defined by a 40% drop in the market equity index over six months (see Acharya et al</w:t>
      </w:r>
      <w:r w:rsidR="00684165" w:rsidRPr="008C28EB">
        <w:rPr>
          <w:rFonts w:ascii="Times New Roman" w:hAnsi="Times New Roman"/>
          <w:sz w:val="24"/>
          <w:szCs w:val="24"/>
          <w:lang w:val="en-US"/>
        </w:rPr>
        <w:t>.</w:t>
      </w:r>
      <w:r w:rsidR="009F252D" w:rsidRPr="008C28EB">
        <w:rPr>
          <w:rFonts w:ascii="Times New Roman" w:hAnsi="Times New Roman"/>
          <w:sz w:val="24"/>
          <w:szCs w:val="24"/>
          <w:lang w:val="en-US"/>
        </w:rPr>
        <w:t xml:space="preserve">, 2012). Results show that regulatory stress tests could be more effective using capital adequacy definitions based on total assets and market risks, rather than on risk weighted assets. </w:t>
      </w:r>
    </w:p>
    <w:p w14:paraId="04094B86" w14:textId="77777777" w:rsidR="009F252D" w:rsidRPr="008C28EB" w:rsidRDefault="009F252D" w:rsidP="00824972">
      <w:pPr>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 xml:space="preserve">Not surprisingly, there are very few papers focusing on </w:t>
      </w:r>
      <w:r w:rsidR="002B0ED5" w:rsidRPr="008C28EB">
        <w:rPr>
          <w:rFonts w:ascii="Times New Roman" w:hAnsi="Times New Roman"/>
          <w:sz w:val="24"/>
          <w:szCs w:val="24"/>
          <w:lang w:val="en-US"/>
        </w:rPr>
        <w:t xml:space="preserve">the market reaction to the CA results </w:t>
      </w:r>
      <w:r w:rsidRPr="008C28EB">
        <w:rPr>
          <w:rFonts w:ascii="Times New Roman" w:hAnsi="Times New Roman"/>
          <w:sz w:val="24"/>
          <w:szCs w:val="24"/>
          <w:lang w:val="en-US"/>
        </w:rPr>
        <w:t>(e.g., Bank of Italy, 2014</w:t>
      </w:r>
      <w:r w:rsidR="001D6D89" w:rsidRPr="008C28EB">
        <w:rPr>
          <w:rFonts w:ascii="Times New Roman" w:hAnsi="Times New Roman"/>
          <w:sz w:val="24"/>
          <w:szCs w:val="24"/>
          <w:lang w:val="en-US"/>
        </w:rPr>
        <w:t>; Sahin and de Haan; 2015</w:t>
      </w:r>
      <w:r w:rsidRPr="008C28EB">
        <w:rPr>
          <w:rFonts w:ascii="Times New Roman" w:hAnsi="Times New Roman"/>
          <w:sz w:val="24"/>
          <w:szCs w:val="24"/>
          <w:lang w:val="en-US"/>
        </w:rPr>
        <w:t>)</w:t>
      </w:r>
      <w:r w:rsidR="002B0ED5" w:rsidRPr="008C28EB">
        <w:rPr>
          <w:rFonts w:ascii="Times New Roman" w:hAnsi="Times New Roman"/>
          <w:sz w:val="24"/>
          <w:szCs w:val="24"/>
          <w:lang w:val="en-US"/>
        </w:rPr>
        <w:t xml:space="preserve">, </w:t>
      </w:r>
      <w:r w:rsidR="006F5BEB" w:rsidRPr="008C28EB">
        <w:rPr>
          <w:rFonts w:ascii="Times New Roman" w:hAnsi="Times New Roman"/>
          <w:sz w:val="24"/>
          <w:szCs w:val="24"/>
          <w:lang w:val="en-US"/>
        </w:rPr>
        <w:t xml:space="preserve">due to its </w:t>
      </w:r>
      <w:r w:rsidR="002B0ED5" w:rsidRPr="008C28EB">
        <w:rPr>
          <w:rFonts w:ascii="Times New Roman" w:hAnsi="Times New Roman"/>
          <w:sz w:val="24"/>
          <w:szCs w:val="24"/>
          <w:lang w:val="en-US"/>
        </w:rPr>
        <w:t>very recent and fast</w:t>
      </w:r>
      <w:r w:rsidR="006F5BEB" w:rsidRPr="008C28EB">
        <w:rPr>
          <w:rFonts w:ascii="Times New Roman" w:hAnsi="Times New Roman"/>
          <w:sz w:val="24"/>
          <w:szCs w:val="24"/>
          <w:lang w:val="en-US"/>
        </w:rPr>
        <w:t xml:space="preserve"> launch</w:t>
      </w:r>
      <w:r w:rsidRPr="008C28EB">
        <w:rPr>
          <w:rFonts w:ascii="Times New Roman" w:hAnsi="Times New Roman"/>
          <w:sz w:val="24"/>
          <w:szCs w:val="24"/>
          <w:lang w:val="en-US"/>
        </w:rPr>
        <w:t>. Bank of Italy (2014) assessed the market reaction to the announcement of CA results as follows: “</w:t>
      </w:r>
      <w:r w:rsidRPr="008C28EB">
        <w:rPr>
          <w:rFonts w:ascii="Times New Roman" w:hAnsi="Times New Roman"/>
          <w:i/>
          <w:sz w:val="24"/>
          <w:szCs w:val="24"/>
          <w:lang w:val="en-US"/>
        </w:rPr>
        <w:t xml:space="preserve">The share prices of the banks for which </w:t>
      </w:r>
      <w:r w:rsidRPr="008C28EB">
        <w:rPr>
          <w:rFonts w:ascii="Times New Roman" w:hAnsi="Times New Roman"/>
          <w:i/>
          <w:sz w:val="24"/>
          <w:szCs w:val="24"/>
          <w:lang w:val="en-US"/>
        </w:rPr>
        <w:lastRenderedPageBreak/>
        <w:t>capital strengthening requirements emerged recorded large losses owing to the dilution effect of any capital increases. The risk premiums on the CDS of almost all the banks involved in the exercise narrowed in the days immediately following 26 October, reflecting increased confidence on the part of investors; these improvements were subsequently scaled back</w:t>
      </w:r>
      <w:r w:rsidRPr="008C28EB">
        <w:rPr>
          <w:rFonts w:ascii="Times New Roman" w:hAnsi="Times New Roman"/>
          <w:sz w:val="24"/>
          <w:szCs w:val="24"/>
          <w:lang w:val="en-US"/>
        </w:rPr>
        <w:t>” (Bank of Italy, 2014, p. 31).</w:t>
      </w:r>
      <w:r w:rsidR="001D6D89" w:rsidRPr="008C28EB">
        <w:rPr>
          <w:rFonts w:ascii="Times New Roman" w:hAnsi="Times New Roman"/>
          <w:sz w:val="24"/>
          <w:szCs w:val="24"/>
          <w:lang w:val="en-US"/>
        </w:rPr>
        <w:t xml:space="preserve"> Sahin and de Haan (2015) run an event study analysis by country finding a strong heterogeneity across several Euro area members.</w:t>
      </w:r>
    </w:p>
    <w:p w14:paraId="73A30F2C" w14:textId="77777777" w:rsidR="008A676B" w:rsidRPr="008C28EB" w:rsidRDefault="009F252D" w:rsidP="001116A6">
      <w:pPr>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 xml:space="preserve">Our study has a different perspective </w:t>
      </w:r>
      <w:r w:rsidR="00F02DB6" w:rsidRPr="008C28EB">
        <w:rPr>
          <w:rFonts w:ascii="Times New Roman" w:hAnsi="Times New Roman"/>
          <w:sz w:val="24"/>
          <w:szCs w:val="24"/>
          <w:lang w:val="en-US"/>
        </w:rPr>
        <w:t xml:space="preserve">from the existing </w:t>
      </w:r>
      <w:r w:rsidR="007113B2" w:rsidRPr="008C28EB">
        <w:rPr>
          <w:rFonts w:ascii="Times New Roman" w:hAnsi="Times New Roman"/>
          <w:sz w:val="24"/>
          <w:szCs w:val="24"/>
          <w:lang w:val="en-US"/>
        </w:rPr>
        <w:t xml:space="preserve">papers </w:t>
      </w:r>
      <w:r w:rsidR="001D6D89" w:rsidRPr="008C28EB">
        <w:rPr>
          <w:rFonts w:ascii="Times New Roman" w:hAnsi="Times New Roman"/>
          <w:sz w:val="24"/>
          <w:szCs w:val="24"/>
          <w:lang w:val="en-US"/>
        </w:rPr>
        <w:t xml:space="preserve">on the European case, </w:t>
      </w:r>
      <w:r w:rsidRPr="008C28EB">
        <w:rPr>
          <w:rFonts w:ascii="Times New Roman" w:hAnsi="Times New Roman"/>
          <w:sz w:val="24"/>
          <w:szCs w:val="24"/>
          <w:lang w:val="en-US"/>
        </w:rPr>
        <w:t xml:space="preserve">since we aim to analyze the </w:t>
      </w:r>
      <w:r w:rsidR="002B0ED5" w:rsidRPr="008C28EB">
        <w:rPr>
          <w:rFonts w:ascii="Times New Roman" w:hAnsi="Times New Roman"/>
          <w:sz w:val="24"/>
          <w:szCs w:val="24"/>
          <w:lang w:val="en-US"/>
        </w:rPr>
        <w:t xml:space="preserve">market reaction related to the CA, not only at the date of </w:t>
      </w:r>
      <w:r w:rsidR="006F5BEB" w:rsidRPr="008C28EB">
        <w:rPr>
          <w:rFonts w:ascii="Times New Roman" w:hAnsi="Times New Roman"/>
          <w:sz w:val="24"/>
          <w:szCs w:val="24"/>
          <w:lang w:val="en-US"/>
        </w:rPr>
        <w:t xml:space="preserve">the </w:t>
      </w:r>
      <w:r w:rsidR="002B0ED5" w:rsidRPr="008C28EB">
        <w:rPr>
          <w:rFonts w:ascii="Times New Roman" w:hAnsi="Times New Roman"/>
          <w:sz w:val="24"/>
          <w:szCs w:val="24"/>
          <w:lang w:val="en-US"/>
        </w:rPr>
        <w:t>results</w:t>
      </w:r>
      <w:r w:rsidR="006F5BEB" w:rsidRPr="008C28EB">
        <w:rPr>
          <w:rFonts w:ascii="Times New Roman" w:hAnsi="Times New Roman"/>
          <w:sz w:val="24"/>
          <w:szCs w:val="24"/>
          <w:lang w:val="en-US"/>
        </w:rPr>
        <w:t>’</w:t>
      </w:r>
      <w:r w:rsidR="002B0ED5" w:rsidRPr="008C28EB">
        <w:rPr>
          <w:rFonts w:ascii="Times New Roman" w:hAnsi="Times New Roman"/>
          <w:sz w:val="24"/>
          <w:szCs w:val="24"/>
          <w:lang w:val="en-US"/>
        </w:rPr>
        <w:t xml:space="preserve"> disclosure, but also in </w:t>
      </w:r>
      <w:r w:rsidR="006F5BEB" w:rsidRPr="008C28EB">
        <w:rPr>
          <w:rFonts w:ascii="Times New Roman" w:hAnsi="Times New Roman"/>
          <w:sz w:val="24"/>
          <w:szCs w:val="24"/>
          <w:lang w:val="en-US"/>
        </w:rPr>
        <w:t xml:space="preserve">each </w:t>
      </w:r>
      <w:r w:rsidR="002B0ED5" w:rsidRPr="008C28EB">
        <w:rPr>
          <w:rFonts w:ascii="Times New Roman" w:hAnsi="Times New Roman"/>
          <w:sz w:val="24"/>
          <w:szCs w:val="24"/>
          <w:lang w:val="en-US"/>
        </w:rPr>
        <w:t xml:space="preserve">previous intermediate step. </w:t>
      </w:r>
      <w:r w:rsidR="00A4558E" w:rsidRPr="008C28EB">
        <w:rPr>
          <w:rFonts w:ascii="Times New Roman" w:hAnsi="Times New Roman"/>
          <w:sz w:val="24"/>
          <w:szCs w:val="24"/>
          <w:lang w:val="en-US"/>
        </w:rPr>
        <w:t xml:space="preserve">After the event study analysis, </w:t>
      </w:r>
      <w:r w:rsidR="00272292" w:rsidRPr="008C28EB">
        <w:rPr>
          <w:rFonts w:ascii="Times New Roman" w:hAnsi="Times New Roman"/>
          <w:sz w:val="24"/>
          <w:szCs w:val="24"/>
          <w:lang w:val="en-US"/>
        </w:rPr>
        <w:t>similarly to</w:t>
      </w:r>
      <w:r w:rsidR="008A676B" w:rsidRPr="008C28EB">
        <w:rPr>
          <w:rFonts w:ascii="Times New Roman" w:hAnsi="Times New Roman"/>
          <w:sz w:val="24"/>
          <w:szCs w:val="24"/>
          <w:lang w:val="en-US"/>
        </w:rPr>
        <w:t xml:space="preserve"> Morgan et al. (2014)</w:t>
      </w:r>
      <w:r w:rsidR="00276895" w:rsidRPr="008C28EB">
        <w:rPr>
          <w:rFonts w:ascii="Times New Roman" w:hAnsi="Times New Roman"/>
          <w:sz w:val="24"/>
          <w:szCs w:val="24"/>
          <w:lang w:val="en-US"/>
        </w:rPr>
        <w:t>,</w:t>
      </w:r>
      <w:r w:rsidR="008A676B" w:rsidRPr="008C28EB">
        <w:rPr>
          <w:rFonts w:ascii="Times New Roman" w:hAnsi="Times New Roman"/>
          <w:sz w:val="24"/>
          <w:szCs w:val="24"/>
          <w:lang w:val="en-US"/>
        </w:rPr>
        <w:t xml:space="preserve"> we focus on two main dates</w:t>
      </w:r>
      <w:r w:rsidR="00C31496" w:rsidRPr="008C28EB">
        <w:rPr>
          <w:rFonts w:ascii="Times New Roman" w:hAnsi="Times New Roman"/>
          <w:sz w:val="24"/>
          <w:szCs w:val="24"/>
          <w:lang w:val="en-US"/>
        </w:rPr>
        <w:t>, the announcement of the procedure and the disclosure of results</w:t>
      </w:r>
      <w:r w:rsidR="00F44118" w:rsidRPr="008C28EB">
        <w:rPr>
          <w:rFonts w:ascii="Times New Roman" w:hAnsi="Times New Roman"/>
          <w:sz w:val="24"/>
          <w:szCs w:val="24"/>
          <w:lang w:val="en-US"/>
        </w:rPr>
        <w:t xml:space="preserve">, assuming that the reaction at the announcement date is a measure of </w:t>
      </w:r>
      <w:r w:rsidR="006F5BEB" w:rsidRPr="008C28EB">
        <w:rPr>
          <w:rFonts w:ascii="Times New Roman" w:hAnsi="Times New Roman"/>
          <w:sz w:val="24"/>
          <w:szCs w:val="24"/>
          <w:lang w:val="en-US"/>
        </w:rPr>
        <w:t xml:space="preserve">the </w:t>
      </w:r>
      <w:r w:rsidR="00F44118" w:rsidRPr="008C28EB">
        <w:rPr>
          <w:rFonts w:ascii="Times New Roman" w:hAnsi="Times New Roman"/>
          <w:sz w:val="24"/>
          <w:szCs w:val="24"/>
          <w:lang w:val="en-US"/>
        </w:rPr>
        <w:t>investors’ expectations about the results</w:t>
      </w:r>
      <w:r w:rsidR="007A464D" w:rsidRPr="008C28EB">
        <w:rPr>
          <w:rFonts w:ascii="Times New Roman" w:hAnsi="Times New Roman"/>
          <w:sz w:val="24"/>
          <w:szCs w:val="24"/>
          <w:lang w:val="en-US"/>
        </w:rPr>
        <w:t xml:space="preserve">. </w:t>
      </w:r>
      <w:r w:rsidR="00CB73AA" w:rsidRPr="008C28EB">
        <w:rPr>
          <w:rFonts w:ascii="Times New Roman" w:hAnsi="Times New Roman"/>
          <w:sz w:val="24"/>
          <w:szCs w:val="24"/>
          <w:lang w:val="en-US"/>
        </w:rPr>
        <w:t xml:space="preserve">Consequently, at the announcement date, we expect a negative market reaction for treated banks supposed to register a capital shortfall in the CA. </w:t>
      </w:r>
      <w:r w:rsidR="0028265B" w:rsidRPr="008C28EB">
        <w:rPr>
          <w:rFonts w:ascii="Times New Roman" w:hAnsi="Times New Roman"/>
          <w:sz w:val="24"/>
          <w:szCs w:val="24"/>
          <w:lang w:val="en-US"/>
        </w:rPr>
        <w:t>At the results date, the market reaction is expected to be positive if the expected capital shortfall is higher than the realized shortfall disclosed by the ECB, or negative otherwise. A</w:t>
      </w:r>
      <w:r w:rsidR="001116A6" w:rsidRPr="008C28EB">
        <w:rPr>
          <w:rFonts w:ascii="Times New Roman" w:hAnsi="Times New Roman"/>
          <w:sz w:val="24"/>
          <w:szCs w:val="24"/>
          <w:lang w:val="en-US"/>
        </w:rPr>
        <w:t xml:space="preserve">s a consequence, at the results date, if the stress test produces new significant information, it is possible to register both positive and negative reactions, depending on previous expectations about every single bank’s conditions. At the opposite, if the stress test does not produce new valuable information, there are no significant abnormal returns in the stock price of involved banks. </w:t>
      </w:r>
      <w:r w:rsidR="00F44118" w:rsidRPr="008C28EB">
        <w:rPr>
          <w:rFonts w:ascii="Times New Roman" w:hAnsi="Times New Roman"/>
          <w:sz w:val="24"/>
          <w:szCs w:val="24"/>
          <w:lang w:val="en-US"/>
        </w:rPr>
        <w:t>This is consistent with</w:t>
      </w:r>
      <w:r w:rsidR="007A464D" w:rsidRPr="008C28EB">
        <w:rPr>
          <w:rFonts w:ascii="Times New Roman" w:hAnsi="Times New Roman"/>
          <w:sz w:val="24"/>
          <w:szCs w:val="24"/>
          <w:lang w:val="en-US"/>
        </w:rPr>
        <w:t xml:space="preserve"> Flannery et al. (2015) </w:t>
      </w:r>
      <w:r w:rsidR="00F44118" w:rsidRPr="008C28EB">
        <w:rPr>
          <w:rFonts w:ascii="Times New Roman" w:hAnsi="Times New Roman"/>
          <w:sz w:val="24"/>
          <w:szCs w:val="24"/>
          <w:lang w:val="en-US"/>
        </w:rPr>
        <w:t>outlining that</w:t>
      </w:r>
      <w:r w:rsidR="00714C5A" w:rsidRPr="008C28EB">
        <w:rPr>
          <w:rFonts w:ascii="Times New Roman" w:hAnsi="Times New Roman"/>
          <w:sz w:val="24"/>
          <w:szCs w:val="24"/>
          <w:lang w:val="en-US"/>
        </w:rPr>
        <w:t>,</w:t>
      </w:r>
      <w:r w:rsidR="00F44118" w:rsidRPr="008C28EB">
        <w:rPr>
          <w:rFonts w:ascii="Times New Roman" w:hAnsi="Times New Roman"/>
          <w:sz w:val="24"/>
          <w:szCs w:val="24"/>
          <w:lang w:val="en-US"/>
        </w:rPr>
        <w:t xml:space="preserve"> when </w:t>
      </w:r>
      <w:r w:rsidR="007A464D" w:rsidRPr="008C28EB">
        <w:rPr>
          <w:rFonts w:ascii="Times New Roman" w:hAnsi="Times New Roman"/>
          <w:sz w:val="24"/>
          <w:szCs w:val="24"/>
          <w:lang w:val="en-US"/>
        </w:rPr>
        <w:t xml:space="preserve">announcement </w:t>
      </w:r>
      <w:r w:rsidR="00F44118" w:rsidRPr="008C28EB">
        <w:rPr>
          <w:rFonts w:ascii="Times New Roman" w:hAnsi="Times New Roman"/>
          <w:sz w:val="24"/>
          <w:szCs w:val="24"/>
          <w:lang w:val="en-US"/>
        </w:rPr>
        <w:t xml:space="preserve">dates </w:t>
      </w:r>
      <w:r w:rsidR="007A464D" w:rsidRPr="008C28EB">
        <w:rPr>
          <w:rFonts w:ascii="Times New Roman" w:hAnsi="Times New Roman"/>
          <w:sz w:val="24"/>
          <w:szCs w:val="24"/>
          <w:lang w:val="en-US"/>
        </w:rPr>
        <w:t xml:space="preserve">are known well in advance by investors, </w:t>
      </w:r>
      <w:r w:rsidR="00F44118" w:rsidRPr="008C28EB">
        <w:rPr>
          <w:rFonts w:ascii="Times New Roman" w:hAnsi="Times New Roman"/>
          <w:sz w:val="24"/>
          <w:szCs w:val="24"/>
          <w:lang w:val="en-US"/>
        </w:rPr>
        <w:t xml:space="preserve">as in the case of stress </w:t>
      </w:r>
      <w:r w:rsidR="00F44118" w:rsidRPr="008C28EB">
        <w:rPr>
          <w:rFonts w:ascii="Times New Roman" w:hAnsi="Times New Roman"/>
          <w:sz w:val="24"/>
          <w:szCs w:val="24"/>
          <w:lang w:val="en-US"/>
        </w:rPr>
        <w:lastRenderedPageBreak/>
        <w:t xml:space="preserve">test disclosure of results, </w:t>
      </w:r>
      <w:r w:rsidR="007A464D" w:rsidRPr="008C28EB">
        <w:rPr>
          <w:rFonts w:ascii="Times New Roman" w:hAnsi="Times New Roman"/>
          <w:sz w:val="24"/>
          <w:szCs w:val="24"/>
          <w:lang w:val="en-US"/>
        </w:rPr>
        <w:t>their information content must be evaluated in relation to the market’s prior beliefs.</w:t>
      </w:r>
      <w:r w:rsidR="001116A6" w:rsidRPr="008C28EB">
        <w:rPr>
          <w:rFonts w:ascii="Times New Roman" w:hAnsi="Times New Roman"/>
          <w:sz w:val="24"/>
          <w:szCs w:val="24"/>
          <w:lang w:val="en-US"/>
        </w:rPr>
        <w:t xml:space="preserve"> We believe that the CA was able to produce new information, similarly to previous stress tests conducted in the U.S. and in Europe. </w:t>
      </w:r>
      <w:r w:rsidR="008A676B" w:rsidRPr="008C28EB">
        <w:rPr>
          <w:rFonts w:ascii="Times New Roman" w:hAnsi="Times New Roman"/>
          <w:sz w:val="24"/>
          <w:szCs w:val="24"/>
          <w:lang w:val="en-US"/>
        </w:rPr>
        <w:t xml:space="preserve">Our </w:t>
      </w:r>
      <w:r w:rsidR="00A06401" w:rsidRPr="008C28EB">
        <w:rPr>
          <w:rFonts w:ascii="Times New Roman" w:hAnsi="Times New Roman"/>
          <w:sz w:val="24"/>
          <w:szCs w:val="24"/>
          <w:lang w:val="en-US"/>
        </w:rPr>
        <w:t>first</w:t>
      </w:r>
      <w:r w:rsidR="008A676B" w:rsidRPr="008C28EB">
        <w:rPr>
          <w:rFonts w:ascii="Times New Roman" w:hAnsi="Times New Roman"/>
          <w:sz w:val="24"/>
          <w:szCs w:val="24"/>
          <w:lang w:val="en-US"/>
        </w:rPr>
        <w:t xml:space="preserve"> hypothesis is the following:</w:t>
      </w:r>
    </w:p>
    <w:p w14:paraId="5189ED5D" w14:textId="77777777" w:rsidR="008A676B" w:rsidRPr="008C28EB" w:rsidRDefault="008A676B" w:rsidP="00824972">
      <w:pPr>
        <w:spacing w:after="120" w:line="480" w:lineRule="auto"/>
        <w:ind w:left="567" w:firstLine="709"/>
        <w:jc w:val="both"/>
        <w:rPr>
          <w:rFonts w:ascii="Times New Roman" w:hAnsi="Times New Roman"/>
          <w:i/>
          <w:sz w:val="24"/>
          <w:szCs w:val="24"/>
          <w:lang w:val="en-US"/>
        </w:rPr>
      </w:pPr>
      <w:r w:rsidRPr="008C28EB">
        <w:rPr>
          <w:rFonts w:ascii="Times New Roman" w:hAnsi="Times New Roman"/>
          <w:sz w:val="24"/>
          <w:szCs w:val="24"/>
          <w:lang w:val="en-US"/>
        </w:rPr>
        <w:t>H</w:t>
      </w:r>
      <w:r w:rsidRPr="008C28EB">
        <w:rPr>
          <w:rFonts w:ascii="Times New Roman" w:hAnsi="Times New Roman"/>
          <w:sz w:val="24"/>
          <w:szCs w:val="24"/>
          <w:vertAlign w:val="subscript"/>
          <w:lang w:val="en-US"/>
        </w:rPr>
        <w:t>1</w:t>
      </w:r>
      <w:r w:rsidRPr="008C28EB">
        <w:rPr>
          <w:rFonts w:ascii="Times New Roman" w:hAnsi="Times New Roman"/>
          <w:sz w:val="24"/>
          <w:szCs w:val="24"/>
          <w:lang w:val="en-US"/>
        </w:rPr>
        <w:t>:</w:t>
      </w:r>
      <w:r w:rsidR="00550AE9" w:rsidRPr="008C28EB">
        <w:rPr>
          <w:rFonts w:ascii="Times New Roman" w:hAnsi="Times New Roman"/>
          <w:sz w:val="24"/>
          <w:szCs w:val="24"/>
          <w:lang w:val="en-US"/>
        </w:rPr>
        <w:tab/>
      </w:r>
      <w:r w:rsidR="00684165" w:rsidRPr="008C28EB">
        <w:rPr>
          <w:rFonts w:ascii="Times New Roman" w:hAnsi="Times New Roman"/>
          <w:i/>
          <w:sz w:val="24"/>
          <w:szCs w:val="24"/>
          <w:lang w:val="en-US"/>
        </w:rPr>
        <w:t>At the announcement of the procedure</w:t>
      </w:r>
      <w:r w:rsidR="00684165" w:rsidRPr="008C28EB">
        <w:rPr>
          <w:rFonts w:ascii="Times New Roman" w:hAnsi="Times New Roman"/>
          <w:sz w:val="24"/>
          <w:szCs w:val="24"/>
          <w:lang w:val="en-US"/>
        </w:rPr>
        <w:t xml:space="preserve">, </w:t>
      </w:r>
      <w:r w:rsidR="00684165" w:rsidRPr="008C28EB">
        <w:rPr>
          <w:rFonts w:ascii="Times New Roman" w:hAnsi="Times New Roman"/>
          <w:i/>
          <w:sz w:val="24"/>
          <w:szCs w:val="24"/>
          <w:lang w:val="en-US"/>
        </w:rPr>
        <w:t>i</w:t>
      </w:r>
      <w:r w:rsidRPr="008C28EB">
        <w:rPr>
          <w:rFonts w:ascii="Times New Roman" w:hAnsi="Times New Roman"/>
          <w:i/>
          <w:sz w:val="24"/>
          <w:szCs w:val="24"/>
          <w:lang w:val="en-US"/>
        </w:rPr>
        <w:t xml:space="preserve">nvestors were not able to predict the magnitude of the capital shortfall revealed </w:t>
      </w:r>
      <w:r w:rsidR="00C31496" w:rsidRPr="008C28EB">
        <w:rPr>
          <w:rFonts w:ascii="Times New Roman" w:hAnsi="Times New Roman"/>
          <w:i/>
          <w:sz w:val="24"/>
          <w:szCs w:val="24"/>
          <w:lang w:val="en-US"/>
        </w:rPr>
        <w:t>at the results date</w:t>
      </w:r>
      <w:r w:rsidRPr="008C28EB">
        <w:rPr>
          <w:rFonts w:ascii="Times New Roman" w:hAnsi="Times New Roman"/>
          <w:i/>
          <w:sz w:val="24"/>
          <w:szCs w:val="24"/>
          <w:lang w:val="en-US"/>
        </w:rPr>
        <w:t xml:space="preserve">, i.e., the exercise produced </w:t>
      </w:r>
      <w:r w:rsidR="00A4558E" w:rsidRPr="008C28EB">
        <w:rPr>
          <w:rFonts w:ascii="Times New Roman" w:hAnsi="Times New Roman"/>
          <w:i/>
          <w:sz w:val="24"/>
          <w:szCs w:val="24"/>
          <w:lang w:val="en-US"/>
        </w:rPr>
        <w:t>valuable information for</w:t>
      </w:r>
      <w:r w:rsidRPr="008C28EB">
        <w:rPr>
          <w:rFonts w:ascii="Times New Roman" w:hAnsi="Times New Roman"/>
          <w:i/>
          <w:sz w:val="24"/>
          <w:szCs w:val="24"/>
          <w:lang w:val="en-US"/>
        </w:rPr>
        <w:t xml:space="preserve"> the market</w:t>
      </w:r>
      <w:r w:rsidR="00C31496" w:rsidRPr="008C28EB">
        <w:rPr>
          <w:rFonts w:ascii="Times New Roman" w:hAnsi="Times New Roman"/>
          <w:i/>
          <w:sz w:val="24"/>
          <w:szCs w:val="24"/>
          <w:lang w:val="en-US"/>
        </w:rPr>
        <w:t xml:space="preserve"> and reached the goal of increase</w:t>
      </w:r>
      <w:r w:rsidR="008B4440" w:rsidRPr="008C28EB">
        <w:rPr>
          <w:rFonts w:ascii="Times New Roman" w:hAnsi="Times New Roman"/>
          <w:i/>
          <w:sz w:val="24"/>
          <w:szCs w:val="24"/>
          <w:lang w:val="en-US"/>
        </w:rPr>
        <w:t>d</w:t>
      </w:r>
      <w:r w:rsidR="00C31496" w:rsidRPr="008C28EB">
        <w:rPr>
          <w:rFonts w:ascii="Times New Roman" w:hAnsi="Times New Roman"/>
          <w:i/>
          <w:sz w:val="24"/>
          <w:szCs w:val="24"/>
          <w:lang w:val="en-US"/>
        </w:rPr>
        <w:t xml:space="preserve"> transparency</w:t>
      </w:r>
      <w:r w:rsidRPr="008C28EB">
        <w:rPr>
          <w:rFonts w:ascii="Times New Roman" w:hAnsi="Times New Roman"/>
          <w:i/>
          <w:sz w:val="24"/>
          <w:szCs w:val="24"/>
          <w:lang w:val="en-US"/>
        </w:rPr>
        <w:t xml:space="preserve">. </w:t>
      </w:r>
    </w:p>
    <w:p w14:paraId="3363F5A8" w14:textId="1D959F4B" w:rsidR="00684165" w:rsidRPr="008C28EB" w:rsidRDefault="00F44118" w:rsidP="00824972">
      <w:pPr>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 xml:space="preserve">With respect to the existing literature on regulatory stress tests, we add a further analysis motivated by the specialness of the CA </w:t>
      </w:r>
      <w:r w:rsidR="00C3118C" w:rsidRPr="008C28EB">
        <w:rPr>
          <w:rFonts w:ascii="Times New Roman" w:hAnsi="Times New Roman"/>
          <w:sz w:val="24"/>
          <w:szCs w:val="24"/>
          <w:lang w:val="en-US"/>
        </w:rPr>
        <w:t>as a first step of the new European supervisory architecture. As outlined by Doumpos et al. (2015), the crisis re-opened the debate on the optimal supervisory architecture, since theory and limited empirical evidence provide mixed results on the effect of Central Banks’ independence and involvement in financial supervision.</w:t>
      </w:r>
      <w:r w:rsidR="006F5BEB" w:rsidRPr="008C28EB">
        <w:rPr>
          <w:rFonts w:ascii="Times New Roman" w:hAnsi="Times New Roman"/>
          <w:sz w:val="24"/>
          <w:szCs w:val="24"/>
          <w:lang w:val="en-US"/>
        </w:rPr>
        <w:t xml:space="preserve"> </w:t>
      </w:r>
      <w:r w:rsidR="00C3118C" w:rsidRPr="008C28EB">
        <w:rPr>
          <w:rFonts w:ascii="Times New Roman" w:hAnsi="Times New Roman"/>
          <w:sz w:val="24"/>
          <w:szCs w:val="24"/>
          <w:lang w:val="en-US"/>
        </w:rPr>
        <w:t>In a second step of our paper</w:t>
      </w:r>
      <w:r w:rsidR="008A676B" w:rsidRPr="008C28EB">
        <w:rPr>
          <w:rFonts w:ascii="Times New Roman" w:hAnsi="Times New Roman"/>
          <w:sz w:val="24"/>
          <w:szCs w:val="24"/>
          <w:lang w:val="en-US"/>
        </w:rPr>
        <w:t xml:space="preserve">, we not only consider banks subject to the CA (with a capital shortfall or not), but we also consider a control sample of European banks </w:t>
      </w:r>
      <w:r w:rsidR="00793169" w:rsidRPr="008C28EB">
        <w:rPr>
          <w:rFonts w:ascii="Times New Roman" w:hAnsi="Times New Roman"/>
          <w:sz w:val="24"/>
          <w:szCs w:val="24"/>
          <w:lang w:val="en-US"/>
        </w:rPr>
        <w:t xml:space="preserve">excluded from </w:t>
      </w:r>
      <w:r w:rsidR="008A676B" w:rsidRPr="008C28EB">
        <w:rPr>
          <w:rFonts w:ascii="Times New Roman" w:hAnsi="Times New Roman"/>
          <w:sz w:val="24"/>
          <w:szCs w:val="24"/>
          <w:lang w:val="en-US"/>
        </w:rPr>
        <w:t xml:space="preserve">the procedure. In this way, we aim to </w:t>
      </w:r>
      <w:r w:rsidR="00684165" w:rsidRPr="008C28EB">
        <w:rPr>
          <w:rFonts w:ascii="Times New Roman" w:hAnsi="Times New Roman"/>
          <w:sz w:val="24"/>
          <w:szCs w:val="24"/>
          <w:lang w:val="en-US"/>
        </w:rPr>
        <w:t xml:space="preserve">explore the reaction of banks outside the SSM. This sample group allows us to evaluate whether investors were worried only about the CA exercise or, more generally, </w:t>
      </w:r>
      <w:r w:rsidR="00793169" w:rsidRPr="008C28EB">
        <w:rPr>
          <w:rFonts w:ascii="Times New Roman" w:hAnsi="Times New Roman"/>
          <w:sz w:val="24"/>
          <w:szCs w:val="24"/>
          <w:lang w:val="en-US"/>
        </w:rPr>
        <w:t xml:space="preserve">about </w:t>
      </w:r>
      <w:r w:rsidR="00684165" w:rsidRPr="008C28EB">
        <w:rPr>
          <w:rFonts w:ascii="Times New Roman" w:hAnsi="Times New Roman"/>
          <w:sz w:val="24"/>
          <w:szCs w:val="24"/>
          <w:lang w:val="en-US"/>
        </w:rPr>
        <w:t>the change in the supervisory mechanism.</w:t>
      </w:r>
      <w:r w:rsidR="005E7B61" w:rsidRPr="008C28EB">
        <w:rPr>
          <w:rFonts w:ascii="Times New Roman" w:hAnsi="Times New Roman"/>
          <w:sz w:val="24"/>
          <w:szCs w:val="24"/>
          <w:lang w:val="en-US"/>
        </w:rPr>
        <w:t xml:space="preserve"> Although we are aware that the consequences (especially long-term effects) of switching from a Multiple Supervisory Mechanism (MSM) to a Single Supervisory Mechanism (SSM) will be visible in the medium-long run, the endeavor of our analysis is to show that this change has generated immediate reactions </w:t>
      </w:r>
      <w:r w:rsidR="00793169" w:rsidRPr="008C28EB">
        <w:rPr>
          <w:rFonts w:ascii="Times New Roman" w:hAnsi="Times New Roman"/>
          <w:sz w:val="24"/>
          <w:szCs w:val="24"/>
          <w:lang w:val="en-US"/>
        </w:rPr>
        <w:t xml:space="preserve">in the </w:t>
      </w:r>
      <w:r w:rsidR="00793169" w:rsidRPr="008C28EB">
        <w:rPr>
          <w:rFonts w:ascii="Times New Roman" w:hAnsi="Times New Roman"/>
          <w:sz w:val="24"/>
          <w:szCs w:val="24"/>
          <w:lang w:val="en-US"/>
        </w:rPr>
        <w:lastRenderedPageBreak/>
        <w:t xml:space="preserve">investors’ behavior since its </w:t>
      </w:r>
      <w:r w:rsidR="005E7B61" w:rsidRPr="008C28EB">
        <w:rPr>
          <w:rFonts w:ascii="Times New Roman" w:hAnsi="Times New Roman"/>
          <w:sz w:val="24"/>
          <w:szCs w:val="24"/>
          <w:lang w:val="en-US"/>
        </w:rPr>
        <w:t>launch</w:t>
      </w:r>
      <w:r w:rsidR="00793169" w:rsidRPr="008C28EB">
        <w:rPr>
          <w:rFonts w:ascii="Times New Roman" w:hAnsi="Times New Roman"/>
          <w:sz w:val="24"/>
          <w:szCs w:val="24"/>
          <w:lang w:val="en-US"/>
        </w:rPr>
        <w:t xml:space="preserve"> date</w:t>
      </w:r>
      <w:r w:rsidR="005E7B61" w:rsidRPr="008C28EB">
        <w:rPr>
          <w:rFonts w:ascii="Times New Roman" w:hAnsi="Times New Roman"/>
          <w:sz w:val="24"/>
          <w:szCs w:val="24"/>
          <w:lang w:val="en-US"/>
        </w:rPr>
        <w:t xml:space="preserve">. </w:t>
      </w:r>
      <w:r w:rsidR="00A4386F" w:rsidRPr="00A4386F">
        <w:rPr>
          <w:rFonts w:ascii="Times New Roman" w:hAnsi="Times New Roman"/>
          <w:sz w:val="24"/>
          <w:szCs w:val="24"/>
          <w:lang w:val="en-US"/>
        </w:rPr>
        <w:t xml:space="preserve">This change is expected to be perceived as very relevant, even in the short run, for at least three reasons: 1) the fragmentation of the European banking sector due to national characteristics (Matousek et al., 2015); 2) the significant heterogeneity in the supervisory style adopted by different NSAs operating in the Euro-area countries (Carretta et al., 2015); and 3) the consensus emerged after the financial crisis on the necessity to adopt a more intrusive approach to EU bank supervision (e.g., Nouy, 2013). </w:t>
      </w:r>
      <w:r w:rsidR="008F6E03" w:rsidRPr="008C28EB">
        <w:rPr>
          <w:rFonts w:ascii="Times New Roman" w:hAnsi="Times New Roman"/>
          <w:sz w:val="24"/>
          <w:szCs w:val="24"/>
          <w:lang w:val="en-US"/>
        </w:rPr>
        <w:t xml:space="preserve"> </w:t>
      </w:r>
      <w:r w:rsidR="005E7B61" w:rsidRPr="008C28EB">
        <w:rPr>
          <w:rFonts w:ascii="Times New Roman" w:hAnsi="Times New Roman"/>
          <w:sz w:val="24"/>
          <w:szCs w:val="24"/>
          <w:lang w:val="en-US"/>
        </w:rPr>
        <w:t xml:space="preserve">Our expectation is </w:t>
      </w:r>
      <w:r w:rsidR="00CE5BB9" w:rsidRPr="008C28EB">
        <w:rPr>
          <w:rFonts w:ascii="Times New Roman" w:hAnsi="Times New Roman"/>
          <w:sz w:val="24"/>
          <w:szCs w:val="24"/>
          <w:lang w:val="en-US"/>
        </w:rPr>
        <w:t xml:space="preserve">also </w:t>
      </w:r>
      <w:r w:rsidR="005E7B61" w:rsidRPr="008C28EB">
        <w:rPr>
          <w:rFonts w:ascii="Times New Roman" w:hAnsi="Times New Roman"/>
          <w:sz w:val="24"/>
          <w:szCs w:val="24"/>
          <w:lang w:val="en-US"/>
        </w:rPr>
        <w:t xml:space="preserve">based on the consideration that the new European SSM has similar features to state charter banking in the United States. Agarwal et al. (2014) provide empirical evidence that </w:t>
      </w:r>
      <w:r w:rsidR="00793169" w:rsidRPr="008C28EB">
        <w:rPr>
          <w:rFonts w:ascii="Times New Roman" w:hAnsi="Times New Roman"/>
          <w:sz w:val="24"/>
          <w:szCs w:val="24"/>
          <w:lang w:val="en-US"/>
        </w:rPr>
        <w:t xml:space="preserve">the </w:t>
      </w:r>
      <w:r w:rsidR="005E7B61" w:rsidRPr="008C28EB">
        <w:rPr>
          <w:rFonts w:ascii="Times New Roman" w:hAnsi="Times New Roman"/>
          <w:sz w:val="24"/>
          <w:szCs w:val="24"/>
          <w:lang w:val="en-US"/>
        </w:rPr>
        <w:t>U.S. regulators in the dual supervisory mechanism implement identical rules inconsistently, due to differences in their institutional design and incentives, and that this behavior can adversely impact regulatory effectiveness. Of course, this may also happen in the new European SSM: investors may have reacted to the launch of the SSM by discriminating between banks falling under the direct ECB supervision and other banks remaining under the direct NSA supervision.</w:t>
      </w:r>
      <w:r w:rsidR="00A06401" w:rsidRPr="008C28EB">
        <w:rPr>
          <w:rFonts w:ascii="Times New Roman" w:hAnsi="Times New Roman"/>
          <w:sz w:val="24"/>
          <w:szCs w:val="24"/>
          <w:lang w:val="en-US"/>
        </w:rPr>
        <w:t xml:space="preserve"> In this case, the goal of confidence building may have been hindered by the uncertainty about the severity of future scrutiny for different banks. Specifically, our second hypothesis is the following:</w:t>
      </w:r>
    </w:p>
    <w:p w14:paraId="1CD404F3" w14:textId="77777777" w:rsidR="005E7B61" w:rsidRPr="008C28EB" w:rsidRDefault="005E7B61" w:rsidP="00824972">
      <w:pPr>
        <w:spacing w:after="120" w:line="480" w:lineRule="auto"/>
        <w:ind w:left="567" w:firstLine="709"/>
        <w:jc w:val="both"/>
        <w:rPr>
          <w:rFonts w:ascii="Times New Roman" w:hAnsi="Times New Roman"/>
          <w:i/>
          <w:sz w:val="24"/>
          <w:szCs w:val="24"/>
          <w:lang w:val="en-US"/>
        </w:rPr>
      </w:pPr>
      <w:r w:rsidRPr="008C28EB">
        <w:rPr>
          <w:rFonts w:ascii="Times New Roman" w:hAnsi="Times New Roman"/>
          <w:sz w:val="24"/>
          <w:szCs w:val="24"/>
          <w:lang w:val="en-US"/>
        </w:rPr>
        <w:t>H</w:t>
      </w:r>
      <w:r w:rsidRPr="008C28EB">
        <w:rPr>
          <w:rFonts w:ascii="Times New Roman" w:hAnsi="Times New Roman"/>
          <w:sz w:val="24"/>
          <w:szCs w:val="24"/>
          <w:vertAlign w:val="subscript"/>
          <w:lang w:val="en-US"/>
        </w:rPr>
        <w:t>2</w:t>
      </w:r>
      <w:r w:rsidRPr="008C28EB">
        <w:rPr>
          <w:rFonts w:ascii="Times New Roman" w:hAnsi="Times New Roman"/>
          <w:sz w:val="24"/>
          <w:szCs w:val="24"/>
          <w:lang w:val="en-US"/>
        </w:rPr>
        <w:t>:</w:t>
      </w:r>
      <w:r w:rsidR="00550AE9" w:rsidRPr="008C28EB">
        <w:rPr>
          <w:rFonts w:ascii="Times New Roman" w:hAnsi="Times New Roman"/>
          <w:sz w:val="24"/>
          <w:szCs w:val="24"/>
          <w:lang w:val="en-US"/>
        </w:rPr>
        <w:tab/>
      </w:r>
      <w:r w:rsidR="00C31496" w:rsidRPr="008C28EB">
        <w:rPr>
          <w:rFonts w:ascii="Times New Roman" w:hAnsi="Times New Roman"/>
          <w:i/>
          <w:sz w:val="24"/>
          <w:szCs w:val="24"/>
          <w:lang w:val="en-US"/>
        </w:rPr>
        <w:t>When the SSM was launched, i</w:t>
      </w:r>
      <w:r w:rsidRPr="008C28EB">
        <w:rPr>
          <w:rFonts w:ascii="Times New Roman" w:hAnsi="Times New Roman"/>
          <w:i/>
          <w:sz w:val="24"/>
          <w:szCs w:val="24"/>
          <w:lang w:val="en-US"/>
        </w:rPr>
        <w:t>nvestors penalize</w:t>
      </w:r>
      <w:r w:rsidR="00C31496" w:rsidRPr="008C28EB">
        <w:rPr>
          <w:rFonts w:ascii="Times New Roman" w:hAnsi="Times New Roman"/>
          <w:i/>
          <w:sz w:val="24"/>
          <w:szCs w:val="24"/>
          <w:lang w:val="en-US"/>
        </w:rPr>
        <w:t>d</w:t>
      </w:r>
      <w:r w:rsidRPr="008C28EB">
        <w:rPr>
          <w:rFonts w:ascii="Times New Roman" w:hAnsi="Times New Roman"/>
          <w:i/>
          <w:sz w:val="24"/>
          <w:szCs w:val="24"/>
          <w:lang w:val="en-US"/>
        </w:rPr>
        <w:t xml:space="preserve"> banks subject to the </w:t>
      </w:r>
      <w:r w:rsidR="00C31496" w:rsidRPr="008C28EB">
        <w:rPr>
          <w:rFonts w:ascii="Times New Roman" w:hAnsi="Times New Roman"/>
          <w:i/>
          <w:sz w:val="24"/>
          <w:szCs w:val="24"/>
          <w:lang w:val="en-US"/>
        </w:rPr>
        <w:t xml:space="preserve">direct ECB supervision </w:t>
      </w:r>
      <w:r w:rsidRPr="008C28EB">
        <w:rPr>
          <w:rFonts w:ascii="Times New Roman" w:hAnsi="Times New Roman"/>
          <w:i/>
          <w:sz w:val="24"/>
          <w:szCs w:val="24"/>
          <w:lang w:val="en-US"/>
        </w:rPr>
        <w:t xml:space="preserve">with respect to banks </w:t>
      </w:r>
      <w:r w:rsidR="00C31496" w:rsidRPr="008C28EB">
        <w:rPr>
          <w:rFonts w:ascii="Times New Roman" w:hAnsi="Times New Roman"/>
          <w:i/>
          <w:sz w:val="24"/>
          <w:szCs w:val="24"/>
          <w:lang w:val="en-US"/>
        </w:rPr>
        <w:t>maintaining national supervisors</w:t>
      </w:r>
      <w:r w:rsidRPr="008C28EB">
        <w:rPr>
          <w:rFonts w:ascii="Times New Roman" w:hAnsi="Times New Roman"/>
          <w:i/>
          <w:sz w:val="24"/>
          <w:szCs w:val="24"/>
          <w:lang w:val="en-US"/>
        </w:rPr>
        <w:t xml:space="preserve">.     </w:t>
      </w:r>
    </w:p>
    <w:p w14:paraId="0CCEACBB" w14:textId="77777777" w:rsidR="00550AE9" w:rsidRPr="008C28EB" w:rsidRDefault="00550AE9" w:rsidP="00C25996">
      <w:pPr>
        <w:spacing w:after="120" w:line="480" w:lineRule="auto"/>
        <w:jc w:val="both"/>
        <w:rPr>
          <w:rFonts w:ascii="Times New Roman" w:hAnsi="Times New Roman"/>
          <w:b/>
          <w:sz w:val="24"/>
          <w:szCs w:val="24"/>
          <w:lang w:val="en-US"/>
        </w:rPr>
      </w:pPr>
    </w:p>
    <w:p w14:paraId="6FC53C3A" w14:textId="77777777" w:rsidR="005C4C9B" w:rsidRPr="008C28EB" w:rsidRDefault="005C4C9B" w:rsidP="00C25996">
      <w:pPr>
        <w:suppressAutoHyphens/>
        <w:spacing w:after="120" w:line="480" w:lineRule="auto"/>
        <w:jc w:val="both"/>
        <w:rPr>
          <w:rFonts w:ascii="Times New Roman" w:eastAsia="Times New Roman" w:hAnsi="Times New Roman"/>
          <w:b/>
          <w:kern w:val="1"/>
          <w:sz w:val="24"/>
          <w:szCs w:val="24"/>
          <w:lang w:val="en-US" w:eastAsia="ar-SA"/>
        </w:rPr>
      </w:pPr>
      <w:r w:rsidRPr="008C28EB">
        <w:rPr>
          <w:rFonts w:ascii="Times New Roman" w:eastAsia="Times New Roman" w:hAnsi="Times New Roman"/>
          <w:b/>
          <w:kern w:val="1"/>
          <w:sz w:val="24"/>
          <w:szCs w:val="24"/>
          <w:lang w:val="en-US" w:eastAsia="ar-SA"/>
        </w:rPr>
        <w:lastRenderedPageBreak/>
        <w:t>3. Did investors react to ECB press releases related to the Comprehensive Assessment?</w:t>
      </w:r>
    </w:p>
    <w:p w14:paraId="7CA4630B" w14:textId="77777777" w:rsidR="00A06401" w:rsidRPr="008C28EB" w:rsidRDefault="005C4C9B" w:rsidP="00C25996">
      <w:pPr>
        <w:widowControl w:val="0"/>
        <w:autoSpaceDE w:val="0"/>
        <w:autoSpaceDN w:val="0"/>
        <w:adjustRightInd w:val="0"/>
        <w:spacing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As a first step, we measure market reaction around all announcements related to the Comprehensive Assessment. </w:t>
      </w:r>
      <w:r w:rsidR="00A06401" w:rsidRPr="008C28EB">
        <w:rPr>
          <w:rFonts w:ascii="Times New Roman" w:hAnsi="Times New Roman"/>
          <w:sz w:val="24"/>
          <w:szCs w:val="24"/>
          <w:lang w:val="en-US"/>
        </w:rPr>
        <w:t xml:space="preserve">We collected data for all listed banks in </w:t>
      </w:r>
      <w:r w:rsidR="00286B12" w:rsidRPr="008C28EB">
        <w:rPr>
          <w:rFonts w:ascii="Times New Roman" w:hAnsi="Times New Roman"/>
          <w:sz w:val="24"/>
          <w:szCs w:val="24"/>
          <w:lang w:val="en-US"/>
        </w:rPr>
        <w:t>every</w:t>
      </w:r>
      <w:r w:rsidR="00A06401" w:rsidRPr="008C28EB">
        <w:rPr>
          <w:rFonts w:ascii="Times New Roman" w:hAnsi="Times New Roman"/>
          <w:sz w:val="24"/>
          <w:szCs w:val="24"/>
          <w:lang w:val="en-US"/>
        </w:rPr>
        <w:t xml:space="preserve"> countr</w:t>
      </w:r>
      <w:r w:rsidR="00286B12" w:rsidRPr="008C28EB">
        <w:rPr>
          <w:rFonts w:ascii="Times New Roman" w:hAnsi="Times New Roman"/>
          <w:sz w:val="24"/>
          <w:szCs w:val="24"/>
          <w:lang w:val="en-US"/>
        </w:rPr>
        <w:t>y</w:t>
      </w:r>
      <w:r w:rsidR="00A06401" w:rsidRPr="008C28EB">
        <w:rPr>
          <w:rFonts w:ascii="Times New Roman" w:hAnsi="Times New Roman"/>
          <w:sz w:val="24"/>
          <w:szCs w:val="24"/>
          <w:lang w:val="en-US"/>
        </w:rPr>
        <w:t xml:space="preserve"> of the European Union, distinguishing between “treated banks” (i.e., banks subject to the CA) and “untreated banks” (i.e., banks not subject to the CA). Since the number of listed banks in Europe is quite small, we include</w:t>
      </w:r>
      <w:r w:rsidR="00793169" w:rsidRPr="008C28EB">
        <w:rPr>
          <w:rFonts w:ascii="Times New Roman" w:hAnsi="Times New Roman"/>
          <w:sz w:val="24"/>
          <w:szCs w:val="24"/>
          <w:lang w:val="en-US"/>
        </w:rPr>
        <w:t>d</w:t>
      </w:r>
      <w:r w:rsidR="00A06401" w:rsidRPr="008C28EB">
        <w:rPr>
          <w:rFonts w:ascii="Times New Roman" w:hAnsi="Times New Roman"/>
          <w:sz w:val="24"/>
          <w:szCs w:val="24"/>
          <w:lang w:val="en-US"/>
        </w:rPr>
        <w:t xml:space="preserve"> in the group of “untreated” banks all European listed banks (not only in the Euro area) </w:t>
      </w:r>
      <w:r w:rsidR="00012F68" w:rsidRPr="008C28EB">
        <w:rPr>
          <w:rFonts w:ascii="Times New Roman" w:hAnsi="Times New Roman"/>
          <w:sz w:val="24"/>
          <w:szCs w:val="24"/>
          <w:lang w:val="en-US"/>
        </w:rPr>
        <w:t xml:space="preserve">out of the CA and </w:t>
      </w:r>
      <w:r w:rsidR="00A06401" w:rsidRPr="008C28EB">
        <w:rPr>
          <w:rFonts w:ascii="Times New Roman" w:hAnsi="Times New Roman"/>
          <w:sz w:val="24"/>
          <w:szCs w:val="24"/>
          <w:lang w:val="en-US"/>
        </w:rPr>
        <w:t>under the direct supervision of NSAs, i.e.</w:t>
      </w:r>
      <w:r w:rsidR="00286B12" w:rsidRPr="008C28EB">
        <w:rPr>
          <w:rFonts w:ascii="Times New Roman" w:hAnsi="Times New Roman"/>
          <w:sz w:val="24"/>
          <w:szCs w:val="24"/>
          <w:lang w:val="en-US"/>
        </w:rPr>
        <w:t>,</w:t>
      </w:r>
      <w:r w:rsidR="00A06401" w:rsidRPr="008C28EB">
        <w:rPr>
          <w:rFonts w:ascii="Times New Roman" w:hAnsi="Times New Roman"/>
          <w:sz w:val="24"/>
          <w:szCs w:val="24"/>
          <w:lang w:val="en-US"/>
        </w:rPr>
        <w:t xml:space="preserve"> both small listed banks in countries under the SSM and listed banks in European countries outside the Euro area (e.g.</w:t>
      </w:r>
      <w:r w:rsidR="00286B12" w:rsidRPr="008C28EB">
        <w:rPr>
          <w:rFonts w:ascii="Times New Roman" w:hAnsi="Times New Roman"/>
          <w:sz w:val="24"/>
          <w:szCs w:val="24"/>
          <w:lang w:val="en-US"/>
        </w:rPr>
        <w:t>,</w:t>
      </w:r>
      <w:r w:rsidR="00A06401" w:rsidRPr="008C28EB">
        <w:rPr>
          <w:rFonts w:ascii="Times New Roman" w:hAnsi="Times New Roman"/>
          <w:sz w:val="24"/>
          <w:szCs w:val="24"/>
          <w:lang w:val="en-US"/>
        </w:rPr>
        <w:t xml:space="preserve"> the UK).</w:t>
      </w:r>
    </w:p>
    <w:p w14:paraId="4978A571" w14:textId="77777777" w:rsidR="00A83E41" w:rsidRPr="008C28EB" w:rsidRDefault="003A5414" w:rsidP="00C25996">
      <w:pPr>
        <w:widowControl w:val="0"/>
        <w:autoSpaceDE w:val="0"/>
        <w:autoSpaceDN w:val="0"/>
        <w:adjustRightInd w:val="0"/>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 xml:space="preserve">Daily stock market data </w:t>
      </w:r>
      <w:r w:rsidR="00793169" w:rsidRPr="008C28EB">
        <w:rPr>
          <w:rFonts w:ascii="Times New Roman" w:hAnsi="Times New Roman"/>
          <w:sz w:val="24"/>
          <w:szCs w:val="24"/>
          <w:lang w:val="en-US"/>
        </w:rPr>
        <w:t>were</w:t>
      </w:r>
      <w:r w:rsidRPr="008C28EB">
        <w:rPr>
          <w:rFonts w:ascii="Times New Roman" w:hAnsi="Times New Roman"/>
          <w:sz w:val="24"/>
          <w:szCs w:val="24"/>
          <w:lang w:val="en-US"/>
        </w:rPr>
        <w:t xml:space="preserve"> obtained from </w:t>
      </w:r>
      <w:r w:rsidR="00272292" w:rsidRPr="008C28EB">
        <w:rPr>
          <w:rFonts w:ascii="Times New Roman" w:eastAsia="Times New Roman" w:hAnsi="Times New Roman"/>
          <w:sz w:val="24"/>
          <w:szCs w:val="24"/>
          <w:lang w:val="en-US"/>
        </w:rPr>
        <w:t>Datastream: we restrict</w:t>
      </w:r>
      <w:r w:rsidR="00793169" w:rsidRPr="008C28EB">
        <w:rPr>
          <w:rFonts w:ascii="Times New Roman" w:eastAsia="Times New Roman" w:hAnsi="Times New Roman"/>
          <w:sz w:val="24"/>
          <w:szCs w:val="24"/>
          <w:lang w:val="en-US"/>
        </w:rPr>
        <w:t>ed</w:t>
      </w:r>
      <w:r w:rsidRPr="008C28EB">
        <w:rPr>
          <w:rFonts w:ascii="Times New Roman" w:eastAsia="Times New Roman" w:hAnsi="Times New Roman"/>
          <w:sz w:val="24"/>
          <w:szCs w:val="24"/>
          <w:lang w:val="en-US"/>
        </w:rPr>
        <w:t xml:space="preserve"> our selection to major securities (the most traded equity) and primary quotes (not the cross-listings). </w:t>
      </w:r>
      <w:r w:rsidR="005C4C9B" w:rsidRPr="008C28EB">
        <w:rPr>
          <w:rFonts w:ascii="Times New Roman" w:eastAsia="Times New Roman" w:hAnsi="Times New Roman"/>
          <w:kern w:val="1"/>
          <w:sz w:val="24"/>
          <w:szCs w:val="24"/>
          <w:lang w:val="en-US"/>
        </w:rPr>
        <w:t>We estimate</w:t>
      </w:r>
      <w:r w:rsidR="00A83E41" w:rsidRPr="008C28EB">
        <w:rPr>
          <w:rFonts w:ascii="Times New Roman" w:eastAsia="Times New Roman" w:hAnsi="Times New Roman"/>
          <w:kern w:val="1"/>
          <w:sz w:val="24"/>
          <w:szCs w:val="24"/>
          <w:lang w:val="en-US"/>
        </w:rPr>
        <w:t xml:space="preserve"> abnormal returns (ARs) as the difference between actual stock returns and expected returns (i.e., those expected in the absence of relevant events). </w:t>
      </w:r>
      <w:r w:rsidR="007D66EE" w:rsidRPr="008C28EB">
        <w:rPr>
          <w:rFonts w:ascii="Times New Roman" w:eastAsia="Times New Roman" w:hAnsi="Times New Roman"/>
          <w:kern w:val="1"/>
          <w:sz w:val="24"/>
          <w:szCs w:val="24"/>
          <w:lang w:val="en-US"/>
        </w:rPr>
        <w:t>Following a common procedure to estimate ARs in banking (</w:t>
      </w:r>
      <w:r w:rsidR="00012F68" w:rsidRPr="008C28EB">
        <w:rPr>
          <w:rFonts w:ascii="Times New Roman" w:eastAsia="Times New Roman" w:hAnsi="Times New Roman"/>
          <w:kern w:val="1"/>
          <w:sz w:val="24"/>
          <w:szCs w:val="24"/>
          <w:lang w:val="en-US"/>
        </w:rPr>
        <w:t xml:space="preserve">e.g., </w:t>
      </w:r>
      <w:r w:rsidR="00065C1E" w:rsidRPr="008C28EB">
        <w:rPr>
          <w:rFonts w:ascii="Times New Roman" w:eastAsia="Times New Roman" w:hAnsi="Times New Roman"/>
          <w:kern w:val="1"/>
          <w:sz w:val="24"/>
          <w:szCs w:val="24"/>
          <w:lang w:val="en-US"/>
        </w:rPr>
        <w:t>De Long and De Young, 2007</w:t>
      </w:r>
      <w:r w:rsidR="007D66EE" w:rsidRPr="008C28EB">
        <w:rPr>
          <w:rFonts w:ascii="Times New Roman" w:eastAsia="Times New Roman" w:hAnsi="Times New Roman"/>
          <w:kern w:val="1"/>
          <w:sz w:val="24"/>
          <w:szCs w:val="24"/>
          <w:lang w:val="en-US"/>
        </w:rPr>
        <w:t xml:space="preserve">), </w:t>
      </w:r>
      <w:r w:rsidR="005A523D" w:rsidRPr="008C28EB">
        <w:rPr>
          <w:rFonts w:ascii="Times New Roman" w:eastAsia="Times New Roman" w:hAnsi="Times New Roman"/>
          <w:sz w:val="24"/>
          <w:szCs w:val="24"/>
          <w:lang w:val="en-US"/>
        </w:rPr>
        <w:t>we use the market model (MacKinlay, 1997)</w:t>
      </w:r>
      <w:r w:rsidR="0020425D" w:rsidRPr="008C28EB">
        <w:rPr>
          <w:rFonts w:ascii="Times New Roman" w:eastAsia="Times New Roman" w:hAnsi="Times New Roman"/>
          <w:sz w:val="24"/>
          <w:szCs w:val="24"/>
          <w:lang w:val="en-US"/>
        </w:rPr>
        <w:t xml:space="preserve"> in which </w:t>
      </w:r>
      <w:r w:rsidR="005A523D" w:rsidRPr="008C28EB">
        <w:rPr>
          <w:rFonts w:ascii="Times New Roman" w:eastAsia="Times New Roman" w:hAnsi="Times New Roman"/>
          <w:sz w:val="24"/>
          <w:szCs w:val="24"/>
          <w:lang w:val="en-US"/>
        </w:rPr>
        <w:t>n</w:t>
      </w:r>
      <w:r w:rsidR="00A83E41" w:rsidRPr="008C28EB">
        <w:rPr>
          <w:rFonts w:ascii="Times New Roman" w:eastAsia="Times New Roman" w:hAnsi="Times New Roman"/>
          <w:sz w:val="24"/>
          <w:szCs w:val="24"/>
          <w:lang w:val="en-US"/>
        </w:rPr>
        <w:t xml:space="preserve">ormal returns for every </w:t>
      </w:r>
      <w:r w:rsidR="00A83E41" w:rsidRPr="008C28EB">
        <w:rPr>
          <w:rFonts w:ascii="Times New Roman" w:eastAsia="Times New Roman" w:hAnsi="Times New Roman"/>
          <w:i/>
          <w:sz w:val="24"/>
          <w:szCs w:val="24"/>
          <w:lang w:val="en-US"/>
        </w:rPr>
        <w:t xml:space="preserve">i-th </w:t>
      </w:r>
      <w:r w:rsidR="00A83E41" w:rsidRPr="008C28EB">
        <w:rPr>
          <w:rFonts w:ascii="Times New Roman" w:eastAsia="Times New Roman" w:hAnsi="Times New Roman"/>
          <w:sz w:val="24"/>
          <w:szCs w:val="24"/>
          <w:lang w:val="en-US"/>
        </w:rPr>
        <w:t>observation (</w:t>
      </w:r>
      <w:r w:rsidR="00A83E41" w:rsidRPr="008C28EB">
        <w:rPr>
          <w:rFonts w:ascii="Times New Roman" w:eastAsia="Times New Roman" w:hAnsi="Times New Roman"/>
          <w:i/>
          <w:sz w:val="24"/>
          <w:szCs w:val="24"/>
          <w:lang w:val="en-US"/>
        </w:rPr>
        <w:t>R</w:t>
      </w:r>
      <w:r w:rsidR="00A83E41" w:rsidRPr="008C28EB">
        <w:rPr>
          <w:rFonts w:ascii="Times New Roman" w:eastAsia="Times New Roman" w:hAnsi="Times New Roman"/>
          <w:i/>
          <w:sz w:val="24"/>
          <w:szCs w:val="24"/>
          <w:vertAlign w:val="subscript"/>
          <w:lang w:val="en-US"/>
        </w:rPr>
        <w:t>it</w:t>
      </w:r>
      <w:r w:rsidR="00A83E41" w:rsidRPr="008C28EB">
        <w:rPr>
          <w:rFonts w:ascii="Times New Roman" w:eastAsia="Times New Roman" w:hAnsi="Times New Roman"/>
          <w:sz w:val="24"/>
          <w:szCs w:val="24"/>
          <w:lang w:val="en-US"/>
        </w:rPr>
        <w:t>) are obtained as a function of the market portfolio return (</w:t>
      </w:r>
      <w:r w:rsidR="00A83E41" w:rsidRPr="008C28EB">
        <w:rPr>
          <w:rFonts w:ascii="Times New Roman" w:eastAsia="Times New Roman" w:hAnsi="Times New Roman"/>
          <w:i/>
          <w:sz w:val="24"/>
          <w:szCs w:val="24"/>
          <w:lang w:val="en-US"/>
        </w:rPr>
        <w:t>R</w:t>
      </w:r>
      <w:r w:rsidR="00A83E41" w:rsidRPr="008C28EB">
        <w:rPr>
          <w:rFonts w:ascii="Times New Roman" w:eastAsia="Times New Roman" w:hAnsi="Times New Roman"/>
          <w:i/>
          <w:sz w:val="24"/>
          <w:szCs w:val="24"/>
          <w:vertAlign w:val="subscript"/>
          <w:lang w:val="en-US"/>
        </w:rPr>
        <w:t>Mt</w:t>
      </w:r>
      <w:r w:rsidR="00A83E41" w:rsidRPr="008C28EB">
        <w:rPr>
          <w:rFonts w:ascii="Times New Roman" w:eastAsia="Times New Roman" w:hAnsi="Times New Roman"/>
          <w:sz w:val="24"/>
          <w:szCs w:val="24"/>
          <w:lang w:val="en-US"/>
        </w:rPr>
        <w:t>), represented by a world equity index (i.e., the MSCI World Index). Market model parameters are obtained with daily log returns of bank stock prices over a 252-day estimation period, ending 20 days before the announcement</w:t>
      </w:r>
      <w:r w:rsidR="00A83E41" w:rsidRPr="008C28EB">
        <w:rPr>
          <w:rStyle w:val="Rimandonotaapidipagina"/>
          <w:rFonts w:ascii="Times New Roman" w:eastAsia="Times New Roman" w:hAnsi="Times New Roman"/>
          <w:sz w:val="24"/>
          <w:szCs w:val="24"/>
        </w:rPr>
        <w:footnoteReference w:id="1"/>
      </w:r>
      <w:r w:rsidR="00A83E41" w:rsidRPr="008C28EB">
        <w:rPr>
          <w:rFonts w:ascii="Times New Roman" w:eastAsia="Times New Roman" w:hAnsi="Times New Roman"/>
          <w:sz w:val="24"/>
          <w:szCs w:val="24"/>
          <w:lang w:val="en-US"/>
        </w:rPr>
        <w:t xml:space="preserve">. ARs are then obtained as the difference between the actual stock return and the </w:t>
      </w:r>
      <w:r w:rsidR="00A83E41" w:rsidRPr="008C28EB">
        <w:rPr>
          <w:rFonts w:ascii="Times New Roman" w:eastAsia="Times New Roman" w:hAnsi="Times New Roman"/>
          <w:sz w:val="24"/>
          <w:szCs w:val="24"/>
          <w:lang w:val="en-US"/>
        </w:rPr>
        <w:lastRenderedPageBreak/>
        <w:t xml:space="preserve">return predicted by the market model. ARs are then cumulated over a time period (Cumulative Abnormal Return, CAR) around the announcement date (t=0). Following </w:t>
      </w:r>
      <w:r w:rsidR="00012F68" w:rsidRPr="008C28EB">
        <w:rPr>
          <w:rFonts w:ascii="Times New Roman" w:eastAsia="Times New Roman" w:hAnsi="Times New Roman"/>
          <w:sz w:val="24"/>
          <w:szCs w:val="24"/>
          <w:lang w:val="en-US"/>
        </w:rPr>
        <w:t>Morgan</w:t>
      </w:r>
      <w:r w:rsidR="00A83E41" w:rsidRPr="008C28EB">
        <w:rPr>
          <w:rFonts w:ascii="Times New Roman" w:eastAsia="Times New Roman" w:hAnsi="Times New Roman"/>
          <w:sz w:val="24"/>
          <w:szCs w:val="24"/>
          <w:lang w:val="en-US"/>
        </w:rPr>
        <w:t xml:space="preserve"> et al. (201</w:t>
      </w:r>
      <w:r w:rsidR="001E59AE" w:rsidRPr="008C28EB">
        <w:rPr>
          <w:rFonts w:ascii="Times New Roman" w:eastAsia="Times New Roman" w:hAnsi="Times New Roman"/>
          <w:sz w:val="24"/>
          <w:szCs w:val="24"/>
          <w:lang w:val="en-US"/>
        </w:rPr>
        <w:t>4</w:t>
      </w:r>
      <w:r w:rsidR="00A83E41" w:rsidRPr="008C28EB">
        <w:rPr>
          <w:rFonts w:ascii="Times New Roman" w:eastAsia="Times New Roman" w:hAnsi="Times New Roman"/>
          <w:sz w:val="24"/>
          <w:szCs w:val="24"/>
          <w:lang w:val="en-US"/>
        </w:rPr>
        <w:t>)</w:t>
      </w:r>
      <w:r w:rsidR="00541394" w:rsidRPr="008C28EB">
        <w:rPr>
          <w:rFonts w:ascii="Times New Roman" w:eastAsia="Times New Roman" w:hAnsi="Times New Roman"/>
          <w:sz w:val="24"/>
          <w:szCs w:val="24"/>
          <w:lang w:val="en-US"/>
        </w:rPr>
        <w:t xml:space="preserve"> and other papers measuring market reaction to policy announcements (e.g. Fiordelisi and Ricci, 2015; Onali et al., 2016)</w:t>
      </w:r>
      <w:r w:rsidR="00A83E41" w:rsidRPr="008C28EB">
        <w:rPr>
          <w:rFonts w:ascii="Times New Roman" w:eastAsia="Times New Roman" w:hAnsi="Times New Roman"/>
          <w:sz w:val="24"/>
          <w:szCs w:val="24"/>
          <w:lang w:val="en-US"/>
        </w:rPr>
        <w:t>, we focus on very short event windows, in order to limit the problem of overlapping events; we focus on the fol</w:t>
      </w:r>
      <w:r w:rsidR="00012F68" w:rsidRPr="008C28EB">
        <w:rPr>
          <w:rFonts w:ascii="Times New Roman" w:eastAsia="Times New Roman" w:hAnsi="Times New Roman"/>
          <w:sz w:val="24"/>
          <w:szCs w:val="24"/>
          <w:lang w:val="en-US"/>
        </w:rPr>
        <w:t xml:space="preserve">lowing event windows: </w:t>
      </w:r>
      <w:r w:rsidR="00A83E41" w:rsidRPr="008C28EB">
        <w:rPr>
          <w:rFonts w:ascii="Times New Roman" w:eastAsia="Times New Roman" w:hAnsi="Times New Roman"/>
          <w:sz w:val="24"/>
          <w:szCs w:val="24"/>
          <w:lang w:val="en-US"/>
        </w:rPr>
        <w:t xml:space="preserve">(-1; +1), </w:t>
      </w:r>
      <w:r w:rsidR="00012F68" w:rsidRPr="008C28EB">
        <w:rPr>
          <w:rFonts w:ascii="Times New Roman" w:eastAsia="Times New Roman" w:hAnsi="Times New Roman"/>
          <w:sz w:val="24"/>
          <w:szCs w:val="24"/>
          <w:lang w:val="en-US"/>
        </w:rPr>
        <w:t xml:space="preserve">(0,+1) and </w:t>
      </w:r>
      <w:r w:rsidR="00A83E41" w:rsidRPr="008C28EB">
        <w:rPr>
          <w:rFonts w:ascii="Times New Roman" w:eastAsia="Times New Roman" w:hAnsi="Times New Roman"/>
          <w:sz w:val="24"/>
          <w:szCs w:val="24"/>
          <w:lang w:val="en-US"/>
        </w:rPr>
        <w:t xml:space="preserve">(0,0). We then calculate the Cumulative Average Abnormal Return (CAAR) </w:t>
      </w:r>
      <w:r w:rsidR="009B443D" w:rsidRPr="008C28EB">
        <w:rPr>
          <w:rFonts w:ascii="Times New Roman" w:eastAsia="Times New Roman" w:hAnsi="Times New Roman"/>
          <w:sz w:val="24"/>
          <w:szCs w:val="24"/>
          <w:lang w:val="en-US"/>
        </w:rPr>
        <w:t>a</w:t>
      </w:r>
      <w:r w:rsidR="00A83E41" w:rsidRPr="008C28EB">
        <w:rPr>
          <w:rFonts w:ascii="Times New Roman" w:eastAsia="Times New Roman" w:hAnsi="Times New Roman"/>
          <w:sz w:val="24"/>
          <w:szCs w:val="24"/>
          <w:lang w:val="en-US"/>
        </w:rPr>
        <w:t xml:space="preserve">s the </w:t>
      </w:r>
      <w:r w:rsidR="00010A20" w:rsidRPr="008C28EB">
        <w:rPr>
          <w:rFonts w:ascii="Times New Roman" w:eastAsia="Times New Roman" w:hAnsi="Times New Roman"/>
          <w:sz w:val="24"/>
          <w:szCs w:val="24"/>
          <w:lang w:val="en-US"/>
        </w:rPr>
        <w:t xml:space="preserve">mean </w:t>
      </w:r>
      <w:r w:rsidR="007111F9" w:rsidRPr="008C28EB">
        <w:rPr>
          <w:rFonts w:ascii="Times New Roman" w:eastAsia="Times New Roman" w:hAnsi="Times New Roman"/>
          <w:sz w:val="24"/>
          <w:szCs w:val="24"/>
          <w:lang w:val="en-US"/>
        </w:rPr>
        <w:t xml:space="preserve">of </w:t>
      </w:r>
      <w:r w:rsidR="00010A20" w:rsidRPr="008C28EB">
        <w:rPr>
          <w:rFonts w:ascii="Times New Roman" w:eastAsia="Times New Roman" w:hAnsi="Times New Roman"/>
          <w:sz w:val="24"/>
          <w:szCs w:val="24"/>
          <w:lang w:val="en-US"/>
        </w:rPr>
        <w:t>our CAR</w:t>
      </w:r>
      <w:r w:rsidR="0020425D" w:rsidRPr="008C28EB">
        <w:rPr>
          <w:rFonts w:ascii="Times New Roman" w:eastAsia="Times New Roman" w:hAnsi="Times New Roman"/>
          <w:sz w:val="24"/>
          <w:szCs w:val="24"/>
          <w:lang w:val="en-US"/>
        </w:rPr>
        <w:t xml:space="preserve"> </w:t>
      </w:r>
      <w:r w:rsidR="00010A20" w:rsidRPr="008C28EB">
        <w:rPr>
          <w:rFonts w:ascii="Times New Roman" w:eastAsia="Times New Roman" w:hAnsi="Times New Roman"/>
          <w:sz w:val="24"/>
          <w:szCs w:val="24"/>
          <w:lang w:val="en-US"/>
        </w:rPr>
        <w:t>estimates in each event window</w:t>
      </w:r>
      <w:r w:rsidR="00A83E41" w:rsidRPr="008C28EB">
        <w:rPr>
          <w:rFonts w:ascii="Times New Roman" w:eastAsia="Times New Roman" w:hAnsi="Times New Roman"/>
          <w:sz w:val="24"/>
          <w:szCs w:val="24"/>
          <w:lang w:val="en-US"/>
        </w:rPr>
        <w:t xml:space="preserve">. After the calculation of CAARs, we test the hypothesis of a market reaction significantly different from zero. </w:t>
      </w:r>
      <w:r w:rsidR="00D2163D" w:rsidRPr="008C28EB">
        <w:rPr>
          <w:rFonts w:ascii="Times New Roman" w:eastAsia="Times New Roman" w:hAnsi="Times New Roman"/>
          <w:sz w:val="24"/>
          <w:szCs w:val="24"/>
          <w:lang w:val="en-US"/>
        </w:rPr>
        <w:t>To account for the</w:t>
      </w:r>
      <w:r w:rsidR="00A83E41" w:rsidRPr="008C28EB">
        <w:rPr>
          <w:rFonts w:ascii="Times New Roman" w:eastAsia="Times New Roman" w:hAnsi="Times New Roman"/>
          <w:sz w:val="24"/>
          <w:szCs w:val="24"/>
          <w:lang w:val="en-US"/>
        </w:rPr>
        <w:t xml:space="preserve"> variance increase in ARs with respect to the estimation period</w:t>
      </w:r>
      <w:r w:rsidR="00D2163D" w:rsidRPr="008C28EB">
        <w:rPr>
          <w:rFonts w:ascii="Times New Roman" w:eastAsia="Times New Roman" w:hAnsi="Times New Roman"/>
          <w:sz w:val="24"/>
          <w:szCs w:val="24"/>
          <w:lang w:val="en-US"/>
        </w:rPr>
        <w:t xml:space="preserve"> during the days near the event, </w:t>
      </w:r>
      <w:r w:rsidR="00A83E41" w:rsidRPr="008C28EB">
        <w:rPr>
          <w:rFonts w:ascii="Times New Roman" w:eastAsia="Times New Roman" w:hAnsi="Times New Roman"/>
          <w:sz w:val="24"/>
          <w:szCs w:val="24"/>
          <w:lang w:val="en-US"/>
        </w:rPr>
        <w:t>we follow the approach proposed by Mikkelson and Partch (1988) and then adopted in some recent studies (e.g., Harrington and Shrider, 2007), suggesting to use the Boehmer et al. (1991) test statistic.</w:t>
      </w:r>
      <w:r w:rsidR="0020425D" w:rsidRPr="008C28EB">
        <w:rPr>
          <w:rFonts w:ascii="Times New Roman" w:eastAsia="Times New Roman" w:hAnsi="Times New Roman"/>
          <w:sz w:val="24"/>
          <w:szCs w:val="24"/>
          <w:lang w:val="en-US"/>
        </w:rPr>
        <w:t xml:space="preserve"> </w:t>
      </w:r>
      <w:r w:rsidR="00A83E41" w:rsidRPr="008C28EB">
        <w:rPr>
          <w:rFonts w:ascii="Times New Roman" w:eastAsia="Times New Roman" w:hAnsi="Times New Roman"/>
          <w:sz w:val="24"/>
          <w:szCs w:val="24"/>
          <w:lang w:val="en-US"/>
        </w:rPr>
        <w:t xml:space="preserve">A recent study by Kolari and Pynnönnen (2010) proposes a new test statistic that modifies the one suggested by Boehmer et al. (1991) in order to consider possible cross-sectional correlation among abnormal returns. </w:t>
      </w:r>
    </w:p>
    <w:p w14:paraId="346FB10D" w14:textId="77777777" w:rsidR="008A3559" w:rsidRPr="008C28EB" w:rsidRDefault="005C4C9B" w:rsidP="00C25996">
      <w:pPr>
        <w:widowControl w:val="0"/>
        <w:autoSpaceDE w:val="0"/>
        <w:autoSpaceDN w:val="0"/>
        <w:adjustRightInd w:val="0"/>
        <w:spacing w:after="120" w:line="480" w:lineRule="auto"/>
        <w:ind w:firstLine="737"/>
        <w:jc w:val="both"/>
        <w:rPr>
          <w:rFonts w:ascii="Times New Roman" w:hAnsi="Times New Roman"/>
          <w:sz w:val="24"/>
          <w:szCs w:val="24"/>
          <w:lang w:val="en-US"/>
        </w:rPr>
      </w:pPr>
      <w:r w:rsidRPr="008C28EB">
        <w:rPr>
          <w:rFonts w:ascii="Times New Roman" w:eastAsia="Times New Roman" w:hAnsi="Times New Roman"/>
          <w:sz w:val="24"/>
          <w:szCs w:val="24"/>
          <w:lang w:val="en-US"/>
        </w:rPr>
        <w:t>Table 1 reports the list of the considered events</w:t>
      </w:r>
      <w:r w:rsidR="00012F68" w:rsidRPr="008C28EB">
        <w:rPr>
          <w:rFonts w:ascii="Times New Roman" w:eastAsia="Times New Roman" w:hAnsi="Times New Roman"/>
          <w:sz w:val="24"/>
          <w:szCs w:val="24"/>
          <w:lang w:val="en-US"/>
        </w:rPr>
        <w:t xml:space="preserve"> related to the CA</w:t>
      </w:r>
      <w:r w:rsidRPr="008C28EB">
        <w:rPr>
          <w:rFonts w:ascii="Times New Roman" w:eastAsia="Times New Roman" w:hAnsi="Times New Roman"/>
          <w:sz w:val="24"/>
          <w:szCs w:val="24"/>
          <w:lang w:val="en-US"/>
        </w:rPr>
        <w:t>, while Table 2 show</w:t>
      </w:r>
      <w:r w:rsidR="00793169" w:rsidRPr="008C28EB">
        <w:rPr>
          <w:rFonts w:ascii="Times New Roman" w:eastAsia="Times New Roman" w:hAnsi="Times New Roman"/>
          <w:sz w:val="24"/>
          <w:szCs w:val="24"/>
          <w:lang w:val="en-US"/>
        </w:rPr>
        <w:t>s</w:t>
      </w:r>
      <w:r w:rsidRPr="008C28EB">
        <w:rPr>
          <w:rFonts w:ascii="Times New Roman" w:eastAsia="Times New Roman" w:hAnsi="Times New Roman"/>
          <w:sz w:val="24"/>
          <w:szCs w:val="24"/>
          <w:lang w:val="en-US"/>
        </w:rPr>
        <w:t xml:space="preserve"> the results from the </w:t>
      </w:r>
      <w:r w:rsidR="003A5414" w:rsidRPr="008C28EB">
        <w:rPr>
          <w:rFonts w:ascii="Times New Roman" w:eastAsia="Times New Roman" w:hAnsi="Times New Roman"/>
          <w:sz w:val="24"/>
          <w:szCs w:val="24"/>
          <w:lang w:val="en-US"/>
        </w:rPr>
        <w:t>event study</w:t>
      </w:r>
      <w:r w:rsidR="00012F68" w:rsidRPr="008C28EB">
        <w:rPr>
          <w:rFonts w:ascii="Times New Roman" w:eastAsia="Times New Roman" w:hAnsi="Times New Roman"/>
          <w:sz w:val="24"/>
          <w:szCs w:val="24"/>
          <w:lang w:val="en-US"/>
        </w:rPr>
        <w:t xml:space="preserve"> on each date</w:t>
      </w:r>
      <w:r w:rsidR="003A5414" w:rsidRPr="008C28EB">
        <w:rPr>
          <w:rFonts w:ascii="Times New Roman" w:eastAsia="Times New Roman" w:hAnsi="Times New Roman"/>
          <w:sz w:val="24"/>
          <w:szCs w:val="24"/>
          <w:lang w:val="en-US"/>
        </w:rPr>
        <w:t xml:space="preserve">. </w:t>
      </w:r>
      <w:r w:rsidR="008A3559" w:rsidRPr="008C28EB">
        <w:rPr>
          <w:rFonts w:ascii="Times New Roman" w:hAnsi="Times New Roman"/>
          <w:sz w:val="24"/>
          <w:szCs w:val="24"/>
          <w:lang w:val="en-US"/>
        </w:rPr>
        <w:t>We have a</w:t>
      </w:r>
      <w:r w:rsidR="0090303F" w:rsidRPr="008C28EB">
        <w:rPr>
          <w:rFonts w:ascii="Times New Roman" w:hAnsi="Times New Roman"/>
          <w:sz w:val="24"/>
          <w:szCs w:val="24"/>
          <w:lang w:val="en-US"/>
        </w:rPr>
        <w:t>n initial</w:t>
      </w:r>
      <w:r w:rsidR="008A3559" w:rsidRPr="008C28EB">
        <w:rPr>
          <w:rFonts w:ascii="Times New Roman" w:hAnsi="Times New Roman"/>
          <w:sz w:val="24"/>
          <w:szCs w:val="24"/>
          <w:lang w:val="en-US"/>
        </w:rPr>
        <w:t xml:space="preserve"> total sample of </w:t>
      </w:r>
      <w:r w:rsidR="0090303F" w:rsidRPr="008C28EB">
        <w:rPr>
          <w:rFonts w:ascii="Times New Roman" w:hAnsi="Times New Roman"/>
          <w:sz w:val="24"/>
          <w:szCs w:val="24"/>
          <w:lang w:val="en-US"/>
        </w:rPr>
        <w:t>158</w:t>
      </w:r>
      <w:r w:rsidR="008A3559" w:rsidRPr="008C28EB">
        <w:rPr>
          <w:rFonts w:ascii="Times New Roman" w:hAnsi="Times New Roman"/>
          <w:sz w:val="24"/>
          <w:szCs w:val="24"/>
          <w:lang w:val="en-US"/>
        </w:rPr>
        <w:t xml:space="preserve"> listed institutions, of which 50 banks were involved in the CA</w:t>
      </w:r>
      <w:r w:rsidR="009C295D" w:rsidRPr="008C28EB">
        <w:rPr>
          <w:rFonts w:ascii="Times New Roman" w:hAnsi="Times New Roman"/>
          <w:sz w:val="24"/>
          <w:szCs w:val="24"/>
          <w:lang w:val="en-US"/>
        </w:rPr>
        <w:t xml:space="preserve"> (the detailed composition b</w:t>
      </w:r>
      <w:r w:rsidR="009F1416" w:rsidRPr="008C28EB">
        <w:rPr>
          <w:rFonts w:ascii="Times New Roman" w:hAnsi="Times New Roman"/>
          <w:sz w:val="24"/>
          <w:szCs w:val="24"/>
          <w:lang w:val="en-US"/>
        </w:rPr>
        <w:t>y country is reported in Table 2</w:t>
      </w:r>
      <w:r w:rsidR="009C295D" w:rsidRPr="008C28EB">
        <w:rPr>
          <w:rFonts w:ascii="Times New Roman" w:hAnsi="Times New Roman"/>
          <w:sz w:val="24"/>
          <w:szCs w:val="24"/>
          <w:lang w:val="en-US"/>
        </w:rPr>
        <w:t>, Panel A)</w:t>
      </w:r>
      <w:r w:rsidR="008A3559" w:rsidRPr="008C28EB">
        <w:rPr>
          <w:rFonts w:ascii="Times New Roman" w:hAnsi="Times New Roman"/>
          <w:sz w:val="24"/>
          <w:szCs w:val="24"/>
          <w:lang w:val="en-US"/>
        </w:rPr>
        <w:t xml:space="preserve">. For each date, the effective number of observations for the event study depends on the availability of a complete and liquid stock price series. </w:t>
      </w:r>
      <w:r w:rsidR="0020425D" w:rsidRPr="008C28EB">
        <w:rPr>
          <w:rFonts w:ascii="Times New Roman" w:hAnsi="Times New Roman"/>
          <w:sz w:val="24"/>
          <w:szCs w:val="24"/>
          <w:lang w:val="en-US"/>
        </w:rPr>
        <w:t>Besides</w:t>
      </w:r>
      <w:r w:rsidR="008A3559" w:rsidRPr="008C28EB">
        <w:rPr>
          <w:rFonts w:ascii="Times New Roman" w:hAnsi="Times New Roman"/>
          <w:sz w:val="24"/>
          <w:szCs w:val="24"/>
          <w:lang w:val="en-US"/>
        </w:rPr>
        <w:t xml:space="preserve"> considering the difference between banks involved or not in the CA, we also focus on the distinction between banks registering a capital shortfall or not at the end of the procedure (</w:t>
      </w:r>
      <w:r w:rsidR="00276895" w:rsidRPr="008C28EB">
        <w:rPr>
          <w:rFonts w:ascii="Times New Roman" w:hAnsi="Times New Roman"/>
          <w:sz w:val="24"/>
          <w:szCs w:val="24"/>
          <w:lang w:val="en-US"/>
        </w:rPr>
        <w:t>gap</w:t>
      </w:r>
      <w:r w:rsidR="008A3559" w:rsidRPr="008C28EB">
        <w:rPr>
          <w:rFonts w:ascii="Times New Roman" w:hAnsi="Times New Roman"/>
          <w:sz w:val="24"/>
          <w:szCs w:val="24"/>
          <w:lang w:val="en-US"/>
        </w:rPr>
        <w:t xml:space="preserve"> banks were 15 </w:t>
      </w:r>
      <w:r w:rsidR="008A3559" w:rsidRPr="008C28EB">
        <w:rPr>
          <w:rFonts w:ascii="Times New Roman" w:hAnsi="Times New Roman"/>
          <w:sz w:val="24"/>
          <w:szCs w:val="24"/>
          <w:lang w:val="en-US"/>
        </w:rPr>
        <w:lastRenderedPageBreak/>
        <w:t xml:space="preserve">out of 50; as in the previous case, the effective number of observations for the event study </w:t>
      </w:r>
      <w:r w:rsidR="00286B12" w:rsidRPr="008C28EB">
        <w:rPr>
          <w:rFonts w:ascii="Times New Roman" w:hAnsi="Times New Roman"/>
          <w:sz w:val="24"/>
          <w:szCs w:val="24"/>
          <w:lang w:val="en-US"/>
        </w:rPr>
        <w:t xml:space="preserve">in each date </w:t>
      </w:r>
      <w:r w:rsidR="008A3559" w:rsidRPr="008C28EB">
        <w:rPr>
          <w:rFonts w:ascii="Times New Roman" w:hAnsi="Times New Roman"/>
          <w:sz w:val="24"/>
          <w:szCs w:val="24"/>
          <w:lang w:val="en-US"/>
        </w:rPr>
        <w:t>d</w:t>
      </w:r>
      <w:r w:rsidR="00272292" w:rsidRPr="008C28EB">
        <w:rPr>
          <w:rFonts w:ascii="Times New Roman" w:hAnsi="Times New Roman"/>
          <w:sz w:val="24"/>
          <w:szCs w:val="24"/>
          <w:lang w:val="en-US"/>
        </w:rPr>
        <w:t xml:space="preserve">epends on the availability of </w:t>
      </w:r>
      <w:r w:rsidR="008A3559" w:rsidRPr="008C28EB">
        <w:rPr>
          <w:rFonts w:ascii="Times New Roman" w:hAnsi="Times New Roman"/>
          <w:sz w:val="24"/>
          <w:szCs w:val="24"/>
          <w:lang w:val="en-US"/>
        </w:rPr>
        <w:t>complete and liquid stock price series</w:t>
      </w:r>
      <w:r w:rsidR="00286B12" w:rsidRPr="008C28EB">
        <w:rPr>
          <w:rFonts w:ascii="Times New Roman" w:hAnsi="Times New Roman"/>
          <w:sz w:val="24"/>
          <w:szCs w:val="24"/>
          <w:lang w:val="en-US"/>
        </w:rPr>
        <w:t>)</w:t>
      </w:r>
      <w:r w:rsidR="008A3559" w:rsidRPr="008C28EB">
        <w:rPr>
          <w:rFonts w:ascii="Times New Roman" w:hAnsi="Times New Roman"/>
          <w:sz w:val="24"/>
          <w:szCs w:val="24"/>
          <w:lang w:val="en-US"/>
        </w:rPr>
        <w:t>.</w:t>
      </w:r>
      <w:r w:rsidR="004C2C20" w:rsidRPr="008C28EB">
        <w:rPr>
          <w:rFonts w:ascii="Times New Roman" w:hAnsi="Times New Roman"/>
          <w:sz w:val="24"/>
          <w:szCs w:val="24"/>
          <w:lang w:val="en-US"/>
        </w:rPr>
        <w:t xml:space="preserve"> As expected, looking at CAARs and difference</w:t>
      </w:r>
      <w:r w:rsidR="00286B12" w:rsidRPr="008C28EB">
        <w:rPr>
          <w:rFonts w:ascii="Times New Roman" w:hAnsi="Times New Roman"/>
          <w:sz w:val="24"/>
          <w:szCs w:val="24"/>
          <w:lang w:val="en-US"/>
        </w:rPr>
        <w:t>s</w:t>
      </w:r>
      <w:r w:rsidR="004C2C20" w:rsidRPr="008C28EB">
        <w:rPr>
          <w:rFonts w:ascii="Times New Roman" w:hAnsi="Times New Roman"/>
          <w:sz w:val="24"/>
          <w:szCs w:val="24"/>
          <w:lang w:val="en-US"/>
        </w:rPr>
        <w:t xml:space="preserve"> in mean among different subgroups of banks</w:t>
      </w:r>
      <w:r w:rsidR="00A165E9" w:rsidRPr="008C28EB">
        <w:rPr>
          <w:rFonts w:ascii="Times New Roman" w:hAnsi="Times New Roman"/>
          <w:sz w:val="24"/>
          <w:szCs w:val="24"/>
          <w:lang w:val="en-US"/>
        </w:rPr>
        <w:t xml:space="preserve"> (reported in Table 2, Panel B)</w:t>
      </w:r>
      <w:r w:rsidR="004C2C20" w:rsidRPr="008C28EB">
        <w:rPr>
          <w:rFonts w:ascii="Times New Roman" w:hAnsi="Times New Roman"/>
          <w:sz w:val="24"/>
          <w:szCs w:val="24"/>
          <w:lang w:val="en-US"/>
        </w:rPr>
        <w:t xml:space="preserve">, it is evident that the most important dates are the first and the last ones. </w:t>
      </w:r>
    </w:p>
    <w:p w14:paraId="3BE800C3" w14:textId="77777777" w:rsidR="00243B0A" w:rsidRPr="008C28EB" w:rsidRDefault="00243B0A" w:rsidP="00723457">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At the first date, 23</w:t>
      </w:r>
      <w:r w:rsidR="002F741C" w:rsidRPr="008C28EB">
        <w:rPr>
          <w:rFonts w:ascii="Times New Roman" w:eastAsia="Times New Roman" w:hAnsi="Times New Roman"/>
          <w:sz w:val="24"/>
          <w:szCs w:val="24"/>
          <w:vertAlign w:val="superscript"/>
          <w:lang w:val="en-US"/>
        </w:rPr>
        <w:t>rd</w:t>
      </w:r>
      <w:r w:rsidR="00723457"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October 2013, the ECB announced details for the comprehensive assessment procedure</w:t>
      </w:r>
      <w:r w:rsidR="0042278C" w:rsidRPr="008C28EB">
        <w:rPr>
          <w:rFonts w:ascii="Times New Roman" w:eastAsia="Times New Roman" w:hAnsi="Times New Roman"/>
          <w:sz w:val="24"/>
          <w:szCs w:val="24"/>
          <w:lang w:val="en-US"/>
        </w:rPr>
        <w:t xml:space="preserve"> and disclosed</w:t>
      </w:r>
      <w:r w:rsidRPr="008C28EB">
        <w:rPr>
          <w:rFonts w:ascii="Times New Roman" w:eastAsia="Times New Roman" w:hAnsi="Times New Roman"/>
          <w:sz w:val="24"/>
          <w:szCs w:val="24"/>
          <w:lang w:val="en-US"/>
        </w:rPr>
        <w:t xml:space="preserve"> the list of involved institutions. At this date, CAARs for banks involved are negative in all the considered event windows and greater in magnitude with respect to banks not involved in the CA. </w:t>
      </w:r>
      <w:r w:rsidR="008A3559" w:rsidRPr="008C28EB">
        <w:rPr>
          <w:rFonts w:ascii="Times New Roman" w:eastAsia="Times New Roman" w:hAnsi="Times New Roman"/>
          <w:sz w:val="24"/>
          <w:szCs w:val="24"/>
          <w:lang w:val="en-US"/>
        </w:rPr>
        <w:t>T</w:t>
      </w:r>
      <w:r w:rsidRPr="008C28EB">
        <w:rPr>
          <w:rFonts w:ascii="Times New Roman" w:eastAsia="Times New Roman" w:hAnsi="Times New Roman"/>
          <w:sz w:val="24"/>
          <w:szCs w:val="24"/>
          <w:lang w:val="en-US"/>
        </w:rPr>
        <w:t>he difference in</w:t>
      </w:r>
      <w:r w:rsidR="008A3559" w:rsidRPr="008C28EB">
        <w:rPr>
          <w:rFonts w:ascii="Times New Roman" w:eastAsia="Times New Roman" w:hAnsi="Times New Roman"/>
          <w:sz w:val="24"/>
          <w:szCs w:val="24"/>
          <w:lang w:val="en-US"/>
        </w:rPr>
        <w:t xml:space="preserve"> mean between the two samples is</w:t>
      </w:r>
      <w:r w:rsidRPr="008C28EB">
        <w:rPr>
          <w:rFonts w:ascii="Times New Roman" w:eastAsia="Times New Roman" w:hAnsi="Times New Roman"/>
          <w:sz w:val="24"/>
          <w:szCs w:val="24"/>
          <w:lang w:val="en-US"/>
        </w:rPr>
        <w:t xml:space="preserve"> always negative and statistically significant, at least at the 10% confidence level. In order to understand whether this difference derives from the investors’ expectation of a capital shortfall for some banks</w:t>
      </w:r>
      <w:r w:rsidR="0042278C" w:rsidRPr="008C28EB">
        <w:rPr>
          <w:rFonts w:ascii="Times New Roman" w:eastAsia="Times New Roman" w:hAnsi="Times New Roman"/>
          <w:sz w:val="24"/>
          <w:szCs w:val="24"/>
          <w:lang w:val="en-US"/>
        </w:rPr>
        <w:t xml:space="preserve"> involved</w:t>
      </w:r>
      <w:r w:rsidRPr="008C28EB">
        <w:rPr>
          <w:rFonts w:ascii="Times New Roman" w:eastAsia="Times New Roman" w:hAnsi="Times New Roman"/>
          <w:sz w:val="24"/>
          <w:szCs w:val="24"/>
          <w:lang w:val="en-US"/>
        </w:rPr>
        <w:t xml:space="preserve">, we also consider the difference between the subsamples of </w:t>
      </w:r>
      <w:r w:rsidR="008A3559" w:rsidRPr="008C28EB">
        <w:rPr>
          <w:rFonts w:ascii="Times New Roman" w:eastAsia="Times New Roman" w:hAnsi="Times New Roman"/>
          <w:sz w:val="24"/>
          <w:szCs w:val="24"/>
          <w:lang w:val="en-US"/>
        </w:rPr>
        <w:t xml:space="preserve">CA </w:t>
      </w:r>
      <w:r w:rsidRPr="008C28EB">
        <w:rPr>
          <w:rFonts w:ascii="Times New Roman" w:eastAsia="Times New Roman" w:hAnsi="Times New Roman"/>
          <w:sz w:val="24"/>
          <w:szCs w:val="24"/>
          <w:lang w:val="en-US"/>
        </w:rPr>
        <w:t xml:space="preserve">banks registering a capital shortfall and </w:t>
      </w:r>
      <w:r w:rsidR="008A3559" w:rsidRPr="008C28EB">
        <w:rPr>
          <w:rFonts w:ascii="Times New Roman" w:eastAsia="Times New Roman" w:hAnsi="Times New Roman"/>
          <w:sz w:val="24"/>
          <w:szCs w:val="24"/>
          <w:lang w:val="en-US"/>
        </w:rPr>
        <w:t xml:space="preserve">CA </w:t>
      </w:r>
      <w:r w:rsidRPr="008C28EB">
        <w:rPr>
          <w:rFonts w:ascii="Times New Roman" w:eastAsia="Times New Roman" w:hAnsi="Times New Roman"/>
          <w:sz w:val="24"/>
          <w:szCs w:val="24"/>
          <w:lang w:val="en-US"/>
        </w:rPr>
        <w:t>banks without</w:t>
      </w:r>
      <w:r w:rsidR="008A3559" w:rsidRPr="008C28EB">
        <w:rPr>
          <w:rFonts w:ascii="Times New Roman" w:eastAsia="Times New Roman" w:hAnsi="Times New Roman"/>
          <w:sz w:val="24"/>
          <w:szCs w:val="24"/>
          <w:lang w:val="en-US"/>
        </w:rPr>
        <w:t xml:space="preserve"> a</w:t>
      </w:r>
      <w:r w:rsidRPr="008C28EB">
        <w:rPr>
          <w:rFonts w:ascii="Times New Roman" w:eastAsia="Times New Roman" w:hAnsi="Times New Roman"/>
          <w:sz w:val="24"/>
          <w:szCs w:val="24"/>
          <w:lang w:val="en-US"/>
        </w:rPr>
        <w:t xml:space="preserve"> shortfall. CAARs are </w:t>
      </w:r>
      <w:r w:rsidR="008A3559" w:rsidRPr="008C28EB">
        <w:rPr>
          <w:rFonts w:ascii="Times New Roman" w:eastAsia="Times New Roman" w:hAnsi="Times New Roman"/>
          <w:sz w:val="24"/>
          <w:szCs w:val="24"/>
          <w:lang w:val="en-US"/>
        </w:rPr>
        <w:t xml:space="preserve">generally </w:t>
      </w:r>
      <w:r w:rsidRPr="008C28EB">
        <w:rPr>
          <w:rFonts w:ascii="Times New Roman" w:eastAsia="Times New Roman" w:hAnsi="Times New Roman"/>
          <w:sz w:val="24"/>
          <w:szCs w:val="24"/>
          <w:lang w:val="en-US"/>
        </w:rPr>
        <w:t xml:space="preserve">negative for both subgroups, but the reaction is particularly </w:t>
      </w:r>
      <w:r w:rsidR="008A3559" w:rsidRPr="008C28EB">
        <w:rPr>
          <w:rFonts w:ascii="Times New Roman" w:eastAsia="Times New Roman" w:hAnsi="Times New Roman"/>
          <w:sz w:val="24"/>
          <w:szCs w:val="24"/>
          <w:lang w:val="en-US"/>
        </w:rPr>
        <w:t>strong</w:t>
      </w:r>
      <w:r w:rsidRPr="008C28EB">
        <w:rPr>
          <w:rFonts w:ascii="Times New Roman" w:eastAsia="Times New Roman" w:hAnsi="Times New Roman"/>
          <w:sz w:val="24"/>
          <w:szCs w:val="24"/>
          <w:lang w:val="en-US"/>
        </w:rPr>
        <w:t xml:space="preserve"> for shortfall banks, especially a</w:t>
      </w:r>
      <w:r w:rsidR="008A3559" w:rsidRPr="008C28EB">
        <w:rPr>
          <w:rFonts w:ascii="Times New Roman" w:eastAsia="Times New Roman" w:hAnsi="Times New Roman"/>
          <w:sz w:val="24"/>
          <w:szCs w:val="24"/>
          <w:lang w:val="en-US"/>
        </w:rPr>
        <w:t>t the date of the announcement, when the CAAR is -3.61%, statistically significant at the 5% confidence level even after the correction suggested by Kolari and Pynnönen</w:t>
      </w:r>
      <w:r w:rsidR="00F604F9" w:rsidRPr="008C28EB">
        <w:rPr>
          <w:rFonts w:ascii="Times New Roman" w:eastAsia="Times New Roman" w:hAnsi="Times New Roman"/>
          <w:sz w:val="24"/>
          <w:szCs w:val="24"/>
          <w:lang w:val="en-US"/>
        </w:rPr>
        <w:t xml:space="preserve"> (2010)</w:t>
      </w:r>
      <w:r w:rsidR="008A3559" w:rsidRPr="008C28EB">
        <w:rPr>
          <w:rFonts w:ascii="Times New Roman" w:eastAsia="Times New Roman" w:hAnsi="Times New Roman"/>
          <w:sz w:val="24"/>
          <w:szCs w:val="24"/>
          <w:lang w:val="en-US"/>
        </w:rPr>
        <w:t xml:space="preserve">. </w:t>
      </w:r>
      <w:r w:rsidR="001116A6" w:rsidRPr="008C28EB">
        <w:rPr>
          <w:rFonts w:ascii="Times New Roman" w:eastAsia="Times New Roman" w:hAnsi="Times New Roman"/>
          <w:sz w:val="24"/>
          <w:szCs w:val="24"/>
          <w:lang w:val="en-US"/>
        </w:rPr>
        <w:t>T</w:t>
      </w:r>
      <w:r w:rsidRPr="008C28EB">
        <w:rPr>
          <w:rFonts w:ascii="Times New Roman" w:eastAsia="Times New Roman" w:hAnsi="Times New Roman"/>
          <w:sz w:val="24"/>
          <w:szCs w:val="24"/>
          <w:lang w:val="en-US"/>
        </w:rPr>
        <w:t xml:space="preserve">hese results suggest that investors were able to detect banks with a shortfall resulting from the CA already at the date when the beginning of the procedure was announced. On the other hand, the negative reaction registered also for banks without a shortfall may indicate </w:t>
      </w:r>
      <w:r w:rsidR="008A3559" w:rsidRPr="008C28EB">
        <w:rPr>
          <w:rFonts w:ascii="Times New Roman" w:eastAsia="Times New Roman" w:hAnsi="Times New Roman"/>
          <w:sz w:val="24"/>
          <w:szCs w:val="24"/>
          <w:lang w:val="en-US"/>
        </w:rPr>
        <w:t xml:space="preserve">that there was high uncertainty about CA results or </w:t>
      </w:r>
      <w:r w:rsidRPr="008C28EB">
        <w:rPr>
          <w:rFonts w:ascii="Times New Roman" w:eastAsia="Times New Roman" w:hAnsi="Times New Roman"/>
          <w:sz w:val="24"/>
          <w:szCs w:val="24"/>
          <w:lang w:val="en-US"/>
        </w:rPr>
        <w:t xml:space="preserve">that something else </w:t>
      </w:r>
      <w:r w:rsidR="00723457" w:rsidRPr="008C28EB">
        <w:rPr>
          <w:rFonts w:ascii="Times New Roman" w:eastAsia="Times New Roman" w:hAnsi="Times New Roman"/>
          <w:sz w:val="24"/>
          <w:szCs w:val="24"/>
          <w:lang w:val="en-US"/>
        </w:rPr>
        <w:t xml:space="preserve">was </w:t>
      </w:r>
      <w:r w:rsidRPr="008C28EB">
        <w:rPr>
          <w:rFonts w:ascii="Times New Roman" w:eastAsia="Times New Roman" w:hAnsi="Times New Roman"/>
          <w:sz w:val="24"/>
          <w:szCs w:val="24"/>
          <w:lang w:val="en-US"/>
        </w:rPr>
        <w:t>driving market reaction</w:t>
      </w:r>
      <w:r w:rsidR="008A3559" w:rsidRPr="008C28EB">
        <w:rPr>
          <w:rFonts w:ascii="Times New Roman" w:eastAsia="Times New Roman" w:hAnsi="Times New Roman"/>
          <w:sz w:val="24"/>
          <w:szCs w:val="24"/>
          <w:lang w:val="en-US"/>
        </w:rPr>
        <w:t>s</w:t>
      </w:r>
      <w:r w:rsidRPr="008C28EB">
        <w:rPr>
          <w:rFonts w:ascii="Times New Roman" w:eastAsia="Times New Roman" w:hAnsi="Times New Roman"/>
          <w:sz w:val="24"/>
          <w:szCs w:val="24"/>
          <w:lang w:val="en-US"/>
        </w:rPr>
        <w:t xml:space="preserve">. </w:t>
      </w:r>
    </w:p>
    <w:p w14:paraId="4E7205CA" w14:textId="77777777" w:rsidR="00243B0A" w:rsidRPr="008C28EB" w:rsidRDefault="00243B0A" w:rsidP="00C25996">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lastRenderedPageBreak/>
        <w:t>At the second date, 3</w:t>
      </w:r>
      <w:r w:rsidR="002F741C" w:rsidRPr="008C28EB">
        <w:rPr>
          <w:rFonts w:ascii="Times New Roman" w:eastAsia="Times New Roman" w:hAnsi="Times New Roman"/>
          <w:sz w:val="24"/>
          <w:szCs w:val="24"/>
          <w:vertAlign w:val="superscript"/>
          <w:lang w:val="en-US"/>
        </w:rPr>
        <w:t>rd</w:t>
      </w:r>
      <w:r w:rsidR="00723457"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 xml:space="preserve">February 2014, the ECB announced the progress made with the Asset Quality Review and confirmed the use of the parameters set by the EBA for conducting stress tests. In this case, we do not find significant differences between the average market reaction of banks involved or not in the procedure, nor between banks with or without a shortfall. It is likely that no new relevant information was given to the market </w:t>
      </w:r>
      <w:r w:rsidR="0042278C" w:rsidRPr="008C28EB">
        <w:rPr>
          <w:rFonts w:ascii="Times New Roman" w:eastAsia="Times New Roman" w:hAnsi="Times New Roman"/>
          <w:sz w:val="24"/>
          <w:szCs w:val="24"/>
          <w:lang w:val="en-US"/>
        </w:rPr>
        <w:t>o</w:t>
      </w:r>
      <w:r w:rsidRPr="008C28EB">
        <w:rPr>
          <w:rFonts w:ascii="Times New Roman" w:eastAsia="Times New Roman" w:hAnsi="Times New Roman"/>
          <w:sz w:val="24"/>
          <w:szCs w:val="24"/>
          <w:lang w:val="en-US"/>
        </w:rPr>
        <w:t>n this day (</w:t>
      </w:r>
      <w:r w:rsidR="008A3559" w:rsidRPr="008C28EB">
        <w:rPr>
          <w:rFonts w:ascii="Times New Roman" w:eastAsia="Times New Roman" w:hAnsi="Times New Roman"/>
          <w:sz w:val="24"/>
          <w:szCs w:val="24"/>
          <w:lang w:val="en-US"/>
        </w:rPr>
        <w:t xml:space="preserve">this is not surprising if we consider that </w:t>
      </w:r>
      <w:r w:rsidRPr="008C28EB">
        <w:rPr>
          <w:rFonts w:ascii="Times New Roman" w:eastAsia="Times New Roman" w:hAnsi="Times New Roman"/>
          <w:sz w:val="24"/>
          <w:szCs w:val="24"/>
          <w:lang w:val="en-US"/>
        </w:rPr>
        <w:t xml:space="preserve">the parameters for the stress tests were already </w:t>
      </w:r>
      <w:r w:rsidR="00BA160B" w:rsidRPr="008C28EB">
        <w:rPr>
          <w:rFonts w:ascii="Times New Roman" w:eastAsia="Times New Roman" w:hAnsi="Times New Roman"/>
          <w:sz w:val="24"/>
          <w:szCs w:val="24"/>
          <w:lang w:val="en-US"/>
        </w:rPr>
        <w:t>disclosed</w:t>
      </w:r>
      <w:r w:rsidRPr="008C28EB">
        <w:rPr>
          <w:rFonts w:ascii="Times New Roman" w:eastAsia="Times New Roman" w:hAnsi="Times New Roman"/>
          <w:sz w:val="24"/>
          <w:szCs w:val="24"/>
          <w:lang w:val="en-US"/>
        </w:rPr>
        <w:t xml:space="preserve"> by the EBA </w:t>
      </w:r>
      <w:r w:rsidR="00BA160B" w:rsidRPr="008C28EB">
        <w:rPr>
          <w:rFonts w:ascii="Times New Roman" w:eastAsia="Times New Roman" w:hAnsi="Times New Roman"/>
          <w:sz w:val="24"/>
          <w:szCs w:val="24"/>
          <w:lang w:val="en-US"/>
        </w:rPr>
        <w:t xml:space="preserve">some days before, </w:t>
      </w:r>
      <w:r w:rsidR="008A3559" w:rsidRPr="008C28EB">
        <w:rPr>
          <w:rFonts w:ascii="Times New Roman" w:eastAsia="Times New Roman" w:hAnsi="Times New Roman"/>
          <w:sz w:val="24"/>
          <w:szCs w:val="24"/>
          <w:lang w:val="en-US"/>
        </w:rPr>
        <w:t>at the end</w:t>
      </w:r>
      <w:r w:rsidR="00BA160B" w:rsidRPr="008C28EB">
        <w:rPr>
          <w:rFonts w:ascii="Times New Roman" w:eastAsia="Times New Roman" w:hAnsi="Times New Roman"/>
          <w:sz w:val="24"/>
          <w:szCs w:val="24"/>
          <w:lang w:val="en-US"/>
        </w:rPr>
        <w:t xml:space="preserve"> of</w:t>
      </w:r>
      <w:r w:rsidRPr="008C28EB">
        <w:rPr>
          <w:rFonts w:ascii="Times New Roman" w:eastAsia="Times New Roman" w:hAnsi="Times New Roman"/>
          <w:sz w:val="24"/>
          <w:szCs w:val="24"/>
          <w:lang w:val="en-US"/>
        </w:rPr>
        <w:t xml:space="preserve"> January).</w:t>
      </w:r>
    </w:p>
    <w:p w14:paraId="07550521" w14:textId="77777777" w:rsidR="00243B0A" w:rsidRPr="008C28EB" w:rsidRDefault="00243B0A" w:rsidP="00C25996">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At the third date, 11</w:t>
      </w:r>
      <w:r w:rsidR="002F741C" w:rsidRPr="008C28EB">
        <w:rPr>
          <w:rFonts w:ascii="Times New Roman" w:eastAsia="Times New Roman" w:hAnsi="Times New Roman"/>
          <w:sz w:val="24"/>
          <w:szCs w:val="24"/>
          <w:vertAlign w:val="superscript"/>
          <w:lang w:val="en-US"/>
        </w:rPr>
        <w:t>th</w:t>
      </w:r>
      <w:r w:rsidR="00723457"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 xml:space="preserve">March 2014, the ECB published the manual for the Asset Quality Review. Market reaction appears </w:t>
      </w:r>
      <w:r w:rsidR="0042278C" w:rsidRPr="008C28EB">
        <w:rPr>
          <w:rFonts w:ascii="Times New Roman" w:eastAsia="Times New Roman" w:hAnsi="Times New Roman"/>
          <w:sz w:val="24"/>
          <w:szCs w:val="24"/>
          <w:lang w:val="en-US"/>
        </w:rPr>
        <w:t xml:space="preserve">to be </w:t>
      </w:r>
      <w:r w:rsidRPr="008C28EB">
        <w:rPr>
          <w:rFonts w:ascii="Times New Roman" w:eastAsia="Times New Roman" w:hAnsi="Times New Roman"/>
          <w:sz w:val="24"/>
          <w:szCs w:val="24"/>
          <w:lang w:val="en-US"/>
        </w:rPr>
        <w:t xml:space="preserve">more positive for involved banks, and for banks registering a capital shortfall. It is likely that </w:t>
      </w:r>
      <w:r w:rsidR="00485C3B" w:rsidRPr="008C28EB">
        <w:rPr>
          <w:rFonts w:ascii="Times New Roman" w:eastAsia="Times New Roman" w:hAnsi="Times New Roman"/>
          <w:sz w:val="24"/>
          <w:szCs w:val="24"/>
          <w:lang w:val="en-US"/>
        </w:rPr>
        <w:t xml:space="preserve">interested </w:t>
      </w:r>
      <w:r w:rsidRPr="008C28EB">
        <w:rPr>
          <w:rFonts w:ascii="Times New Roman" w:eastAsia="Times New Roman" w:hAnsi="Times New Roman"/>
          <w:sz w:val="24"/>
          <w:szCs w:val="24"/>
          <w:lang w:val="en-US"/>
        </w:rPr>
        <w:t>investors were waiting for the final manual c</w:t>
      </w:r>
      <w:r w:rsidR="00485C3B" w:rsidRPr="008C28EB">
        <w:rPr>
          <w:rFonts w:ascii="Times New Roman" w:eastAsia="Times New Roman" w:hAnsi="Times New Roman"/>
          <w:sz w:val="24"/>
          <w:szCs w:val="24"/>
          <w:lang w:val="en-US"/>
        </w:rPr>
        <w:t>ontaining all details about a crucial pillar of the CA and</w:t>
      </w:r>
      <w:r w:rsidR="00723457" w:rsidRPr="008C28EB">
        <w:rPr>
          <w:rFonts w:ascii="Times New Roman" w:eastAsia="Times New Roman" w:hAnsi="Times New Roman"/>
          <w:sz w:val="24"/>
          <w:szCs w:val="24"/>
          <w:lang w:val="en-US"/>
        </w:rPr>
        <w:t xml:space="preserve"> </w:t>
      </w:r>
      <w:r w:rsidR="00485C3B" w:rsidRPr="008C28EB">
        <w:rPr>
          <w:rFonts w:ascii="Times New Roman" w:eastAsia="Times New Roman" w:hAnsi="Times New Roman"/>
          <w:sz w:val="24"/>
          <w:szCs w:val="24"/>
          <w:lang w:val="en-US"/>
        </w:rPr>
        <w:t>that they</w:t>
      </w:r>
      <w:r w:rsidR="00723457" w:rsidRPr="008C28EB">
        <w:rPr>
          <w:rFonts w:ascii="Times New Roman" w:eastAsia="Times New Roman" w:hAnsi="Times New Roman"/>
          <w:sz w:val="24"/>
          <w:szCs w:val="24"/>
          <w:lang w:val="en-US"/>
        </w:rPr>
        <w:t xml:space="preserve"> </w:t>
      </w:r>
      <w:r w:rsidR="00485C3B" w:rsidRPr="008C28EB">
        <w:rPr>
          <w:rFonts w:ascii="Times New Roman" w:eastAsia="Times New Roman" w:hAnsi="Times New Roman"/>
          <w:sz w:val="24"/>
          <w:szCs w:val="24"/>
          <w:lang w:val="en-US"/>
        </w:rPr>
        <w:t xml:space="preserve">were </w:t>
      </w:r>
      <w:r w:rsidRPr="008C28EB">
        <w:rPr>
          <w:rFonts w:ascii="Times New Roman" w:eastAsia="Times New Roman" w:hAnsi="Times New Roman"/>
          <w:sz w:val="24"/>
          <w:szCs w:val="24"/>
          <w:lang w:val="en-US"/>
        </w:rPr>
        <w:t>satisfied to receive this complete information</w:t>
      </w:r>
      <w:r w:rsidR="00485C3B" w:rsidRPr="008C28EB">
        <w:rPr>
          <w:rFonts w:ascii="Times New Roman" w:eastAsia="Times New Roman" w:hAnsi="Times New Roman"/>
          <w:sz w:val="24"/>
          <w:szCs w:val="24"/>
          <w:lang w:val="en-US"/>
        </w:rPr>
        <w:t>,</w:t>
      </w:r>
      <w:r w:rsidRPr="008C28EB">
        <w:rPr>
          <w:rFonts w:ascii="Times New Roman" w:eastAsia="Times New Roman" w:hAnsi="Times New Roman"/>
          <w:sz w:val="24"/>
          <w:szCs w:val="24"/>
          <w:lang w:val="en-US"/>
        </w:rPr>
        <w:t xml:space="preserve"> reducing uncertainty about the procedure.</w:t>
      </w:r>
    </w:p>
    <w:p w14:paraId="63B2884C" w14:textId="77777777" w:rsidR="00243B0A" w:rsidRPr="008C28EB" w:rsidRDefault="00243B0A" w:rsidP="00C25996">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At the fourth date, 29</w:t>
      </w:r>
      <w:r w:rsidR="002F741C" w:rsidRPr="008C28EB">
        <w:rPr>
          <w:rFonts w:ascii="Times New Roman" w:eastAsia="Times New Roman" w:hAnsi="Times New Roman"/>
          <w:sz w:val="24"/>
          <w:szCs w:val="24"/>
          <w:vertAlign w:val="superscript"/>
          <w:lang w:val="en-US"/>
        </w:rPr>
        <w:t>th</w:t>
      </w:r>
      <w:r w:rsidRPr="008C28EB">
        <w:rPr>
          <w:rFonts w:ascii="Times New Roman" w:eastAsia="Times New Roman" w:hAnsi="Times New Roman"/>
          <w:sz w:val="24"/>
          <w:szCs w:val="24"/>
          <w:lang w:val="en-US"/>
        </w:rPr>
        <w:t xml:space="preserve"> April 2014, we find a similar situation. The ECB communicate</w:t>
      </w:r>
      <w:r w:rsidR="00485C3B" w:rsidRPr="008C28EB">
        <w:rPr>
          <w:rFonts w:ascii="Times New Roman" w:eastAsia="Times New Roman" w:hAnsi="Times New Roman"/>
          <w:sz w:val="24"/>
          <w:szCs w:val="24"/>
          <w:lang w:val="en-US"/>
        </w:rPr>
        <w:t>d</w:t>
      </w:r>
      <w:r w:rsidRPr="008C28EB">
        <w:rPr>
          <w:rFonts w:ascii="Times New Roman" w:eastAsia="Times New Roman" w:hAnsi="Times New Roman"/>
          <w:sz w:val="24"/>
          <w:szCs w:val="24"/>
          <w:lang w:val="en-US"/>
        </w:rPr>
        <w:t xml:space="preserve"> how capital shortfall </w:t>
      </w:r>
      <w:r w:rsidR="00550AE9" w:rsidRPr="008C28EB">
        <w:rPr>
          <w:rFonts w:ascii="Times New Roman" w:eastAsia="Times New Roman" w:hAnsi="Times New Roman"/>
          <w:sz w:val="24"/>
          <w:szCs w:val="24"/>
          <w:lang w:val="en-US"/>
        </w:rPr>
        <w:t xml:space="preserve">resulting at the end of </w:t>
      </w:r>
      <w:r w:rsidRPr="008C28EB">
        <w:rPr>
          <w:rFonts w:ascii="Times New Roman" w:eastAsia="Times New Roman" w:hAnsi="Times New Roman"/>
          <w:sz w:val="24"/>
          <w:szCs w:val="24"/>
          <w:lang w:val="en-US"/>
        </w:rPr>
        <w:t xml:space="preserve">the CA must be addressed. The disclosure of more information about the procedure </w:t>
      </w:r>
      <w:r w:rsidR="00B93800" w:rsidRPr="008C28EB">
        <w:rPr>
          <w:rFonts w:ascii="Times New Roman" w:eastAsia="Times New Roman" w:hAnsi="Times New Roman"/>
          <w:sz w:val="24"/>
          <w:szCs w:val="24"/>
          <w:lang w:val="en-US"/>
        </w:rPr>
        <w:t xml:space="preserve">appears </w:t>
      </w:r>
      <w:r w:rsidRPr="008C28EB">
        <w:rPr>
          <w:rFonts w:ascii="Times New Roman" w:eastAsia="Times New Roman" w:hAnsi="Times New Roman"/>
          <w:sz w:val="24"/>
          <w:szCs w:val="24"/>
          <w:lang w:val="en-US"/>
        </w:rPr>
        <w:t>to be beneficial for banks subject to the CA, while there are no statistically significant differences between banks with and without a shortfall (when considering this second categorization, it is always worth to remember the reduced number of observations that may strongly impact the statistically significance of results).</w:t>
      </w:r>
    </w:p>
    <w:p w14:paraId="5323A61F" w14:textId="77777777" w:rsidR="00243B0A" w:rsidRPr="008C28EB" w:rsidRDefault="00243B0A" w:rsidP="00C25996">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At the fifth date</w:t>
      </w:r>
      <w:r w:rsidR="00485C3B" w:rsidRPr="008C28EB">
        <w:rPr>
          <w:rFonts w:ascii="Times New Roman" w:eastAsia="Times New Roman" w:hAnsi="Times New Roman"/>
          <w:sz w:val="24"/>
          <w:szCs w:val="24"/>
          <w:lang w:val="en-US"/>
        </w:rPr>
        <w:t>, 17</w:t>
      </w:r>
      <w:r w:rsidR="002F741C" w:rsidRPr="008C28EB">
        <w:rPr>
          <w:rFonts w:ascii="Times New Roman" w:eastAsia="Times New Roman" w:hAnsi="Times New Roman"/>
          <w:sz w:val="24"/>
          <w:szCs w:val="24"/>
          <w:vertAlign w:val="superscript"/>
          <w:lang w:val="en-US"/>
        </w:rPr>
        <w:t>th</w:t>
      </w:r>
      <w:r w:rsidR="00B93800" w:rsidRPr="008C28EB">
        <w:rPr>
          <w:rFonts w:ascii="Times New Roman" w:eastAsia="Times New Roman" w:hAnsi="Times New Roman"/>
          <w:sz w:val="24"/>
          <w:szCs w:val="24"/>
          <w:lang w:val="en-US"/>
        </w:rPr>
        <w:t xml:space="preserve"> </w:t>
      </w:r>
      <w:r w:rsidR="00485C3B" w:rsidRPr="008C28EB">
        <w:rPr>
          <w:rFonts w:ascii="Times New Roman" w:eastAsia="Times New Roman" w:hAnsi="Times New Roman"/>
          <w:sz w:val="24"/>
          <w:szCs w:val="24"/>
          <w:lang w:val="en-US"/>
        </w:rPr>
        <w:t>May 2014, the ECB published</w:t>
      </w:r>
      <w:r w:rsidRPr="008C28EB">
        <w:rPr>
          <w:rFonts w:ascii="Times New Roman" w:eastAsia="Times New Roman" w:hAnsi="Times New Roman"/>
          <w:sz w:val="24"/>
          <w:szCs w:val="24"/>
          <w:lang w:val="en-US"/>
        </w:rPr>
        <w:t xml:space="preserve"> the disclosure template for </w:t>
      </w:r>
      <w:r w:rsidR="00485C3B" w:rsidRPr="008C28EB">
        <w:rPr>
          <w:rFonts w:ascii="Times New Roman" w:eastAsia="Times New Roman" w:hAnsi="Times New Roman"/>
          <w:sz w:val="24"/>
          <w:szCs w:val="24"/>
          <w:lang w:val="en-US"/>
        </w:rPr>
        <w:t xml:space="preserve">communicating </w:t>
      </w:r>
      <w:r w:rsidRPr="008C28EB">
        <w:rPr>
          <w:rFonts w:ascii="Times New Roman" w:eastAsia="Times New Roman" w:hAnsi="Times New Roman"/>
          <w:sz w:val="24"/>
          <w:szCs w:val="24"/>
          <w:lang w:val="en-US"/>
        </w:rPr>
        <w:t xml:space="preserve">results. The average market reaction is more negative for banks </w:t>
      </w:r>
      <w:r w:rsidRPr="008C28EB">
        <w:rPr>
          <w:rFonts w:ascii="Times New Roman" w:eastAsia="Times New Roman" w:hAnsi="Times New Roman"/>
          <w:sz w:val="24"/>
          <w:szCs w:val="24"/>
          <w:lang w:val="en-US"/>
        </w:rPr>
        <w:lastRenderedPageBreak/>
        <w:t xml:space="preserve">involved in the procedure, and especially for banks registering a shortfall. It is likely that investors </w:t>
      </w:r>
      <w:r w:rsidR="00485C3B" w:rsidRPr="008C28EB">
        <w:rPr>
          <w:rFonts w:ascii="Times New Roman" w:eastAsia="Times New Roman" w:hAnsi="Times New Roman"/>
          <w:sz w:val="24"/>
          <w:szCs w:val="24"/>
          <w:lang w:val="en-US"/>
        </w:rPr>
        <w:t>were</w:t>
      </w:r>
      <w:r w:rsidRPr="008C28EB">
        <w:rPr>
          <w:rFonts w:ascii="Times New Roman" w:eastAsia="Times New Roman" w:hAnsi="Times New Roman"/>
          <w:sz w:val="24"/>
          <w:szCs w:val="24"/>
          <w:lang w:val="en-US"/>
        </w:rPr>
        <w:t xml:space="preserve"> worried for these banks showing their </w:t>
      </w:r>
      <w:r w:rsidR="00485C3B" w:rsidRPr="008C28EB">
        <w:rPr>
          <w:rFonts w:ascii="Times New Roman" w:eastAsia="Times New Roman" w:hAnsi="Times New Roman"/>
          <w:sz w:val="24"/>
          <w:szCs w:val="24"/>
          <w:lang w:val="en-US"/>
        </w:rPr>
        <w:t xml:space="preserve">weak </w:t>
      </w:r>
      <w:r w:rsidRPr="008C28EB">
        <w:rPr>
          <w:rFonts w:ascii="Times New Roman" w:eastAsia="Times New Roman" w:hAnsi="Times New Roman"/>
          <w:sz w:val="24"/>
          <w:szCs w:val="24"/>
          <w:lang w:val="en-US"/>
        </w:rPr>
        <w:t xml:space="preserve">financial and capital situation in </w:t>
      </w:r>
      <w:r w:rsidR="0042278C" w:rsidRPr="008C28EB">
        <w:rPr>
          <w:rFonts w:ascii="Times New Roman" w:eastAsia="Times New Roman" w:hAnsi="Times New Roman"/>
          <w:sz w:val="24"/>
          <w:szCs w:val="24"/>
          <w:lang w:val="en-US"/>
        </w:rPr>
        <w:t xml:space="preserve">such </w:t>
      </w:r>
      <w:r w:rsidRPr="008C28EB">
        <w:rPr>
          <w:rFonts w:ascii="Times New Roman" w:eastAsia="Times New Roman" w:hAnsi="Times New Roman"/>
          <w:sz w:val="24"/>
          <w:szCs w:val="24"/>
          <w:lang w:val="en-US"/>
        </w:rPr>
        <w:t>detailed format, very standardized and allow</w:t>
      </w:r>
      <w:r w:rsidR="00485C3B" w:rsidRPr="008C28EB">
        <w:rPr>
          <w:rFonts w:ascii="Times New Roman" w:eastAsia="Times New Roman" w:hAnsi="Times New Roman"/>
          <w:sz w:val="24"/>
          <w:szCs w:val="24"/>
          <w:lang w:val="en-US"/>
        </w:rPr>
        <w:t>ing</w:t>
      </w:r>
      <w:r w:rsidRPr="008C28EB">
        <w:rPr>
          <w:rFonts w:ascii="Times New Roman" w:eastAsia="Times New Roman" w:hAnsi="Times New Roman"/>
          <w:sz w:val="24"/>
          <w:szCs w:val="24"/>
          <w:lang w:val="en-US"/>
        </w:rPr>
        <w:t xml:space="preserve"> a direct</w:t>
      </w:r>
      <w:r w:rsidR="00D57624" w:rsidRPr="008C28EB">
        <w:rPr>
          <w:rFonts w:ascii="Times New Roman" w:eastAsia="Times New Roman" w:hAnsi="Times New Roman"/>
          <w:sz w:val="24"/>
          <w:szCs w:val="24"/>
          <w:lang w:val="en-US"/>
        </w:rPr>
        <w:t>, easy,</w:t>
      </w:r>
      <w:r w:rsidRPr="008C28EB">
        <w:rPr>
          <w:rFonts w:ascii="Times New Roman" w:eastAsia="Times New Roman" w:hAnsi="Times New Roman"/>
          <w:sz w:val="24"/>
          <w:szCs w:val="24"/>
          <w:lang w:val="en-US"/>
        </w:rPr>
        <w:t xml:space="preserve"> and fast comparison with main peers (and competitors).</w:t>
      </w:r>
    </w:p>
    <w:p w14:paraId="19A8DD4A" w14:textId="77777777" w:rsidR="00243B0A" w:rsidRPr="008C28EB" w:rsidRDefault="00243B0A" w:rsidP="00C25996">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At the sixth date, 10</w:t>
      </w:r>
      <w:r w:rsidR="002F741C" w:rsidRPr="008C28EB">
        <w:rPr>
          <w:rFonts w:ascii="Times New Roman" w:eastAsia="Times New Roman" w:hAnsi="Times New Roman"/>
          <w:sz w:val="24"/>
          <w:szCs w:val="24"/>
          <w:vertAlign w:val="superscript"/>
          <w:lang w:val="en-US"/>
        </w:rPr>
        <w:t>th</w:t>
      </w:r>
      <w:r w:rsidR="00B93800"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October 2014, the ECB state</w:t>
      </w:r>
      <w:r w:rsidR="00485C3B" w:rsidRPr="008C28EB">
        <w:rPr>
          <w:rFonts w:ascii="Times New Roman" w:eastAsia="Times New Roman" w:hAnsi="Times New Roman"/>
          <w:sz w:val="24"/>
          <w:szCs w:val="24"/>
          <w:lang w:val="en-US"/>
        </w:rPr>
        <w:t>d</w:t>
      </w:r>
      <w:r w:rsidRPr="008C28EB">
        <w:rPr>
          <w:rFonts w:ascii="Times New Roman" w:eastAsia="Times New Roman" w:hAnsi="Times New Roman"/>
          <w:sz w:val="24"/>
          <w:szCs w:val="24"/>
          <w:lang w:val="en-US"/>
        </w:rPr>
        <w:t xml:space="preserve"> that the CA results </w:t>
      </w:r>
      <w:r w:rsidR="003A1F73" w:rsidRPr="008C28EB">
        <w:rPr>
          <w:rFonts w:ascii="Times New Roman" w:eastAsia="Times New Roman" w:hAnsi="Times New Roman"/>
          <w:sz w:val="24"/>
          <w:szCs w:val="24"/>
          <w:lang w:val="en-US"/>
        </w:rPr>
        <w:t>would be</w:t>
      </w:r>
      <w:r w:rsidR="00B93800"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published on the 26</w:t>
      </w:r>
      <w:r w:rsidR="002F741C" w:rsidRPr="008C28EB">
        <w:rPr>
          <w:rFonts w:ascii="Times New Roman" w:eastAsia="Times New Roman" w:hAnsi="Times New Roman"/>
          <w:sz w:val="24"/>
          <w:szCs w:val="24"/>
          <w:vertAlign w:val="superscript"/>
          <w:lang w:val="en-US"/>
        </w:rPr>
        <w:t>th</w:t>
      </w:r>
      <w:r w:rsidRPr="008C28EB">
        <w:rPr>
          <w:rFonts w:ascii="Times New Roman" w:eastAsia="Times New Roman" w:hAnsi="Times New Roman"/>
          <w:sz w:val="24"/>
          <w:szCs w:val="24"/>
          <w:lang w:val="en-US"/>
        </w:rPr>
        <w:t xml:space="preserve"> October 2014. The reaction is more positive for involved banks, and for banks registering a capital shortfall, consistently with previous results (i.e., </w:t>
      </w:r>
      <w:r w:rsidR="00485C3B" w:rsidRPr="008C28EB">
        <w:rPr>
          <w:rFonts w:ascii="Times New Roman" w:eastAsia="Times New Roman" w:hAnsi="Times New Roman"/>
          <w:sz w:val="24"/>
          <w:szCs w:val="24"/>
          <w:lang w:val="en-US"/>
        </w:rPr>
        <w:t xml:space="preserve">interested </w:t>
      </w:r>
      <w:r w:rsidRPr="008C28EB">
        <w:rPr>
          <w:rFonts w:ascii="Times New Roman" w:eastAsia="Times New Roman" w:hAnsi="Times New Roman"/>
          <w:sz w:val="24"/>
          <w:szCs w:val="24"/>
          <w:lang w:val="en-US"/>
        </w:rPr>
        <w:t xml:space="preserve">investors </w:t>
      </w:r>
      <w:r w:rsidR="00485C3B" w:rsidRPr="008C28EB">
        <w:rPr>
          <w:rFonts w:ascii="Times New Roman" w:eastAsia="Times New Roman" w:hAnsi="Times New Roman"/>
          <w:sz w:val="24"/>
          <w:szCs w:val="24"/>
          <w:lang w:val="en-US"/>
        </w:rPr>
        <w:t xml:space="preserve">seem to </w:t>
      </w:r>
      <w:r w:rsidRPr="008C28EB">
        <w:rPr>
          <w:rFonts w:ascii="Times New Roman" w:eastAsia="Times New Roman" w:hAnsi="Times New Roman"/>
          <w:sz w:val="24"/>
          <w:szCs w:val="24"/>
          <w:lang w:val="en-US"/>
        </w:rPr>
        <w:t>appreciate the reduction of uncertainty about operational details).</w:t>
      </w:r>
    </w:p>
    <w:p w14:paraId="7E3E142E" w14:textId="77777777" w:rsidR="00243B0A" w:rsidRPr="008C28EB" w:rsidRDefault="00243B0A" w:rsidP="00C25996">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At the seventh date, 22</w:t>
      </w:r>
      <w:r w:rsidR="00B93800" w:rsidRPr="008C28EB">
        <w:rPr>
          <w:rFonts w:ascii="Times New Roman" w:eastAsia="Times New Roman" w:hAnsi="Times New Roman"/>
          <w:sz w:val="24"/>
          <w:szCs w:val="24"/>
          <w:vertAlign w:val="superscript"/>
          <w:lang w:val="en-US"/>
        </w:rPr>
        <w:t>th</w:t>
      </w:r>
      <w:r w:rsidR="00B93800"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October 2014, referring to media news about the CA, the ECB clarifie</w:t>
      </w:r>
      <w:r w:rsidR="00485C3B" w:rsidRPr="008C28EB">
        <w:rPr>
          <w:rFonts w:ascii="Times New Roman" w:eastAsia="Times New Roman" w:hAnsi="Times New Roman"/>
          <w:sz w:val="24"/>
          <w:szCs w:val="24"/>
          <w:lang w:val="en-US"/>
        </w:rPr>
        <w:t>d</w:t>
      </w:r>
      <w:r w:rsidR="004C2C20" w:rsidRPr="008C28EB">
        <w:rPr>
          <w:rFonts w:ascii="Times New Roman" w:eastAsia="Times New Roman" w:hAnsi="Times New Roman"/>
          <w:sz w:val="24"/>
          <w:szCs w:val="24"/>
          <w:lang w:val="en-US"/>
        </w:rPr>
        <w:t xml:space="preserve"> that</w:t>
      </w:r>
      <w:r w:rsidRPr="008C28EB">
        <w:rPr>
          <w:rFonts w:ascii="Times New Roman" w:eastAsia="Times New Roman" w:hAnsi="Times New Roman"/>
          <w:sz w:val="24"/>
          <w:szCs w:val="24"/>
          <w:lang w:val="en-US"/>
        </w:rPr>
        <w:t xml:space="preserve"> no official results </w:t>
      </w:r>
      <w:r w:rsidR="004C2C20" w:rsidRPr="008C28EB">
        <w:rPr>
          <w:rFonts w:ascii="Times New Roman" w:eastAsia="Times New Roman" w:hAnsi="Times New Roman"/>
          <w:sz w:val="24"/>
          <w:szCs w:val="24"/>
          <w:lang w:val="en-US"/>
        </w:rPr>
        <w:t xml:space="preserve">would </w:t>
      </w:r>
      <w:r w:rsidR="0042278C" w:rsidRPr="008C28EB">
        <w:rPr>
          <w:rFonts w:ascii="Times New Roman" w:eastAsia="Times New Roman" w:hAnsi="Times New Roman"/>
          <w:sz w:val="24"/>
          <w:szCs w:val="24"/>
          <w:lang w:val="en-US"/>
        </w:rPr>
        <w:t>be</w:t>
      </w:r>
      <w:r w:rsidR="004C2C20" w:rsidRPr="008C28EB">
        <w:rPr>
          <w:rFonts w:ascii="Times New Roman" w:eastAsia="Times New Roman" w:hAnsi="Times New Roman"/>
          <w:sz w:val="24"/>
          <w:szCs w:val="24"/>
          <w:lang w:val="en-US"/>
        </w:rPr>
        <w:t xml:space="preserve"> disclosed </w:t>
      </w:r>
      <w:r w:rsidRPr="008C28EB">
        <w:rPr>
          <w:rFonts w:ascii="Times New Roman" w:eastAsia="Times New Roman" w:hAnsi="Times New Roman"/>
          <w:sz w:val="24"/>
          <w:szCs w:val="24"/>
          <w:lang w:val="en-US"/>
        </w:rPr>
        <w:t xml:space="preserve">until </w:t>
      </w:r>
      <w:r w:rsidR="0042278C" w:rsidRPr="008C28EB">
        <w:rPr>
          <w:rFonts w:ascii="Times New Roman" w:eastAsia="Times New Roman" w:hAnsi="Times New Roman"/>
          <w:sz w:val="24"/>
          <w:szCs w:val="24"/>
          <w:lang w:val="en-US"/>
        </w:rPr>
        <w:t xml:space="preserve">the </w:t>
      </w:r>
      <w:r w:rsidRPr="008C28EB">
        <w:rPr>
          <w:rFonts w:ascii="Times New Roman" w:eastAsia="Times New Roman" w:hAnsi="Times New Roman"/>
          <w:sz w:val="24"/>
          <w:szCs w:val="24"/>
          <w:lang w:val="en-US"/>
        </w:rPr>
        <w:t>26</w:t>
      </w:r>
      <w:r w:rsidR="002F741C" w:rsidRPr="008C28EB">
        <w:rPr>
          <w:rFonts w:ascii="Times New Roman" w:eastAsia="Times New Roman" w:hAnsi="Times New Roman"/>
          <w:sz w:val="24"/>
          <w:szCs w:val="24"/>
          <w:vertAlign w:val="superscript"/>
          <w:lang w:val="en-US"/>
        </w:rPr>
        <w:t>th</w:t>
      </w:r>
      <w:r w:rsidR="00B93800"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October. In general, this declaration is welcome by investors.</w:t>
      </w:r>
    </w:p>
    <w:p w14:paraId="2E9920AC" w14:textId="6C8387B7" w:rsidR="00243B0A" w:rsidRDefault="00243B0A" w:rsidP="00C25996">
      <w:pPr>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Finally, on the 26</w:t>
      </w:r>
      <w:r w:rsidR="002F741C" w:rsidRPr="008C28EB">
        <w:rPr>
          <w:rFonts w:ascii="Times New Roman" w:eastAsia="Times New Roman" w:hAnsi="Times New Roman"/>
          <w:sz w:val="24"/>
          <w:szCs w:val="24"/>
          <w:vertAlign w:val="superscript"/>
          <w:lang w:val="en-US"/>
        </w:rPr>
        <w:t>th</w:t>
      </w:r>
      <w:r w:rsidR="00B93800"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October, CA definitive results</w:t>
      </w:r>
      <w:r w:rsidR="0042278C" w:rsidRPr="008C28EB">
        <w:rPr>
          <w:rFonts w:ascii="Times New Roman" w:eastAsia="Times New Roman" w:hAnsi="Times New Roman"/>
          <w:sz w:val="24"/>
          <w:szCs w:val="24"/>
          <w:lang w:val="en-US"/>
        </w:rPr>
        <w:t xml:space="preserve"> were disclosed</w:t>
      </w:r>
      <w:r w:rsidRPr="008C28EB">
        <w:rPr>
          <w:rFonts w:ascii="Times New Roman" w:eastAsia="Times New Roman" w:hAnsi="Times New Roman"/>
          <w:sz w:val="24"/>
          <w:szCs w:val="24"/>
          <w:lang w:val="en-US"/>
        </w:rPr>
        <w:t>. The market reaction is generally negative</w:t>
      </w:r>
      <w:r w:rsidR="004C2C20" w:rsidRPr="008C28EB">
        <w:rPr>
          <w:rFonts w:ascii="Times New Roman" w:eastAsia="Times New Roman" w:hAnsi="Times New Roman"/>
          <w:sz w:val="24"/>
          <w:szCs w:val="24"/>
          <w:lang w:val="en-US"/>
        </w:rPr>
        <w:t xml:space="preserve"> for banks involved in the procedure</w:t>
      </w:r>
      <w:r w:rsidRPr="008C28EB">
        <w:rPr>
          <w:rFonts w:ascii="Times New Roman" w:eastAsia="Times New Roman" w:hAnsi="Times New Roman"/>
          <w:sz w:val="24"/>
          <w:szCs w:val="24"/>
          <w:lang w:val="en-US"/>
        </w:rPr>
        <w:t xml:space="preserve">, especially for banks registering a capital shortfall. </w:t>
      </w:r>
      <w:r w:rsidR="004C2C20" w:rsidRPr="008C28EB">
        <w:rPr>
          <w:rFonts w:ascii="Times New Roman" w:eastAsia="Times New Roman" w:hAnsi="Times New Roman"/>
          <w:sz w:val="24"/>
          <w:szCs w:val="24"/>
          <w:lang w:val="en-US"/>
        </w:rPr>
        <w:t>For the latter, considering the (0;</w:t>
      </w:r>
      <w:r w:rsidR="00286B12" w:rsidRPr="008C28EB">
        <w:rPr>
          <w:rFonts w:ascii="Times New Roman" w:eastAsia="Times New Roman" w:hAnsi="Times New Roman"/>
          <w:sz w:val="24"/>
          <w:szCs w:val="24"/>
          <w:lang w:val="en-US"/>
        </w:rPr>
        <w:t>+</w:t>
      </w:r>
      <w:r w:rsidR="004C2C20" w:rsidRPr="008C28EB">
        <w:rPr>
          <w:rFonts w:ascii="Times New Roman" w:eastAsia="Times New Roman" w:hAnsi="Times New Roman"/>
          <w:sz w:val="24"/>
          <w:szCs w:val="24"/>
          <w:lang w:val="en-US"/>
        </w:rPr>
        <w:t>1) event window</w:t>
      </w:r>
      <w:r w:rsidR="00EF741A" w:rsidRPr="008C28EB">
        <w:rPr>
          <w:rFonts w:ascii="Times New Roman" w:eastAsia="Times New Roman" w:hAnsi="Times New Roman"/>
          <w:sz w:val="24"/>
          <w:szCs w:val="24"/>
          <w:lang w:val="en-US"/>
        </w:rPr>
        <w:t>,</w:t>
      </w:r>
      <w:r w:rsidR="004C2C20" w:rsidRPr="008C28EB">
        <w:rPr>
          <w:rFonts w:ascii="Times New Roman" w:eastAsia="Times New Roman" w:hAnsi="Times New Roman"/>
          <w:sz w:val="24"/>
          <w:szCs w:val="24"/>
          <w:lang w:val="en-US"/>
        </w:rPr>
        <w:t xml:space="preserve"> the CAAR is -5.27%, statistically significant at the 10% confidence level even after the correction suggested by Kolari and Pynnönen</w:t>
      </w:r>
      <w:r w:rsidR="00C70009" w:rsidRPr="008C28EB">
        <w:rPr>
          <w:rFonts w:ascii="Times New Roman" w:eastAsia="Times New Roman" w:hAnsi="Times New Roman"/>
          <w:sz w:val="24"/>
          <w:szCs w:val="24"/>
          <w:lang w:val="en-US"/>
        </w:rPr>
        <w:t xml:space="preserve"> (2010)</w:t>
      </w:r>
      <w:r w:rsidR="004C2C20" w:rsidRPr="008C28EB">
        <w:rPr>
          <w:rFonts w:ascii="Times New Roman" w:eastAsia="Times New Roman" w:hAnsi="Times New Roman"/>
          <w:sz w:val="24"/>
          <w:szCs w:val="24"/>
          <w:lang w:val="en-US"/>
        </w:rPr>
        <w:t xml:space="preserve">. This evidence suggests that investors gained new information at this date, relative to the effective magnitude of the capital shortfall. This point </w:t>
      </w:r>
      <w:r w:rsidR="00286B12" w:rsidRPr="008C28EB">
        <w:rPr>
          <w:rFonts w:ascii="Times New Roman" w:eastAsia="Times New Roman" w:hAnsi="Times New Roman"/>
          <w:sz w:val="24"/>
          <w:szCs w:val="24"/>
          <w:lang w:val="en-US"/>
        </w:rPr>
        <w:t>will</w:t>
      </w:r>
      <w:r w:rsidR="004C2C20" w:rsidRPr="008C28EB">
        <w:rPr>
          <w:rFonts w:ascii="Times New Roman" w:eastAsia="Times New Roman" w:hAnsi="Times New Roman"/>
          <w:sz w:val="24"/>
          <w:szCs w:val="24"/>
          <w:lang w:val="en-US"/>
        </w:rPr>
        <w:t xml:space="preserve"> be studied in more details in section 4. It is also worth noticing that</w:t>
      </w:r>
      <w:r w:rsidRPr="008C28EB">
        <w:rPr>
          <w:rFonts w:ascii="Times New Roman" w:eastAsia="Times New Roman" w:hAnsi="Times New Roman"/>
          <w:sz w:val="24"/>
          <w:szCs w:val="24"/>
          <w:lang w:val="en-US"/>
        </w:rPr>
        <w:t xml:space="preserve"> CAARs are negative </w:t>
      </w:r>
      <w:r w:rsidR="00272292" w:rsidRPr="008C28EB">
        <w:rPr>
          <w:rFonts w:ascii="Times New Roman" w:eastAsia="Times New Roman" w:hAnsi="Times New Roman"/>
          <w:sz w:val="24"/>
          <w:szCs w:val="24"/>
          <w:lang w:val="en-US"/>
        </w:rPr>
        <w:t xml:space="preserve">and </w:t>
      </w:r>
      <w:r w:rsidR="00EF741A" w:rsidRPr="008C28EB">
        <w:rPr>
          <w:rFonts w:ascii="Times New Roman" w:eastAsia="Times New Roman" w:hAnsi="Times New Roman"/>
          <w:sz w:val="24"/>
          <w:szCs w:val="24"/>
          <w:lang w:val="en-US"/>
        </w:rPr>
        <w:t xml:space="preserve">show </w:t>
      </w:r>
      <w:r w:rsidR="00272292" w:rsidRPr="008C28EB">
        <w:rPr>
          <w:rFonts w:ascii="Times New Roman" w:eastAsia="Times New Roman" w:hAnsi="Times New Roman"/>
          <w:sz w:val="24"/>
          <w:szCs w:val="24"/>
          <w:lang w:val="en-US"/>
        </w:rPr>
        <w:t xml:space="preserve">a material dimension </w:t>
      </w:r>
      <w:r w:rsidRPr="008C28EB">
        <w:rPr>
          <w:rFonts w:ascii="Times New Roman" w:eastAsia="Times New Roman" w:hAnsi="Times New Roman"/>
          <w:sz w:val="24"/>
          <w:szCs w:val="24"/>
          <w:lang w:val="en-US"/>
        </w:rPr>
        <w:t xml:space="preserve">also for banks without a capital shortfall in all the considered event windows. These findings, </w:t>
      </w:r>
      <w:r w:rsidR="00EF741A" w:rsidRPr="008C28EB">
        <w:rPr>
          <w:rFonts w:ascii="Times New Roman" w:eastAsia="Times New Roman" w:hAnsi="Times New Roman"/>
          <w:sz w:val="24"/>
          <w:szCs w:val="24"/>
          <w:lang w:val="en-US"/>
        </w:rPr>
        <w:t xml:space="preserve">considered </w:t>
      </w:r>
      <w:r w:rsidRPr="008C28EB">
        <w:rPr>
          <w:rFonts w:ascii="Times New Roman" w:eastAsia="Times New Roman" w:hAnsi="Times New Roman"/>
          <w:sz w:val="24"/>
          <w:szCs w:val="24"/>
          <w:lang w:val="en-US"/>
        </w:rPr>
        <w:t xml:space="preserve">together with those related to the first announcement date, seem to suggest that banks involved in the CA were worried by </w:t>
      </w:r>
      <w:r w:rsidRPr="008C28EB">
        <w:rPr>
          <w:rFonts w:ascii="Times New Roman" w:eastAsia="Times New Roman" w:hAnsi="Times New Roman"/>
          <w:sz w:val="24"/>
          <w:szCs w:val="24"/>
          <w:lang w:val="en-US"/>
        </w:rPr>
        <w:lastRenderedPageBreak/>
        <w:t xml:space="preserve">something </w:t>
      </w:r>
      <w:r w:rsidR="004C2C20" w:rsidRPr="008C28EB">
        <w:rPr>
          <w:rFonts w:ascii="Times New Roman" w:eastAsia="Times New Roman" w:hAnsi="Times New Roman"/>
          <w:sz w:val="24"/>
          <w:szCs w:val="24"/>
          <w:lang w:val="en-US"/>
        </w:rPr>
        <w:t xml:space="preserve">other than </w:t>
      </w:r>
      <w:r w:rsidRPr="008C28EB">
        <w:rPr>
          <w:rFonts w:ascii="Times New Roman" w:eastAsia="Times New Roman" w:hAnsi="Times New Roman"/>
          <w:sz w:val="24"/>
          <w:szCs w:val="24"/>
          <w:lang w:val="en-US"/>
        </w:rPr>
        <w:t xml:space="preserve">the potential dilution effect due to a capital shortfall. </w:t>
      </w:r>
      <w:r w:rsidR="004C2C20" w:rsidRPr="008C28EB">
        <w:rPr>
          <w:rFonts w:ascii="Times New Roman" w:eastAsia="Times New Roman" w:hAnsi="Times New Roman"/>
          <w:sz w:val="24"/>
          <w:szCs w:val="24"/>
          <w:lang w:val="en-US"/>
        </w:rPr>
        <w:t xml:space="preserve">This point </w:t>
      </w:r>
      <w:r w:rsidR="00286B12" w:rsidRPr="008C28EB">
        <w:rPr>
          <w:rFonts w:ascii="Times New Roman" w:eastAsia="Times New Roman" w:hAnsi="Times New Roman"/>
          <w:sz w:val="24"/>
          <w:szCs w:val="24"/>
          <w:lang w:val="en-US"/>
        </w:rPr>
        <w:t>will</w:t>
      </w:r>
      <w:r w:rsidR="004C2C20" w:rsidRPr="008C28EB">
        <w:rPr>
          <w:rFonts w:ascii="Times New Roman" w:eastAsia="Times New Roman" w:hAnsi="Times New Roman"/>
          <w:sz w:val="24"/>
          <w:szCs w:val="24"/>
          <w:lang w:val="en-US"/>
        </w:rPr>
        <w:t xml:space="preserve"> be studied in more details in section 5.</w:t>
      </w:r>
    </w:p>
    <w:p w14:paraId="0CFA76A3" w14:textId="77777777" w:rsidR="00617096" w:rsidRPr="008C28EB" w:rsidRDefault="00617096" w:rsidP="00C25996">
      <w:pPr>
        <w:spacing w:after="120" w:line="480" w:lineRule="auto"/>
        <w:ind w:firstLine="709"/>
        <w:jc w:val="both"/>
        <w:rPr>
          <w:rFonts w:ascii="Times New Roman" w:eastAsia="Times New Roman" w:hAnsi="Times New Roman"/>
          <w:sz w:val="24"/>
          <w:szCs w:val="24"/>
          <w:lang w:val="en-US"/>
        </w:rPr>
      </w:pPr>
    </w:p>
    <w:p w14:paraId="438738FB" w14:textId="77777777" w:rsidR="00971257" w:rsidRPr="008C28EB" w:rsidRDefault="003A5414" w:rsidP="00C25996">
      <w:pPr>
        <w:tabs>
          <w:tab w:val="left" w:pos="5904"/>
        </w:tabs>
        <w:spacing w:after="120" w:line="480" w:lineRule="auto"/>
        <w:jc w:val="both"/>
        <w:rPr>
          <w:rFonts w:ascii="Times New Roman" w:eastAsia="Times New Roman" w:hAnsi="Times New Roman"/>
          <w:b/>
          <w:sz w:val="24"/>
          <w:szCs w:val="24"/>
          <w:lang w:val="en-US"/>
        </w:rPr>
      </w:pPr>
      <w:r w:rsidRPr="008C28EB">
        <w:rPr>
          <w:rFonts w:ascii="Times New Roman" w:eastAsia="Times New Roman" w:hAnsi="Times New Roman"/>
          <w:b/>
          <w:sz w:val="24"/>
          <w:szCs w:val="24"/>
          <w:lang w:val="en-US"/>
        </w:rPr>
        <w:t xml:space="preserve">4. </w:t>
      </w:r>
      <w:r w:rsidR="00971257" w:rsidRPr="008C28EB">
        <w:rPr>
          <w:rFonts w:ascii="Times New Roman" w:eastAsia="Times New Roman" w:hAnsi="Times New Roman"/>
          <w:b/>
          <w:sz w:val="24"/>
          <w:szCs w:val="24"/>
          <w:lang w:val="en-US"/>
        </w:rPr>
        <w:t xml:space="preserve">Did the CA provide </w:t>
      </w:r>
      <w:r w:rsidR="00EF741A" w:rsidRPr="008C28EB">
        <w:rPr>
          <w:rFonts w:ascii="Times New Roman" w:eastAsia="Times New Roman" w:hAnsi="Times New Roman"/>
          <w:b/>
          <w:sz w:val="24"/>
          <w:szCs w:val="24"/>
          <w:lang w:val="en-US"/>
        </w:rPr>
        <w:t xml:space="preserve">the market with </w:t>
      </w:r>
      <w:r w:rsidR="00971257" w:rsidRPr="008C28EB">
        <w:rPr>
          <w:rFonts w:ascii="Times New Roman" w:eastAsia="Times New Roman" w:hAnsi="Times New Roman"/>
          <w:b/>
          <w:sz w:val="24"/>
          <w:szCs w:val="24"/>
          <w:lang w:val="en-US"/>
        </w:rPr>
        <w:t xml:space="preserve">new information </w:t>
      </w:r>
      <w:r w:rsidR="004C2C20" w:rsidRPr="008C28EB">
        <w:rPr>
          <w:rFonts w:ascii="Times New Roman" w:eastAsia="Times New Roman" w:hAnsi="Times New Roman"/>
          <w:b/>
          <w:sz w:val="24"/>
          <w:szCs w:val="24"/>
          <w:lang w:val="en-US"/>
        </w:rPr>
        <w:t xml:space="preserve">reaching the objective </w:t>
      </w:r>
      <w:r w:rsidR="00914D1B" w:rsidRPr="008C28EB">
        <w:rPr>
          <w:rFonts w:ascii="Times New Roman" w:eastAsia="Times New Roman" w:hAnsi="Times New Roman"/>
          <w:b/>
          <w:sz w:val="24"/>
          <w:szCs w:val="24"/>
          <w:lang w:val="en-US"/>
        </w:rPr>
        <w:t>of</w:t>
      </w:r>
      <w:r w:rsidR="004C2C20" w:rsidRPr="008C28EB">
        <w:rPr>
          <w:rFonts w:ascii="Times New Roman" w:eastAsia="Times New Roman" w:hAnsi="Times New Roman"/>
          <w:b/>
          <w:sz w:val="24"/>
          <w:szCs w:val="24"/>
          <w:lang w:val="en-US"/>
        </w:rPr>
        <w:t xml:space="preserve"> increase</w:t>
      </w:r>
      <w:r w:rsidR="00EF741A" w:rsidRPr="008C28EB">
        <w:rPr>
          <w:rFonts w:ascii="Times New Roman" w:eastAsia="Times New Roman" w:hAnsi="Times New Roman"/>
          <w:b/>
          <w:sz w:val="24"/>
          <w:szCs w:val="24"/>
          <w:lang w:val="en-US"/>
        </w:rPr>
        <w:t>d</w:t>
      </w:r>
      <w:r w:rsidR="004C2C20" w:rsidRPr="008C28EB">
        <w:rPr>
          <w:rFonts w:ascii="Times New Roman" w:eastAsia="Times New Roman" w:hAnsi="Times New Roman"/>
          <w:b/>
          <w:sz w:val="24"/>
          <w:szCs w:val="24"/>
          <w:lang w:val="en-US"/>
        </w:rPr>
        <w:t xml:space="preserve"> transparency</w:t>
      </w:r>
      <w:r w:rsidR="00971257" w:rsidRPr="008C28EB">
        <w:rPr>
          <w:rFonts w:ascii="Times New Roman" w:eastAsia="Times New Roman" w:hAnsi="Times New Roman"/>
          <w:b/>
          <w:sz w:val="24"/>
          <w:szCs w:val="24"/>
          <w:lang w:val="en-US"/>
        </w:rPr>
        <w:t>?</w:t>
      </w:r>
      <w:r w:rsidR="00971257" w:rsidRPr="008C28EB">
        <w:rPr>
          <w:rFonts w:ascii="Times New Roman" w:eastAsia="Times New Roman" w:hAnsi="Times New Roman"/>
          <w:b/>
          <w:sz w:val="24"/>
          <w:szCs w:val="24"/>
          <w:lang w:val="en-US"/>
        </w:rPr>
        <w:tab/>
      </w:r>
    </w:p>
    <w:p w14:paraId="35A1CE80" w14:textId="77777777" w:rsidR="00971257" w:rsidRPr="008C28EB" w:rsidRDefault="00971257" w:rsidP="00C25996">
      <w:pPr>
        <w:tabs>
          <w:tab w:val="left" w:pos="5904"/>
        </w:tabs>
        <w:spacing w:after="120" w:line="480" w:lineRule="auto"/>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 xml:space="preserve">The </w:t>
      </w:r>
      <w:r w:rsidR="006E36BF" w:rsidRPr="008C28EB">
        <w:rPr>
          <w:rFonts w:ascii="Times New Roman" w:eastAsia="Times New Roman" w:hAnsi="Times New Roman"/>
          <w:sz w:val="24"/>
          <w:szCs w:val="24"/>
          <w:lang w:val="en-US"/>
        </w:rPr>
        <w:t xml:space="preserve">event study </w:t>
      </w:r>
      <w:r w:rsidRPr="008C28EB">
        <w:rPr>
          <w:rFonts w:ascii="Times New Roman" w:eastAsia="Times New Roman" w:hAnsi="Times New Roman"/>
          <w:sz w:val="24"/>
          <w:szCs w:val="24"/>
          <w:lang w:val="en-US"/>
        </w:rPr>
        <w:t>analysis suggested that investors had a negative reaction both at the date when the CA was announced (23</w:t>
      </w:r>
      <w:r w:rsidR="00C72A98" w:rsidRPr="008C28EB">
        <w:rPr>
          <w:rFonts w:ascii="Times New Roman" w:eastAsia="Times New Roman" w:hAnsi="Times New Roman"/>
          <w:sz w:val="24"/>
          <w:szCs w:val="24"/>
          <w:vertAlign w:val="superscript"/>
          <w:lang w:val="en-US"/>
        </w:rPr>
        <w:t>rd</w:t>
      </w:r>
      <w:r w:rsidRPr="008C28EB">
        <w:rPr>
          <w:rFonts w:ascii="Times New Roman" w:eastAsia="Times New Roman" w:hAnsi="Times New Roman"/>
          <w:sz w:val="24"/>
          <w:szCs w:val="24"/>
          <w:lang w:val="en-US"/>
        </w:rPr>
        <w:t xml:space="preserve"> October 2013) and at the date when results were disclosed</w:t>
      </w:r>
      <w:r w:rsidR="00FE4ADD" w:rsidRPr="008C28EB">
        <w:rPr>
          <w:rFonts w:ascii="Times New Roman" w:eastAsia="Times New Roman" w:hAnsi="Times New Roman"/>
          <w:sz w:val="24"/>
          <w:szCs w:val="24"/>
          <w:lang w:val="en-US"/>
        </w:rPr>
        <w:t xml:space="preserve"> (26</w:t>
      </w:r>
      <w:r w:rsidR="00C72A98" w:rsidRPr="008C28EB">
        <w:rPr>
          <w:rFonts w:ascii="Times New Roman" w:eastAsia="Times New Roman" w:hAnsi="Times New Roman"/>
          <w:sz w:val="24"/>
          <w:szCs w:val="24"/>
          <w:vertAlign w:val="superscript"/>
          <w:lang w:val="en-US"/>
        </w:rPr>
        <w:t>th</w:t>
      </w:r>
      <w:r w:rsidR="00C72A98" w:rsidRPr="008C28EB">
        <w:rPr>
          <w:rFonts w:ascii="Times New Roman" w:eastAsia="Times New Roman" w:hAnsi="Times New Roman"/>
          <w:sz w:val="24"/>
          <w:szCs w:val="24"/>
          <w:lang w:val="en-US"/>
        </w:rPr>
        <w:t xml:space="preserve"> </w:t>
      </w:r>
      <w:r w:rsidR="00FE4ADD" w:rsidRPr="008C28EB">
        <w:rPr>
          <w:rFonts w:ascii="Times New Roman" w:eastAsia="Times New Roman" w:hAnsi="Times New Roman"/>
          <w:sz w:val="24"/>
          <w:szCs w:val="24"/>
          <w:lang w:val="en-US"/>
        </w:rPr>
        <w:t>October 2014)</w:t>
      </w:r>
      <w:r w:rsidRPr="008C28EB">
        <w:rPr>
          <w:rFonts w:ascii="Times New Roman" w:eastAsia="Times New Roman" w:hAnsi="Times New Roman"/>
          <w:sz w:val="24"/>
          <w:szCs w:val="24"/>
          <w:lang w:val="en-US"/>
        </w:rPr>
        <w:t xml:space="preserve">. Looking at the difference between the subgroups of banks </w:t>
      </w:r>
      <w:r w:rsidR="00C72A98" w:rsidRPr="008C28EB">
        <w:rPr>
          <w:rFonts w:ascii="Times New Roman" w:eastAsia="Times New Roman" w:hAnsi="Times New Roman"/>
          <w:sz w:val="24"/>
          <w:szCs w:val="24"/>
          <w:lang w:val="en-US"/>
        </w:rPr>
        <w:t xml:space="preserve">that registered </w:t>
      </w:r>
      <w:r w:rsidRPr="008C28EB">
        <w:rPr>
          <w:rFonts w:ascii="Times New Roman" w:eastAsia="Times New Roman" w:hAnsi="Times New Roman"/>
          <w:sz w:val="24"/>
          <w:szCs w:val="24"/>
          <w:lang w:val="en-US"/>
        </w:rPr>
        <w:t xml:space="preserve">a capital shortfall </w:t>
      </w:r>
      <w:r w:rsidR="00C72A98" w:rsidRPr="008C28EB">
        <w:rPr>
          <w:rFonts w:ascii="Times New Roman" w:eastAsia="Times New Roman" w:hAnsi="Times New Roman"/>
          <w:sz w:val="24"/>
          <w:szCs w:val="24"/>
          <w:lang w:val="en-US"/>
        </w:rPr>
        <w:t>and those who did</w:t>
      </w:r>
      <w:r w:rsidRPr="008C28EB">
        <w:rPr>
          <w:rFonts w:ascii="Times New Roman" w:eastAsia="Times New Roman" w:hAnsi="Times New Roman"/>
          <w:sz w:val="24"/>
          <w:szCs w:val="24"/>
          <w:lang w:val="en-US"/>
        </w:rPr>
        <w:t xml:space="preserve"> not, it is likely that investors were already able to detect weak banks in October 2013, but were not fully aware of the magnitude of the capital shortfall, revealed only in October 2014.</w:t>
      </w:r>
    </w:p>
    <w:p w14:paraId="1B7BCBC2" w14:textId="3777DA13" w:rsidR="00971257" w:rsidRPr="008C28EB" w:rsidRDefault="00971257" w:rsidP="002767C3">
      <w:pPr>
        <w:tabs>
          <w:tab w:val="left" w:pos="5904"/>
        </w:tabs>
        <w:spacing w:after="120" w:line="480" w:lineRule="auto"/>
        <w:ind w:firstLine="709"/>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 xml:space="preserve">In order to support this view, </w:t>
      </w:r>
      <w:r w:rsidR="006E36BF" w:rsidRPr="008C28EB">
        <w:rPr>
          <w:rFonts w:ascii="Times New Roman" w:eastAsia="Times New Roman" w:hAnsi="Times New Roman"/>
          <w:sz w:val="24"/>
          <w:szCs w:val="24"/>
          <w:lang w:val="en-US"/>
        </w:rPr>
        <w:t xml:space="preserve">we focus only on banks subject to the CA and </w:t>
      </w:r>
      <w:r w:rsidRPr="008C28EB">
        <w:rPr>
          <w:rFonts w:ascii="Times New Roman" w:eastAsia="Times New Roman" w:hAnsi="Times New Roman"/>
          <w:sz w:val="24"/>
          <w:szCs w:val="24"/>
          <w:lang w:val="en-US"/>
        </w:rPr>
        <w:t xml:space="preserve">we adopt </w:t>
      </w:r>
      <w:r w:rsidR="00FE4ADD" w:rsidRPr="008C28EB">
        <w:rPr>
          <w:rFonts w:ascii="Times New Roman" w:eastAsia="Times New Roman" w:hAnsi="Times New Roman"/>
          <w:sz w:val="24"/>
          <w:szCs w:val="24"/>
          <w:lang w:val="en-US"/>
        </w:rPr>
        <w:t xml:space="preserve">a </w:t>
      </w:r>
      <w:r w:rsidRPr="008C28EB">
        <w:rPr>
          <w:rFonts w:ascii="Times New Roman" w:eastAsia="Times New Roman" w:hAnsi="Times New Roman"/>
          <w:sz w:val="24"/>
          <w:szCs w:val="24"/>
          <w:lang w:val="en-US"/>
        </w:rPr>
        <w:t xml:space="preserve">methodology </w:t>
      </w:r>
      <w:r w:rsidR="00FE4ADD" w:rsidRPr="008C28EB">
        <w:rPr>
          <w:rFonts w:ascii="Times New Roman" w:eastAsia="Times New Roman" w:hAnsi="Times New Roman"/>
          <w:sz w:val="24"/>
          <w:szCs w:val="24"/>
          <w:lang w:val="en-US"/>
        </w:rPr>
        <w:t>similar to</w:t>
      </w:r>
      <w:r w:rsidRPr="008C28EB">
        <w:rPr>
          <w:rFonts w:ascii="Times New Roman" w:eastAsia="Times New Roman" w:hAnsi="Times New Roman"/>
          <w:sz w:val="24"/>
          <w:szCs w:val="24"/>
          <w:lang w:val="en-US"/>
        </w:rPr>
        <w:t xml:space="preserve"> Morgan et al. (2014). </w:t>
      </w:r>
      <w:r w:rsidR="00766B19" w:rsidRPr="008C28EB">
        <w:rPr>
          <w:rFonts w:ascii="Times New Roman" w:eastAsia="Times New Roman" w:hAnsi="Times New Roman"/>
          <w:sz w:val="24"/>
          <w:szCs w:val="24"/>
          <w:lang w:val="en-US"/>
        </w:rPr>
        <w:t xml:space="preserve">Their main idea is that investors, at the disclosure of results, do not react to the simple capital shortfall communicated for each bank, but </w:t>
      </w:r>
      <w:r w:rsidR="00A12961" w:rsidRPr="008C28EB">
        <w:rPr>
          <w:rFonts w:ascii="Times New Roman" w:eastAsia="Times New Roman" w:hAnsi="Times New Roman"/>
          <w:sz w:val="24"/>
          <w:szCs w:val="24"/>
          <w:lang w:val="en-US"/>
        </w:rPr>
        <w:t xml:space="preserve">rather </w:t>
      </w:r>
      <w:r w:rsidR="00EF741A" w:rsidRPr="008C28EB">
        <w:rPr>
          <w:rFonts w:ascii="Times New Roman" w:eastAsia="Times New Roman" w:hAnsi="Times New Roman"/>
          <w:sz w:val="24"/>
          <w:szCs w:val="24"/>
          <w:lang w:val="en-US"/>
        </w:rPr>
        <w:t xml:space="preserve">to </w:t>
      </w:r>
      <w:r w:rsidR="00766B19" w:rsidRPr="008C28EB">
        <w:rPr>
          <w:rFonts w:ascii="Times New Roman" w:eastAsia="Times New Roman" w:hAnsi="Times New Roman"/>
          <w:sz w:val="24"/>
          <w:szCs w:val="24"/>
          <w:lang w:val="en-US"/>
        </w:rPr>
        <w:t xml:space="preserve">the difference between this capital shortfall and their expectation about it. </w:t>
      </w:r>
      <w:r w:rsidR="00FE4ADD" w:rsidRPr="008C28EB">
        <w:rPr>
          <w:rFonts w:ascii="Times New Roman" w:eastAsia="Times New Roman" w:hAnsi="Times New Roman"/>
          <w:sz w:val="24"/>
          <w:szCs w:val="24"/>
          <w:lang w:val="en-US"/>
        </w:rPr>
        <w:t>The larger this difference</w:t>
      </w:r>
      <w:r w:rsidR="00EF741A" w:rsidRPr="008C28EB">
        <w:rPr>
          <w:rFonts w:ascii="Times New Roman" w:eastAsia="Times New Roman" w:hAnsi="Times New Roman"/>
          <w:sz w:val="24"/>
          <w:szCs w:val="24"/>
          <w:lang w:val="en-US"/>
        </w:rPr>
        <w:t xml:space="preserve"> is</w:t>
      </w:r>
      <w:r w:rsidR="006E36BF" w:rsidRPr="008C28EB">
        <w:rPr>
          <w:rFonts w:ascii="Times New Roman" w:eastAsia="Times New Roman" w:hAnsi="Times New Roman"/>
          <w:sz w:val="24"/>
          <w:szCs w:val="24"/>
          <w:lang w:val="en-US"/>
        </w:rPr>
        <w:t>,</w:t>
      </w:r>
      <w:r w:rsidR="00FE4ADD" w:rsidRPr="008C28EB">
        <w:rPr>
          <w:rFonts w:ascii="Times New Roman" w:eastAsia="Times New Roman" w:hAnsi="Times New Roman"/>
          <w:sz w:val="24"/>
          <w:szCs w:val="24"/>
          <w:lang w:val="en-US"/>
        </w:rPr>
        <w:t xml:space="preserve"> the more negative is the market reaction. </w:t>
      </w:r>
      <w:r w:rsidR="00766B19" w:rsidRPr="008C28EB">
        <w:rPr>
          <w:rFonts w:ascii="Times New Roman" w:eastAsia="Times New Roman" w:hAnsi="Times New Roman"/>
          <w:sz w:val="24"/>
          <w:szCs w:val="24"/>
          <w:lang w:val="en-US"/>
        </w:rPr>
        <w:t>Th</w:t>
      </w:r>
      <w:r w:rsidR="00FE4ADD" w:rsidRPr="008C28EB">
        <w:rPr>
          <w:rFonts w:ascii="Times New Roman" w:eastAsia="Times New Roman" w:hAnsi="Times New Roman"/>
          <w:sz w:val="24"/>
          <w:szCs w:val="24"/>
          <w:lang w:val="en-US"/>
        </w:rPr>
        <w:t>e main problem is how to measure investors</w:t>
      </w:r>
      <w:r w:rsidR="006E36BF" w:rsidRPr="008C28EB">
        <w:rPr>
          <w:rFonts w:ascii="Times New Roman" w:eastAsia="Times New Roman" w:hAnsi="Times New Roman"/>
          <w:sz w:val="24"/>
          <w:szCs w:val="24"/>
          <w:lang w:val="en-US"/>
        </w:rPr>
        <w:t>’</w:t>
      </w:r>
      <w:r w:rsidR="00FE4ADD" w:rsidRPr="008C28EB">
        <w:rPr>
          <w:rFonts w:ascii="Times New Roman" w:eastAsia="Times New Roman" w:hAnsi="Times New Roman"/>
          <w:sz w:val="24"/>
          <w:szCs w:val="24"/>
          <w:lang w:val="en-US"/>
        </w:rPr>
        <w:t xml:space="preserve"> expectations. As outlined by Morgan et al. (2014)</w:t>
      </w:r>
      <w:r w:rsidR="006E36BF" w:rsidRPr="008C28EB">
        <w:rPr>
          <w:rFonts w:ascii="Times New Roman" w:eastAsia="Times New Roman" w:hAnsi="Times New Roman"/>
          <w:sz w:val="24"/>
          <w:szCs w:val="24"/>
          <w:lang w:val="en-US"/>
        </w:rPr>
        <w:t>,</w:t>
      </w:r>
      <w:r w:rsidR="00FE4ADD" w:rsidRPr="008C28EB">
        <w:rPr>
          <w:rFonts w:ascii="Times New Roman" w:eastAsia="Times New Roman" w:hAnsi="Times New Roman"/>
          <w:sz w:val="24"/>
          <w:szCs w:val="24"/>
          <w:lang w:val="en-US"/>
        </w:rPr>
        <w:t xml:space="preserve"> analysts’ forecasts are quite sporadic and rarely available for all banks. In addition to this, as seen in the previous section</w:t>
      </w:r>
      <w:r w:rsidR="006E36BF" w:rsidRPr="008C28EB">
        <w:rPr>
          <w:rFonts w:ascii="Times New Roman" w:eastAsia="Times New Roman" w:hAnsi="Times New Roman"/>
          <w:sz w:val="24"/>
          <w:szCs w:val="24"/>
          <w:lang w:val="en-US"/>
        </w:rPr>
        <w:t>,</w:t>
      </w:r>
      <w:r w:rsidR="00FE4ADD" w:rsidRPr="008C28EB">
        <w:rPr>
          <w:rFonts w:ascii="Times New Roman" w:eastAsia="Times New Roman" w:hAnsi="Times New Roman"/>
          <w:sz w:val="24"/>
          <w:szCs w:val="24"/>
          <w:lang w:val="en-US"/>
        </w:rPr>
        <w:t xml:space="preserve"> the ECB has discouraged the market to trust “unofficial” results. </w:t>
      </w:r>
      <w:r w:rsidR="00225DDE" w:rsidRPr="008C28EB">
        <w:rPr>
          <w:rFonts w:ascii="Times New Roman" w:eastAsia="Times New Roman" w:hAnsi="Times New Roman"/>
          <w:sz w:val="24"/>
          <w:szCs w:val="24"/>
          <w:lang w:val="en-US"/>
        </w:rPr>
        <w:t>As such, Morgan et al. (2014)</w:t>
      </w:r>
      <w:r w:rsidR="00FE4ADD" w:rsidRPr="008C28EB">
        <w:rPr>
          <w:rFonts w:ascii="Times New Roman" w:eastAsia="Times New Roman" w:hAnsi="Times New Roman"/>
          <w:sz w:val="24"/>
          <w:szCs w:val="24"/>
          <w:lang w:val="en-US"/>
        </w:rPr>
        <w:t xml:space="preserve"> propose to proxy investors’ </w:t>
      </w:r>
      <w:r w:rsidR="00766B19" w:rsidRPr="008C28EB">
        <w:rPr>
          <w:rFonts w:ascii="Times New Roman" w:eastAsia="Times New Roman" w:hAnsi="Times New Roman"/>
          <w:sz w:val="24"/>
          <w:szCs w:val="24"/>
          <w:lang w:val="en-US"/>
        </w:rPr>
        <w:t>expectation</w:t>
      </w:r>
      <w:r w:rsidR="006E36BF" w:rsidRPr="008C28EB">
        <w:rPr>
          <w:rFonts w:ascii="Times New Roman" w:eastAsia="Times New Roman" w:hAnsi="Times New Roman"/>
          <w:sz w:val="24"/>
          <w:szCs w:val="24"/>
          <w:lang w:val="en-US"/>
        </w:rPr>
        <w:t>s</w:t>
      </w:r>
      <w:r w:rsidR="00C72A98" w:rsidRPr="008C28EB">
        <w:rPr>
          <w:rFonts w:ascii="Times New Roman" w:eastAsia="Times New Roman" w:hAnsi="Times New Roman"/>
          <w:sz w:val="24"/>
          <w:szCs w:val="24"/>
          <w:lang w:val="en-US"/>
        </w:rPr>
        <w:t xml:space="preserve"> </w:t>
      </w:r>
      <w:r w:rsidR="00FE4ADD" w:rsidRPr="008C28EB">
        <w:rPr>
          <w:rFonts w:ascii="Times New Roman" w:eastAsia="Times New Roman" w:hAnsi="Times New Roman"/>
          <w:sz w:val="24"/>
          <w:szCs w:val="24"/>
          <w:lang w:val="en-US"/>
        </w:rPr>
        <w:t>using</w:t>
      </w:r>
      <w:r w:rsidR="00766B19" w:rsidRPr="008C28EB">
        <w:rPr>
          <w:rFonts w:ascii="Times New Roman" w:eastAsia="Times New Roman" w:hAnsi="Times New Roman"/>
          <w:sz w:val="24"/>
          <w:szCs w:val="24"/>
          <w:lang w:val="en-US"/>
        </w:rPr>
        <w:t xml:space="preserve"> the market reaction registered </w:t>
      </w:r>
      <w:r w:rsidR="00FE4ADD" w:rsidRPr="008C28EB">
        <w:rPr>
          <w:rFonts w:ascii="Times New Roman" w:eastAsia="Times New Roman" w:hAnsi="Times New Roman"/>
          <w:sz w:val="24"/>
          <w:szCs w:val="24"/>
          <w:lang w:val="en-US"/>
        </w:rPr>
        <w:t>in an announcement date preceding the disclosure of results</w:t>
      </w:r>
      <w:r w:rsidR="00C72A98" w:rsidRPr="008C28EB">
        <w:rPr>
          <w:rFonts w:ascii="Times New Roman" w:eastAsia="Times New Roman" w:hAnsi="Times New Roman"/>
          <w:sz w:val="24"/>
          <w:szCs w:val="24"/>
          <w:lang w:val="en-US"/>
        </w:rPr>
        <w:t>,</w:t>
      </w:r>
      <w:r w:rsidR="00225DDE" w:rsidRPr="008C28EB">
        <w:rPr>
          <w:rFonts w:ascii="Times New Roman" w:eastAsia="Times New Roman" w:hAnsi="Times New Roman"/>
          <w:sz w:val="24"/>
          <w:szCs w:val="24"/>
          <w:lang w:val="en-US"/>
        </w:rPr>
        <w:t xml:space="preserve"> so </w:t>
      </w:r>
      <w:r w:rsidR="00FE4ADD" w:rsidRPr="008C28EB">
        <w:rPr>
          <w:rFonts w:ascii="Times New Roman" w:eastAsia="Times New Roman" w:hAnsi="Times New Roman"/>
          <w:sz w:val="24"/>
          <w:szCs w:val="24"/>
          <w:lang w:val="en-US"/>
        </w:rPr>
        <w:lastRenderedPageBreak/>
        <w:t>they chose the so called “clarification date”</w:t>
      </w:r>
      <w:r w:rsidR="00225DDE" w:rsidRPr="008C28EB">
        <w:rPr>
          <w:rFonts w:ascii="Times New Roman" w:eastAsia="Times New Roman" w:hAnsi="Times New Roman"/>
          <w:sz w:val="24"/>
          <w:szCs w:val="24"/>
          <w:lang w:val="en-US"/>
        </w:rPr>
        <w:t>,</w:t>
      </w:r>
      <w:r w:rsidR="00FE4ADD" w:rsidRPr="008C28EB">
        <w:rPr>
          <w:rFonts w:ascii="Times New Roman" w:eastAsia="Times New Roman" w:hAnsi="Times New Roman"/>
          <w:sz w:val="24"/>
          <w:szCs w:val="24"/>
          <w:lang w:val="en-US"/>
        </w:rPr>
        <w:t xml:space="preserve"> in which the market was reassured that gap banks would </w:t>
      </w:r>
      <w:r w:rsidR="00EF741A" w:rsidRPr="008C28EB">
        <w:rPr>
          <w:rFonts w:ascii="Times New Roman" w:eastAsia="Times New Roman" w:hAnsi="Times New Roman"/>
          <w:sz w:val="24"/>
          <w:szCs w:val="24"/>
          <w:lang w:val="en-US"/>
        </w:rPr>
        <w:t>not be</w:t>
      </w:r>
      <w:r w:rsidR="00FE4ADD" w:rsidRPr="008C28EB">
        <w:rPr>
          <w:rFonts w:ascii="Times New Roman" w:eastAsia="Times New Roman" w:hAnsi="Times New Roman"/>
          <w:sz w:val="24"/>
          <w:szCs w:val="24"/>
          <w:lang w:val="en-US"/>
        </w:rPr>
        <w:t xml:space="preserve"> nationalized. </w:t>
      </w:r>
      <w:r w:rsidR="002767C3" w:rsidRPr="008C28EB">
        <w:rPr>
          <w:rFonts w:ascii="Times New Roman" w:eastAsia="Times New Roman" w:hAnsi="Times New Roman"/>
          <w:sz w:val="24"/>
          <w:szCs w:val="24"/>
          <w:lang w:val="en-US"/>
        </w:rPr>
        <w:t>In our paper</w:t>
      </w:r>
      <w:r w:rsidR="00C72A98" w:rsidRPr="008C28EB">
        <w:rPr>
          <w:rFonts w:ascii="Times New Roman" w:eastAsia="Times New Roman" w:hAnsi="Times New Roman"/>
          <w:sz w:val="24"/>
          <w:szCs w:val="24"/>
          <w:lang w:val="en-US"/>
        </w:rPr>
        <w:t xml:space="preserve"> </w:t>
      </w:r>
      <w:r w:rsidR="00BB40D6" w:rsidRPr="008C28EB">
        <w:rPr>
          <w:rFonts w:ascii="Times New Roman" w:eastAsia="Times New Roman" w:hAnsi="Times New Roman"/>
          <w:sz w:val="24"/>
          <w:szCs w:val="24"/>
          <w:lang w:val="en-US"/>
        </w:rPr>
        <w:t>w</w:t>
      </w:r>
      <w:r w:rsidR="00FE4ADD" w:rsidRPr="008C28EB">
        <w:rPr>
          <w:rFonts w:ascii="Times New Roman" w:eastAsia="Times New Roman" w:hAnsi="Times New Roman"/>
          <w:sz w:val="24"/>
          <w:szCs w:val="24"/>
          <w:lang w:val="en-US"/>
        </w:rPr>
        <w:t xml:space="preserve">e use </w:t>
      </w:r>
      <w:r w:rsidR="00766B19" w:rsidRPr="008C28EB">
        <w:rPr>
          <w:rFonts w:ascii="Times New Roman" w:eastAsia="Times New Roman" w:hAnsi="Times New Roman"/>
          <w:sz w:val="24"/>
          <w:szCs w:val="24"/>
          <w:lang w:val="en-US"/>
        </w:rPr>
        <w:t xml:space="preserve">the </w:t>
      </w:r>
      <w:r w:rsidR="00FE4ADD" w:rsidRPr="008C28EB">
        <w:rPr>
          <w:rFonts w:ascii="Times New Roman" w:eastAsia="Times New Roman" w:hAnsi="Times New Roman"/>
          <w:sz w:val="24"/>
          <w:szCs w:val="24"/>
          <w:lang w:val="en-US"/>
        </w:rPr>
        <w:t>first date in which the CA was announced, since the event study has outlined this date as the most significant and with the strongest difference between shortfall and no shortfall banks.</w:t>
      </w:r>
      <w:r w:rsidR="00C72A98" w:rsidRPr="008C28EB">
        <w:rPr>
          <w:rFonts w:ascii="Times New Roman" w:eastAsia="Times New Roman" w:hAnsi="Times New Roman"/>
          <w:sz w:val="24"/>
          <w:szCs w:val="24"/>
          <w:lang w:val="en-US"/>
        </w:rPr>
        <w:t xml:space="preserve"> </w:t>
      </w:r>
      <w:r w:rsidR="00225DDE" w:rsidRPr="008C28EB">
        <w:rPr>
          <w:rFonts w:ascii="Times New Roman" w:eastAsia="Times New Roman" w:hAnsi="Times New Roman"/>
          <w:sz w:val="24"/>
          <w:szCs w:val="24"/>
          <w:lang w:val="en-US"/>
        </w:rPr>
        <w:t>Specifically</w:t>
      </w:r>
      <w:r w:rsidR="00766B19" w:rsidRPr="008C28EB">
        <w:rPr>
          <w:rFonts w:ascii="Times New Roman" w:eastAsia="Times New Roman" w:hAnsi="Times New Roman"/>
          <w:sz w:val="24"/>
          <w:szCs w:val="24"/>
          <w:lang w:val="en-US"/>
        </w:rPr>
        <w:t xml:space="preserve">, we assume that </w:t>
      </w:r>
      <w:r w:rsidR="00C72A98" w:rsidRPr="008C28EB">
        <w:rPr>
          <w:rFonts w:ascii="Times New Roman" w:eastAsia="Times New Roman" w:hAnsi="Times New Roman"/>
          <w:sz w:val="24"/>
          <w:szCs w:val="24"/>
          <w:lang w:val="en-US"/>
        </w:rPr>
        <w:t xml:space="preserve">the </w:t>
      </w:r>
      <w:r w:rsidR="00FE4ADD" w:rsidRPr="008C28EB">
        <w:rPr>
          <w:rFonts w:ascii="Times New Roman" w:eastAsia="Times New Roman" w:hAnsi="Times New Roman"/>
          <w:sz w:val="24"/>
          <w:szCs w:val="24"/>
          <w:lang w:val="en-US"/>
        </w:rPr>
        <w:t xml:space="preserve">market </w:t>
      </w:r>
      <w:r w:rsidR="00766B19" w:rsidRPr="008C28EB">
        <w:rPr>
          <w:rFonts w:ascii="Times New Roman" w:eastAsia="Times New Roman" w:hAnsi="Times New Roman"/>
          <w:sz w:val="24"/>
          <w:szCs w:val="24"/>
          <w:lang w:val="en-US"/>
        </w:rPr>
        <w:t xml:space="preserve">reaction </w:t>
      </w:r>
      <w:r w:rsidR="00FE4ADD" w:rsidRPr="008C28EB">
        <w:rPr>
          <w:rFonts w:ascii="Times New Roman" w:eastAsia="Times New Roman" w:hAnsi="Times New Roman"/>
          <w:sz w:val="24"/>
          <w:szCs w:val="24"/>
          <w:lang w:val="en-US"/>
        </w:rPr>
        <w:t>on the 23</w:t>
      </w:r>
      <w:r w:rsidR="00C72A98" w:rsidRPr="008C28EB">
        <w:rPr>
          <w:rFonts w:ascii="Times New Roman" w:eastAsia="Times New Roman" w:hAnsi="Times New Roman"/>
          <w:sz w:val="24"/>
          <w:szCs w:val="24"/>
          <w:vertAlign w:val="superscript"/>
          <w:lang w:val="en-US"/>
        </w:rPr>
        <w:t>rd</w:t>
      </w:r>
      <w:r w:rsidR="00C72A98" w:rsidRPr="008C28EB">
        <w:rPr>
          <w:rFonts w:ascii="Times New Roman" w:eastAsia="Times New Roman" w:hAnsi="Times New Roman"/>
          <w:sz w:val="24"/>
          <w:szCs w:val="24"/>
          <w:lang w:val="en-US"/>
        </w:rPr>
        <w:t xml:space="preserve"> </w:t>
      </w:r>
      <w:r w:rsidR="00FE4ADD" w:rsidRPr="008C28EB">
        <w:rPr>
          <w:rFonts w:ascii="Times New Roman" w:eastAsia="Times New Roman" w:hAnsi="Times New Roman"/>
          <w:sz w:val="24"/>
          <w:szCs w:val="24"/>
          <w:lang w:val="en-US"/>
        </w:rPr>
        <w:t xml:space="preserve">October 2013 </w:t>
      </w:r>
      <w:r w:rsidR="003E7DED" w:rsidRPr="008C28EB">
        <w:rPr>
          <w:rFonts w:ascii="Times New Roman" w:eastAsia="Times New Roman" w:hAnsi="Times New Roman"/>
          <w:sz w:val="24"/>
          <w:szCs w:val="24"/>
          <w:lang w:val="en-US"/>
        </w:rPr>
        <w:t>(CAR</w:t>
      </w:r>
      <w:r w:rsidR="003E7DED" w:rsidRPr="008C28EB">
        <w:rPr>
          <w:rFonts w:ascii="Cambria Math" w:eastAsia="Times New Roman" w:hAnsi="Cambria Math"/>
          <w:sz w:val="24"/>
          <w:szCs w:val="24"/>
          <w:vertAlign w:val="superscript"/>
          <w:lang w:val="en-US"/>
        </w:rPr>
        <w:t>𝑎</w:t>
      </w:r>
      <w:r w:rsidR="003E7DED" w:rsidRPr="008C28EB">
        <w:rPr>
          <w:rFonts w:ascii="Times New Roman" w:eastAsia="Times New Roman" w:hAnsi="Times New Roman"/>
          <w:sz w:val="24"/>
          <w:szCs w:val="24"/>
          <w:lang w:val="en-US"/>
        </w:rPr>
        <w:t xml:space="preserve">) </w:t>
      </w:r>
      <w:r w:rsidR="00766B19" w:rsidRPr="008C28EB">
        <w:rPr>
          <w:rFonts w:ascii="Times New Roman" w:eastAsia="Times New Roman" w:hAnsi="Times New Roman"/>
          <w:sz w:val="24"/>
          <w:szCs w:val="24"/>
          <w:lang w:val="en-US"/>
        </w:rPr>
        <w:t>is strongly and negatively associated to the expected gap.</w:t>
      </w:r>
      <w:r w:rsidR="00D0763F" w:rsidRPr="008C28EB">
        <w:rPr>
          <w:rFonts w:ascii="Times New Roman" w:eastAsia="Times New Roman" w:hAnsi="Times New Roman"/>
          <w:sz w:val="24"/>
          <w:szCs w:val="24"/>
          <w:lang w:val="en-US"/>
        </w:rPr>
        <w:t xml:space="preserve"> We can then write the expected GAP as </w:t>
      </w:r>
      <w:r w:rsidR="00D0763F" w:rsidRPr="008C28EB">
        <w:rPr>
          <w:rFonts w:ascii="Cambria Math" w:eastAsia="Times New Roman" w:hAnsi="Cambria Math"/>
          <w:sz w:val="24"/>
          <w:szCs w:val="24"/>
          <w:lang w:val="en-US"/>
        </w:rPr>
        <w:t>𝐸𝐺𝐴𝑃</w:t>
      </w:r>
      <w:r w:rsidR="00D0763F" w:rsidRPr="008C28EB">
        <w:rPr>
          <w:rFonts w:ascii="Cambria Math" w:eastAsia="Times New Roman" w:hAnsi="Cambria Math"/>
          <w:sz w:val="24"/>
          <w:szCs w:val="24"/>
          <w:vertAlign w:val="subscript"/>
          <w:lang w:val="en-US"/>
        </w:rPr>
        <w:t>𝑖</w:t>
      </w:r>
      <w:r w:rsidR="00D0763F" w:rsidRPr="008C28EB">
        <w:rPr>
          <w:rFonts w:ascii="Cambria Math" w:eastAsia="Times New Roman" w:hAnsi="Cambria Math"/>
          <w:sz w:val="24"/>
          <w:szCs w:val="24"/>
          <w:lang w:val="en-US"/>
        </w:rPr>
        <w:t>= 𝛿</w:t>
      </w:r>
      <w:r w:rsidR="00D0763F" w:rsidRPr="008C28EB">
        <w:rPr>
          <w:rFonts w:ascii="Cambria Math" w:eastAsia="Times New Roman" w:hAnsi="Cambria Math"/>
          <w:sz w:val="24"/>
          <w:szCs w:val="24"/>
          <w:vertAlign w:val="subscript"/>
          <w:lang w:val="en-US"/>
        </w:rPr>
        <w:t>0</w:t>
      </w:r>
      <w:r w:rsidR="001A3714" w:rsidRPr="008C28EB">
        <w:rPr>
          <w:rFonts w:ascii="Cambria Math" w:eastAsia="Times New Roman" w:hAnsi="Cambria Math"/>
          <w:sz w:val="24"/>
          <w:szCs w:val="24"/>
          <w:lang w:val="en-US"/>
        </w:rPr>
        <w:t>−</w:t>
      </w:r>
      <w:r w:rsidR="00D0763F" w:rsidRPr="008C28EB">
        <w:rPr>
          <w:rFonts w:ascii="Cambria Math" w:eastAsia="Times New Roman" w:hAnsi="Cambria Math"/>
          <w:sz w:val="24"/>
          <w:szCs w:val="24"/>
          <w:lang w:val="en-US"/>
        </w:rPr>
        <w:t>𝛿</w:t>
      </w:r>
      <w:r w:rsidR="00D0763F" w:rsidRPr="008C28EB">
        <w:rPr>
          <w:rFonts w:ascii="Cambria Math" w:eastAsia="Times New Roman" w:hAnsi="Cambria Math"/>
          <w:sz w:val="24"/>
          <w:szCs w:val="24"/>
          <w:vertAlign w:val="subscript"/>
          <w:lang w:val="en-US"/>
        </w:rPr>
        <w:t>1</w:t>
      </w:r>
      <w:r w:rsidR="00D0763F" w:rsidRPr="008C28EB">
        <w:rPr>
          <w:rFonts w:ascii="Cambria Math" w:eastAsia="Times New Roman" w:hAnsi="Cambria Math"/>
          <w:sz w:val="24"/>
          <w:szCs w:val="24"/>
          <w:lang w:val="en-US"/>
        </w:rPr>
        <w:t>𝐶𝐴𝑅</w:t>
      </w:r>
      <w:r w:rsidR="00D0763F" w:rsidRPr="008C28EB">
        <w:rPr>
          <w:rFonts w:ascii="Cambria Math" w:eastAsia="Times New Roman" w:hAnsi="Cambria Math"/>
          <w:sz w:val="24"/>
          <w:szCs w:val="24"/>
          <w:vertAlign w:val="subscript"/>
          <w:lang w:val="en-US"/>
        </w:rPr>
        <w:t>𝑖</w:t>
      </w:r>
      <w:r w:rsidR="00D0763F" w:rsidRPr="008C28EB">
        <w:rPr>
          <w:rFonts w:ascii="Cambria Math" w:eastAsia="Times New Roman" w:hAnsi="Cambria Math"/>
          <w:sz w:val="24"/>
          <w:szCs w:val="24"/>
          <w:vertAlign w:val="superscript"/>
          <w:lang w:val="en-US"/>
        </w:rPr>
        <w:t>𝑎</w:t>
      </w:r>
      <w:r w:rsidR="00D0763F" w:rsidRPr="008C28EB">
        <w:rPr>
          <w:rFonts w:ascii="Cambria Math" w:eastAsia="Times New Roman" w:hAnsi="Cambria Math"/>
          <w:sz w:val="24"/>
          <w:szCs w:val="24"/>
          <w:lang w:val="en-US"/>
        </w:rPr>
        <w:t>+𝑢</w:t>
      </w:r>
      <w:r w:rsidR="00D0763F" w:rsidRPr="008C28EB">
        <w:rPr>
          <w:rFonts w:ascii="Cambria Math" w:eastAsia="Times New Roman" w:hAnsi="Cambria Math"/>
          <w:sz w:val="24"/>
          <w:szCs w:val="24"/>
          <w:vertAlign w:val="subscript"/>
          <w:lang w:val="en-US"/>
        </w:rPr>
        <w:t>𝑖</w:t>
      </w:r>
      <w:r w:rsidR="001A3714" w:rsidRPr="008C28EB">
        <w:rPr>
          <w:rFonts w:ascii="Times New Roman" w:eastAsia="Times New Roman" w:hAnsi="Times New Roman"/>
          <w:sz w:val="24"/>
          <w:szCs w:val="24"/>
          <w:lang w:val="en-US"/>
        </w:rPr>
        <w:t xml:space="preserve">. </w:t>
      </w:r>
      <w:r w:rsidR="00D0763F" w:rsidRPr="008C28EB">
        <w:rPr>
          <w:rFonts w:ascii="Times New Roman" w:eastAsia="Times New Roman" w:hAnsi="Times New Roman"/>
          <w:sz w:val="24"/>
          <w:szCs w:val="24"/>
          <w:lang w:val="en-US"/>
        </w:rPr>
        <w:t xml:space="preserve">Since </w:t>
      </w:r>
      <w:r w:rsidR="00D0763F" w:rsidRPr="008C28EB">
        <w:rPr>
          <w:rFonts w:ascii="Cambria Math" w:eastAsia="Times New Roman" w:hAnsi="Cambria Math"/>
          <w:sz w:val="24"/>
          <w:szCs w:val="24"/>
          <w:lang w:val="en-US"/>
        </w:rPr>
        <w:t>𝐸𝐺𝐴𝑃</w:t>
      </w:r>
      <w:r w:rsidR="00D0763F" w:rsidRPr="008C28EB">
        <w:rPr>
          <w:rFonts w:ascii="Cambria Math" w:eastAsia="Times New Roman" w:hAnsi="Cambria Math"/>
          <w:sz w:val="24"/>
          <w:szCs w:val="24"/>
          <w:vertAlign w:val="subscript"/>
          <w:lang w:val="en-US"/>
        </w:rPr>
        <w:t>𝑖</w:t>
      </w:r>
      <w:r w:rsidR="00D0763F" w:rsidRPr="008C28EB">
        <w:rPr>
          <w:rFonts w:ascii="Cambria Math" w:eastAsia="Times New Roman" w:hAnsi="Cambria Math"/>
          <w:sz w:val="24"/>
          <w:szCs w:val="24"/>
          <w:lang w:val="en-US"/>
        </w:rPr>
        <w:t>=𝐺𝐴𝑃</w:t>
      </w:r>
      <w:r w:rsidR="00D0763F" w:rsidRPr="008C28EB">
        <w:rPr>
          <w:rFonts w:ascii="Cambria Math" w:eastAsia="Times New Roman" w:hAnsi="Cambria Math"/>
          <w:sz w:val="24"/>
          <w:szCs w:val="24"/>
          <w:vertAlign w:val="subscript"/>
          <w:lang w:val="en-US"/>
        </w:rPr>
        <w:t>𝑖</w:t>
      </w:r>
      <w:r w:rsidR="00D0763F" w:rsidRPr="008C28EB">
        <w:rPr>
          <w:rFonts w:ascii="Cambria Math" w:eastAsia="Times New Roman" w:hAnsi="Cambria Math"/>
          <w:sz w:val="24"/>
          <w:szCs w:val="24"/>
          <w:lang w:val="en-US"/>
        </w:rPr>
        <w:t>+𝑒</w:t>
      </w:r>
      <w:r w:rsidR="00D0763F" w:rsidRPr="008C28EB">
        <w:rPr>
          <w:rFonts w:ascii="Cambria Math" w:eastAsia="Times New Roman" w:hAnsi="Cambria Math"/>
          <w:sz w:val="24"/>
          <w:szCs w:val="24"/>
          <w:vertAlign w:val="subscript"/>
          <w:lang w:val="en-US"/>
        </w:rPr>
        <w:t>𝑖</w:t>
      </w:r>
      <w:r w:rsidR="003E7DED" w:rsidRPr="008C28EB">
        <w:rPr>
          <w:rFonts w:ascii="Cambria Math" w:eastAsia="Times New Roman" w:hAnsi="Cambria Math"/>
          <w:sz w:val="24"/>
          <w:szCs w:val="24"/>
          <w:lang w:val="en-US"/>
        </w:rPr>
        <w:t xml:space="preserve">, </w:t>
      </w:r>
      <w:r w:rsidR="00494517" w:rsidRPr="008C28EB">
        <w:rPr>
          <w:rFonts w:ascii="Cambria Math" w:eastAsia="Times New Roman" w:hAnsi="Cambria Math"/>
          <w:sz w:val="24"/>
          <w:szCs w:val="24"/>
          <w:lang w:val="en-US"/>
        </w:rPr>
        <w:t xml:space="preserve">we can </w:t>
      </w:r>
      <w:r w:rsidR="00C72A98" w:rsidRPr="008C28EB">
        <w:rPr>
          <w:rFonts w:ascii="Times New Roman" w:eastAsia="Times New Roman" w:hAnsi="Times New Roman"/>
          <w:sz w:val="24"/>
          <w:szCs w:val="24"/>
          <w:lang w:val="en-US"/>
        </w:rPr>
        <w:t xml:space="preserve">  </w:t>
      </w:r>
      <w:r w:rsidR="00A96223" w:rsidRPr="008C28EB">
        <w:rPr>
          <w:rFonts w:ascii="Times New Roman" w:eastAsia="Times New Roman" w:hAnsi="Times New Roman"/>
          <w:sz w:val="24"/>
          <w:szCs w:val="24"/>
          <w:lang w:val="en-US"/>
        </w:rPr>
        <w:t>estimat</w:t>
      </w:r>
      <w:r w:rsidR="001A3714" w:rsidRPr="008C28EB">
        <w:rPr>
          <w:rFonts w:ascii="Times New Roman" w:eastAsia="Times New Roman" w:hAnsi="Times New Roman"/>
          <w:sz w:val="24"/>
          <w:szCs w:val="24"/>
          <w:lang w:val="en-US"/>
        </w:rPr>
        <w:t>e</w:t>
      </w:r>
      <w:r w:rsidR="00C72A98" w:rsidRPr="008C28EB">
        <w:rPr>
          <w:rFonts w:ascii="Times New Roman" w:eastAsia="Times New Roman" w:hAnsi="Times New Roman"/>
          <w:sz w:val="24"/>
          <w:szCs w:val="24"/>
          <w:lang w:val="en-US"/>
        </w:rPr>
        <w:t xml:space="preserve"> </w:t>
      </w:r>
      <w:r w:rsidRPr="008C28EB">
        <w:rPr>
          <w:rFonts w:ascii="Times New Roman" w:eastAsia="Times New Roman" w:hAnsi="Times New Roman"/>
          <w:sz w:val="24"/>
          <w:szCs w:val="24"/>
          <w:lang w:val="en-US"/>
        </w:rPr>
        <w:t xml:space="preserve">the following </w:t>
      </w:r>
      <w:r w:rsidR="00A96223" w:rsidRPr="008C28EB">
        <w:rPr>
          <w:rFonts w:ascii="Times New Roman" w:eastAsia="Times New Roman" w:hAnsi="Times New Roman"/>
          <w:sz w:val="24"/>
          <w:szCs w:val="24"/>
          <w:lang w:val="en-US"/>
        </w:rPr>
        <w:t>model</w:t>
      </w:r>
      <w:r w:rsidRPr="008C28EB">
        <w:rPr>
          <w:rFonts w:ascii="Times New Roman" w:eastAsia="Times New Roman" w:hAnsi="Times New Roman"/>
          <w:sz w:val="24"/>
          <w:szCs w:val="24"/>
          <w:lang w:val="en-US"/>
        </w:rPr>
        <w:t>:</w:t>
      </w:r>
    </w:p>
    <w:p w14:paraId="7744A159" w14:textId="77777777" w:rsidR="00971257" w:rsidRPr="008C28EB" w:rsidRDefault="00922010" w:rsidP="005E69E9">
      <w:pPr>
        <w:tabs>
          <w:tab w:val="left" w:pos="5904"/>
        </w:tabs>
        <w:spacing w:after="120" w:line="480" w:lineRule="auto"/>
        <w:rPr>
          <w:rFonts w:ascii="Times New Roman" w:eastAsia="Times New Roman" w:hAnsi="Times New Roman"/>
          <w:sz w:val="24"/>
          <w:szCs w:val="24"/>
          <w:lang w:val="en-US"/>
        </w:rPr>
      </w:pPr>
      <m:oMath>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GAP</m:t>
            </m:r>
          </m:e>
          <m:sub>
            <m:r>
              <w:rPr>
                <w:rFonts w:ascii="Cambria Math" w:eastAsia="Times New Roman" w:hAnsi="Cambria Math"/>
                <w:sz w:val="24"/>
                <w:szCs w:val="24"/>
                <w:lang w:val="en-US"/>
              </w:rPr>
              <m:t>i</m:t>
            </m:r>
          </m:sub>
        </m:sSub>
        <m:r>
          <w:rPr>
            <w:rFonts w:ascii="Cambria Math" w:eastAsia="Times New Roman" w:hAnsi="Cambria Math"/>
            <w:sz w:val="24"/>
            <w:szCs w:val="24"/>
            <w:lang w:val="en-US"/>
          </w:rPr>
          <m:t xml:space="preserve">= </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δ</m:t>
            </m:r>
          </m:e>
          <m:sub>
            <m:r>
              <w:rPr>
                <w:rFonts w:ascii="Cambria Math" w:eastAsia="Times New Roman" w:hAnsi="Cambria Math"/>
                <w:sz w:val="24"/>
                <w:szCs w:val="24"/>
                <w:lang w:val="en-US"/>
              </w:rPr>
              <m:t>0</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δ</m:t>
            </m:r>
          </m:e>
          <m:sub>
            <m:r>
              <w:rPr>
                <w:rFonts w:ascii="Cambria Math" w:eastAsia="Times New Roman" w:hAnsi="Cambria Math"/>
                <w:sz w:val="24"/>
                <w:szCs w:val="24"/>
                <w:lang w:val="en-US"/>
              </w:rPr>
              <m:t>1</m:t>
            </m:r>
          </m:sub>
        </m:sSub>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CAR</m:t>
            </m:r>
          </m:e>
          <m:sub>
            <m:r>
              <w:rPr>
                <w:rFonts w:ascii="Cambria Math" w:eastAsia="Times New Roman" w:hAnsi="Cambria Math"/>
                <w:sz w:val="24"/>
                <w:szCs w:val="24"/>
                <w:lang w:val="en-US"/>
              </w:rPr>
              <m:t>i</m:t>
            </m:r>
          </m:sub>
          <m:sup>
            <m:r>
              <w:rPr>
                <w:rFonts w:ascii="Cambria Math" w:eastAsia="Times New Roman" w:hAnsi="Cambria Math"/>
                <w:sz w:val="24"/>
                <w:szCs w:val="24"/>
                <w:lang w:val="en-US"/>
              </w:rPr>
              <m:t>a</m:t>
            </m:r>
          </m:sup>
        </m:sSubSup>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ω</m:t>
            </m:r>
          </m:e>
          <m:sub>
            <m:r>
              <w:rPr>
                <w:rFonts w:ascii="Cambria Math" w:eastAsia="Times New Roman" w:hAnsi="Cambria Math"/>
                <w:sz w:val="24"/>
                <w:szCs w:val="24"/>
                <w:lang w:val="en-US"/>
              </w:rPr>
              <m:t>i</m:t>
            </m:r>
          </m:sub>
        </m:sSub>
        <m:r>
          <w:rPr>
            <w:rFonts w:ascii="Cambria Math" w:eastAsia="Times New Roman" w:hAnsi="Cambria Math"/>
            <w:sz w:val="24"/>
            <w:szCs w:val="24"/>
            <w:lang w:val="en-US"/>
          </w:rPr>
          <m:t xml:space="preserve">, </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 xml:space="preserve">           ω</m:t>
            </m:r>
          </m:e>
          <m:sub>
            <m:r>
              <w:rPr>
                <w:rFonts w:ascii="Cambria Math" w:eastAsia="Times New Roman" w:hAnsi="Cambria Math"/>
                <w:sz w:val="24"/>
                <w:szCs w:val="24"/>
                <w:lang w:val="en-US"/>
              </w:rPr>
              <m:t>i</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u</m:t>
            </m:r>
          </m:e>
          <m:sub>
            <m:r>
              <w:rPr>
                <w:rFonts w:ascii="Cambria Math" w:eastAsia="Times New Roman" w:hAnsi="Cambria Math"/>
                <w:sz w:val="24"/>
                <w:szCs w:val="24"/>
                <w:lang w:val="en-US"/>
              </w:rPr>
              <m:t>i</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ε</m:t>
            </m:r>
          </m:e>
          <m:sub>
            <m:r>
              <w:rPr>
                <w:rFonts w:ascii="Cambria Math" w:eastAsia="Times New Roman" w:hAnsi="Cambria Math"/>
                <w:sz w:val="24"/>
                <w:szCs w:val="24"/>
                <w:lang w:val="en-US"/>
              </w:rPr>
              <m:t>i</m:t>
            </m:r>
          </m:sub>
        </m:sSub>
      </m:oMath>
      <w:r w:rsidR="00766B19" w:rsidRPr="008C28EB">
        <w:rPr>
          <w:rFonts w:ascii="Times New Roman" w:eastAsia="Times New Roman" w:hAnsi="Times New Roman"/>
          <w:sz w:val="24"/>
          <w:szCs w:val="24"/>
          <w:lang w:val="en-US"/>
        </w:rPr>
        <w:tab/>
      </w:r>
      <w:r w:rsidR="00766B19" w:rsidRPr="008C28EB">
        <w:rPr>
          <w:rFonts w:ascii="Times New Roman" w:eastAsia="Times New Roman" w:hAnsi="Times New Roman"/>
          <w:sz w:val="24"/>
          <w:szCs w:val="24"/>
          <w:lang w:val="en-US"/>
        </w:rPr>
        <w:tab/>
      </w:r>
      <w:r w:rsidR="00766B19" w:rsidRPr="008C28EB">
        <w:rPr>
          <w:rFonts w:ascii="Times New Roman" w:eastAsia="Times New Roman" w:hAnsi="Times New Roman"/>
          <w:sz w:val="24"/>
          <w:szCs w:val="24"/>
          <w:lang w:val="en-US"/>
        </w:rPr>
        <w:tab/>
      </w:r>
      <w:r w:rsidR="00766B19" w:rsidRPr="008C28EB">
        <w:rPr>
          <w:rFonts w:ascii="Times New Roman" w:eastAsia="Times New Roman" w:hAnsi="Times New Roman"/>
          <w:sz w:val="24"/>
          <w:szCs w:val="24"/>
          <w:lang w:val="en-US"/>
        </w:rPr>
        <w:tab/>
        <w:t>(1)</w:t>
      </w:r>
    </w:p>
    <w:p w14:paraId="1EEEC54D" w14:textId="2A3F7B9F" w:rsidR="003E7DED" w:rsidRPr="008C28EB" w:rsidRDefault="00766B19" w:rsidP="00222C6F">
      <w:pPr>
        <w:spacing w:after="120" w:line="480" w:lineRule="auto"/>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 xml:space="preserve">where </w:t>
      </w:r>
      <w:r w:rsidR="00971257" w:rsidRPr="008C28EB">
        <w:rPr>
          <w:rFonts w:ascii="Times New Roman" w:eastAsia="Times New Roman" w:hAnsi="Times New Roman"/>
          <w:sz w:val="24"/>
          <w:szCs w:val="24"/>
          <w:lang w:val="en-US"/>
        </w:rPr>
        <w:t xml:space="preserve">GAP is the capital shortfall </w:t>
      </w:r>
      <w:r w:rsidR="00A96223" w:rsidRPr="008C28EB">
        <w:rPr>
          <w:rFonts w:ascii="Times New Roman" w:eastAsia="Times New Roman" w:hAnsi="Times New Roman"/>
          <w:sz w:val="24"/>
          <w:szCs w:val="24"/>
          <w:lang w:val="en-US"/>
        </w:rPr>
        <w:t>resulting</w:t>
      </w:r>
      <w:r w:rsidR="00971257" w:rsidRPr="008C28EB">
        <w:rPr>
          <w:rFonts w:ascii="Times New Roman" w:eastAsia="Times New Roman" w:hAnsi="Times New Roman"/>
          <w:sz w:val="24"/>
          <w:szCs w:val="24"/>
          <w:lang w:val="en-US"/>
        </w:rPr>
        <w:t xml:space="preserve"> from the CA for the i-th bank (revealed to </w:t>
      </w:r>
      <w:r w:rsidR="003A5414" w:rsidRPr="008C28EB">
        <w:rPr>
          <w:rFonts w:ascii="Times New Roman" w:eastAsia="Times New Roman" w:hAnsi="Times New Roman"/>
          <w:sz w:val="24"/>
          <w:szCs w:val="24"/>
          <w:lang w:val="en-US"/>
        </w:rPr>
        <w:t>the market on 26</w:t>
      </w:r>
      <w:r w:rsidR="00C72A98" w:rsidRPr="008C28EB">
        <w:rPr>
          <w:rFonts w:ascii="Times New Roman" w:eastAsia="Times New Roman" w:hAnsi="Times New Roman"/>
          <w:sz w:val="24"/>
          <w:szCs w:val="24"/>
          <w:vertAlign w:val="superscript"/>
          <w:lang w:val="en-US"/>
        </w:rPr>
        <w:t>th</w:t>
      </w:r>
      <w:r w:rsidR="00C72A98" w:rsidRPr="008C28EB">
        <w:rPr>
          <w:rFonts w:ascii="Times New Roman" w:eastAsia="Times New Roman" w:hAnsi="Times New Roman"/>
          <w:sz w:val="24"/>
          <w:szCs w:val="24"/>
          <w:lang w:val="en-US"/>
        </w:rPr>
        <w:t xml:space="preserve"> </w:t>
      </w:r>
      <w:r w:rsidR="003A5414" w:rsidRPr="008C28EB">
        <w:rPr>
          <w:rFonts w:ascii="Times New Roman" w:eastAsia="Times New Roman" w:hAnsi="Times New Roman"/>
          <w:sz w:val="24"/>
          <w:szCs w:val="24"/>
          <w:lang w:val="en-US"/>
        </w:rPr>
        <w:t xml:space="preserve">October 2014), </w:t>
      </w:r>
      <w:r w:rsidR="00971257" w:rsidRPr="008C28EB">
        <w:rPr>
          <w:rFonts w:ascii="Times New Roman" w:eastAsia="Times New Roman" w:hAnsi="Times New Roman"/>
          <w:sz w:val="24"/>
          <w:szCs w:val="24"/>
          <w:lang w:val="en-US"/>
        </w:rPr>
        <w:t>CAR</w:t>
      </w:r>
      <w:r w:rsidR="00971257" w:rsidRPr="008C28EB">
        <w:rPr>
          <w:rFonts w:ascii="Times New Roman" w:eastAsia="Times New Roman" w:hAnsi="Times New Roman"/>
          <w:sz w:val="24"/>
          <w:szCs w:val="24"/>
          <w:vertAlign w:val="superscript"/>
          <w:lang w:val="en-US"/>
        </w:rPr>
        <w:t xml:space="preserve">α </w:t>
      </w:r>
      <w:r w:rsidR="00971257" w:rsidRPr="008C28EB">
        <w:rPr>
          <w:rFonts w:ascii="Times New Roman" w:eastAsia="Times New Roman" w:hAnsi="Times New Roman"/>
          <w:sz w:val="24"/>
          <w:szCs w:val="24"/>
          <w:lang w:val="en-US"/>
        </w:rPr>
        <w:t>is the cumulated abnormal return registered by the i-th bank at the announcement of the procedure (on 23</w:t>
      </w:r>
      <w:r w:rsidR="00C72A98" w:rsidRPr="008C28EB">
        <w:rPr>
          <w:rFonts w:ascii="Times New Roman" w:eastAsia="Times New Roman" w:hAnsi="Times New Roman"/>
          <w:sz w:val="24"/>
          <w:szCs w:val="24"/>
          <w:vertAlign w:val="superscript"/>
          <w:lang w:val="en-US"/>
        </w:rPr>
        <w:t>rd</w:t>
      </w:r>
      <w:r w:rsidR="00C72A98" w:rsidRPr="008C28EB">
        <w:rPr>
          <w:rFonts w:ascii="Times New Roman" w:eastAsia="Times New Roman" w:hAnsi="Times New Roman"/>
          <w:sz w:val="24"/>
          <w:szCs w:val="24"/>
          <w:lang w:val="en-US"/>
        </w:rPr>
        <w:t xml:space="preserve"> </w:t>
      </w:r>
      <w:r w:rsidR="00971257" w:rsidRPr="008C28EB">
        <w:rPr>
          <w:rFonts w:ascii="Times New Roman" w:eastAsia="Times New Roman" w:hAnsi="Times New Roman"/>
          <w:sz w:val="24"/>
          <w:szCs w:val="24"/>
          <w:lang w:val="en-US"/>
        </w:rPr>
        <w:t>October 2013).</w:t>
      </w:r>
      <w:r w:rsidR="00C72A98" w:rsidRPr="008C28EB">
        <w:rPr>
          <w:rFonts w:ascii="Times New Roman" w:eastAsia="Times New Roman" w:hAnsi="Times New Roman"/>
          <w:sz w:val="24"/>
          <w:szCs w:val="24"/>
          <w:lang w:val="en-US"/>
        </w:rPr>
        <w:t xml:space="preserve"> </w:t>
      </w:r>
      <w:r w:rsidR="002767C3" w:rsidRPr="008C28EB">
        <w:rPr>
          <w:rFonts w:ascii="Times New Roman" w:eastAsia="Times New Roman" w:hAnsi="Times New Roman"/>
          <w:sz w:val="24"/>
          <w:szCs w:val="24"/>
          <w:lang w:val="en-US"/>
        </w:rPr>
        <w:t xml:space="preserve">We posit </w:t>
      </w:r>
      <w:r w:rsidR="003E7DED" w:rsidRPr="008C28EB">
        <w:rPr>
          <w:rFonts w:ascii="Times New Roman" w:eastAsia="Times New Roman" w:hAnsi="Times New Roman"/>
          <w:sz w:val="24"/>
          <w:szCs w:val="24"/>
          <w:lang w:val="en-US"/>
        </w:rPr>
        <w:t>a significant negative relationship between the expected gap and the CAR registered at the announcement of the procedure</w:t>
      </w:r>
      <w:r w:rsidR="00F10901" w:rsidRPr="008C28EB">
        <w:rPr>
          <w:rStyle w:val="Rimandonotaapidipagina"/>
          <w:rFonts w:ascii="Times New Roman" w:eastAsia="Times New Roman" w:hAnsi="Times New Roman"/>
          <w:sz w:val="24"/>
          <w:szCs w:val="24"/>
        </w:rPr>
        <w:footnoteReference w:id="2"/>
      </w:r>
      <w:r w:rsidR="00480A86" w:rsidRPr="008C28EB">
        <w:rPr>
          <w:rFonts w:ascii="Times New Roman" w:eastAsia="Times New Roman" w:hAnsi="Times New Roman"/>
          <w:sz w:val="24"/>
          <w:szCs w:val="24"/>
          <w:lang w:val="en-US"/>
        </w:rPr>
        <w:t>.</w:t>
      </w:r>
      <w:r w:rsidR="00494517" w:rsidRPr="008C28EB">
        <w:rPr>
          <w:rFonts w:ascii="Times New Roman" w:eastAsia="Times New Roman" w:hAnsi="Times New Roman"/>
          <w:sz w:val="24"/>
          <w:szCs w:val="24"/>
          <w:lang w:val="en-US"/>
        </w:rPr>
        <w:t xml:space="preserve"> </w:t>
      </w:r>
      <w:r w:rsidR="003E7DED" w:rsidRPr="008C28EB">
        <w:rPr>
          <w:rFonts w:ascii="Times New Roman" w:eastAsia="Times New Roman" w:hAnsi="Times New Roman"/>
          <w:sz w:val="24"/>
          <w:szCs w:val="24"/>
          <w:lang w:val="en-US"/>
        </w:rPr>
        <w:t xml:space="preserve">If the (negative) market reaction at the result date </w:t>
      </w:r>
      <w:r w:rsidR="002843EC" w:rsidRPr="008C28EB">
        <w:rPr>
          <w:rFonts w:ascii="Times New Roman" w:eastAsia="Times New Roman" w:hAnsi="Times New Roman"/>
          <w:sz w:val="24"/>
          <w:szCs w:val="24"/>
          <w:lang w:val="en-US"/>
        </w:rPr>
        <w:t>(CAR</w:t>
      </w:r>
      <w:r w:rsidR="002843EC" w:rsidRPr="008C28EB">
        <w:rPr>
          <w:rFonts w:ascii="Times New Roman" w:eastAsia="Times New Roman" w:hAnsi="Times New Roman"/>
          <w:sz w:val="24"/>
          <w:szCs w:val="24"/>
          <w:vertAlign w:val="superscript"/>
          <w:lang w:val="en-US"/>
        </w:rPr>
        <w:t>r</w:t>
      </w:r>
      <w:r w:rsidR="002843EC" w:rsidRPr="008C28EB">
        <w:rPr>
          <w:rFonts w:ascii="Times New Roman" w:eastAsia="Times New Roman" w:hAnsi="Times New Roman"/>
          <w:sz w:val="24"/>
          <w:szCs w:val="24"/>
          <w:lang w:val="en-US"/>
        </w:rPr>
        <w:t xml:space="preserve">) </w:t>
      </w:r>
      <w:r w:rsidR="003E7DED" w:rsidRPr="008C28EB">
        <w:rPr>
          <w:rFonts w:ascii="Times New Roman" w:eastAsia="Times New Roman" w:hAnsi="Times New Roman"/>
          <w:sz w:val="24"/>
          <w:szCs w:val="24"/>
          <w:lang w:val="en-US"/>
        </w:rPr>
        <w:t>is mainly driven by the</w:t>
      </w:r>
      <w:r w:rsidR="00C72A98" w:rsidRPr="008C28EB">
        <w:rPr>
          <w:rFonts w:ascii="Times New Roman" w:eastAsia="Times New Roman" w:hAnsi="Times New Roman"/>
          <w:sz w:val="24"/>
          <w:szCs w:val="24"/>
          <w:lang w:val="en-US"/>
        </w:rPr>
        <w:t xml:space="preserve"> </w:t>
      </w:r>
      <w:r w:rsidR="003E7DED" w:rsidRPr="008C28EB">
        <w:rPr>
          <w:rFonts w:ascii="Times New Roman" w:eastAsia="Times New Roman" w:hAnsi="Times New Roman"/>
          <w:sz w:val="24"/>
          <w:szCs w:val="24"/>
          <w:lang w:val="en-US"/>
        </w:rPr>
        <w:t>dilution effect generated by the unexpected gap</w:t>
      </w:r>
      <w:r w:rsidR="00C70009" w:rsidRPr="008C28EB">
        <w:rPr>
          <w:rFonts w:ascii="Times New Roman" w:eastAsia="Times New Roman" w:hAnsi="Times New Roman"/>
          <w:sz w:val="24"/>
          <w:szCs w:val="24"/>
          <w:lang w:val="en-US"/>
        </w:rPr>
        <w:t>,</w:t>
      </w:r>
      <w:r w:rsidR="003E7DED" w:rsidRPr="008C28EB">
        <w:rPr>
          <w:rFonts w:ascii="Times New Roman" w:eastAsia="Times New Roman" w:hAnsi="Times New Roman"/>
          <w:sz w:val="24"/>
          <w:szCs w:val="24"/>
          <w:lang w:val="en-US"/>
        </w:rPr>
        <w:t xml:space="preserve"> we will have</w:t>
      </w:r>
      <w:r w:rsidR="002843EC" w:rsidRPr="008C28EB">
        <w:rPr>
          <w:rFonts w:ascii="Times New Roman" w:eastAsia="Times New Roman" w:hAnsi="Times New Roman"/>
          <w:sz w:val="24"/>
          <w:szCs w:val="24"/>
          <w:lang w:val="en-US"/>
        </w:rPr>
        <w:t>:</w:t>
      </w:r>
    </w:p>
    <w:p w14:paraId="4913D917" w14:textId="014B5E9D" w:rsidR="005E69E9" w:rsidRPr="008C28EB" w:rsidRDefault="00922010" w:rsidP="00222C6F">
      <w:pPr>
        <w:spacing w:after="120" w:line="480" w:lineRule="auto"/>
        <w:jc w:val="both"/>
        <w:rPr>
          <w:rFonts w:ascii="Times New Roman" w:eastAsia="Times New Roman" w:hAnsi="Times New Roman"/>
          <w:sz w:val="24"/>
          <w:szCs w:val="24"/>
          <w:lang w:val="en-US"/>
        </w:rPr>
      </w:pPr>
      <m:oMath>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CAR</m:t>
            </m:r>
          </m:e>
          <m:sub>
            <m:r>
              <w:rPr>
                <w:rFonts w:ascii="Cambria Math" w:eastAsia="Times New Roman" w:hAnsi="Cambria Math"/>
                <w:sz w:val="24"/>
                <w:szCs w:val="24"/>
                <w:lang w:val="en-US"/>
              </w:rPr>
              <m:t>i</m:t>
            </m:r>
          </m:sub>
          <m:sup>
            <m:r>
              <w:rPr>
                <w:rFonts w:ascii="Cambria Math" w:eastAsia="Times New Roman" w:hAnsi="Cambria Math"/>
                <w:sz w:val="24"/>
                <w:szCs w:val="24"/>
                <w:lang w:val="en-US"/>
              </w:rPr>
              <m:t>r</m:t>
            </m:r>
          </m:sup>
        </m:sSubSup>
        <m:r>
          <w:rPr>
            <w:rFonts w:ascii="Cambria Math" w:eastAsia="Times New Roman" w:hAnsi="Cambria Math"/>
            <w:sz w:val="24"/>
            <w:szCs w:val="24"/>
            <w:lang w:val="en-US"/>
          </w:rPr>
          <m:t xml:space="preserve">= </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μ</m:t>
            </m:r>
          </m:e>
          <m:sub>
            <m:r>
              <w:rPr>
                <w:rFonts w:ascii="Cambria Math" w:eastAsia="Times New Roman" w:hAnsi="Cambria Math"/>
                <w:sz w:val="24"/>
                <w:szCs w:val="24"/>
                <w:lang w:val="en-US"/>
              </w:rPr>
              <m:t>0</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γ</m:t>
            </m:r>
          </m:e>
          <m:sub>
            <m:r>
              <w:rPr>
                <w:rFonts w:ascii="Cambria Math" w:eastAsia="Times New Roman" w:hAnsi="Cambria Math"/>
                <w:sz w:val="24"/>
                <w:szCs w:val="24"/>
                <w:lang w:val="en-US"/>
              </w:rPr>
              <m:t>1</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GAP</m:t>
            </m:r>
          </m:e>
          <m:sub>
            <m:r>
              <w:rPr>
                <w:rFonts w:ascii="Cambria Math" w:eastAsia="Times New Roman" w:hAnsi="Cambria Math"/>
                <w:sz w:val="24"/>
                <w:szCs w:val="24"/>
                <w:lang w:val="en-US"/>
              </w:rPr>
              <m:t>i</m:t>
            </m:r>
          </m:sub>
        </m:sSub>
        <m:r>
          <w:rPr>
            <w:rFonts w:ascii="Cambria Math" w:eastAsia="Times New Roman" w:hAnsi="Cambria Math"/>
            <w:sz w:val="24"/>
            <w:szCs w:val="24"/>
            <w:lang w:val="en-US"/>
          </w:rPr>
          <m:t>-E</m:t>
        </m:r>
        <m:d>
          <m:dPr>
            <m:ctrlPr>
              <w:rPr>
                <w:rFonts w:ascii="Cambria Math" w:eastAsia="Times New Roman" w:hAnsi="Cambria Math"/>
                <w:i/>
                <w:sz w:val="24"/>
                <w:szCs w:val="24"/>
                <w:lang w:val="en-US"/>
              </w:rPr>
            </m:ctrlPr>
          </m:d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GAP</m:t>
                </m:r>
              </m:e>
              <m:sub>
                <m:r>
                  <w:rPr>
                    <w:rFonts w:ascii="Cambria Math" w:eastAsia="Times New Roman" w:hAnsi="Cambria Math"/>
                    <w:sz w:val="24"/>
                    <w:szCs w:val="24"/>
                    <w:lang w:val="en-US"/>
                  </w:rPr>
                  <m:t>i</m:t>
                </m:r>
              </m:sub>
            </m:sSub>
          </m:e>
        </m:d>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ε</m:t>
            </m:r>
          </m:e>
          <m:sub>
            <m:r>
              <w:rPr>
                <w:rFonts w:ascii="Cambria Math" w:eastAsia="Times New Roman" w:hAnsi="Cambria Math"/>
                <w:sz w:val="24"/>
                <w:szCs w:val="24"/>
                <w:lang w:val="en-US"/>
              </w:rPr>
              <m:t>i</m:t>
            </m:r>
          </m:sub>
        </m:sSub>
      </m:oMath>
      <w:r w:rsidR="005E69E9" w:rsidRPr="008C28EB">
        <w:rPr>
          <w:rFonts w:ascii="Times New Roman" w:eastAsia="Times New Roman" w:hAnsi="Times New Roman"/>
          <w:sz w:val="24"/>
          <w:szCs w:val="24"/>
          <w:lang w:val="en-US"/>
        </w:rPr>
        <w:tab/>
      </w:r>
      <w:r w:rsidR="005E69E9" w:rsidRPr="008C28EB">
        <w:rPr>
          <w:rFonts w:ascii="Times New Roman" w:eastAsia="Times New Roman" w:hAnsi="Times New Roman"/>
          <w:sz w:val="24"/>
          <w:szCs w:val="24"/>
          <w:lang w:val="en-US"/>
        </w:rPr>
        <w:tab/>
      </w:r>
      <w:r w:rsidR="005E69E9" w:rsidRPr="008C28EB">
        <w:rPr>
          <w:rFonts w:ascii="Times New Roman" w:eastAsia="Times New Roman" w:hAnsi="Times New Roman"/>
          <w:sz w:val="24"/>
          <w:szCs w:val="24"/>
          <w:lang w:val="en-US"/>
        </w:rPr>
        <w:tab/>
      </w:r>
      <w:r w:rsidR="005E69E9" w:rsidRPr="008C28EB">
        <w:rPr>
          <w:rFonts w:ascii="Times New Roman" w:eastAsia="Times New Roman" w:hAnsi="Times New Roman"/>
          <w:sz w:val="24"/>
          <w:szCs w:val="24"/>
          <w:lang w:val="en-US"/>
        </w:rPr>
        <w:tab/>
      </w:r>
      <w:r w:rsidR="005E69E9" w:rsidRPr="008C28EB">
        <w:rPr>
          <w:rFonts w:ascii="Times New Roman" w:eastAsia="Times New Roman" w:hAnsi="Times New Roman"/>
          <w:sz w:val="24"/>
          <w:szCs w:val="24"/>
          <w:lang w:val="en-US"/>
        </w:rPr>
        <w:tab/>
      </w:r>
      <w:r w:rsidR="00494517" w:rsidRPr="008C28EB">
        <w:rPr>
          <w:rFonts w:ascii="Times New Roman" w:eastAsia="Times New Roman" w:hAnsi="Times New Roman"/>
          <w:sz w:val="24"/>
          <w:szCs w:val="24"/>
          <w:lang w:val="en-US"/>
        </w:rPr>
        <w:t xml:space="preserve">            </w:t>
      </w:r>
      <w:r w:rsidR="005E69E9" w:rsidRPr="008C28EB">
        <w:rPr>
          <w:rFonts w:ascii="Times New Roman" w:eastAsia="Times New Roman" w:hAnsi="Times New Roman"/>
          <w:sz w:val="24"/>
          <w:szCs w:val="24"/>
          <w:lang w:val="en-US"/>
        </w:rPr>
        <w:t>(2)</w:t>
      </w:r>
    </w:p>
    <w:p w14:paraId="197C1116" w14:textId="752B2A2F" w:rsidR="00971257" w:rsidRPr="008C28EB" w:rsidRDefault="00617096" w:rsidP="00C25996">
      <w:pPr>
        <w:spacing w:after="120" w:line="48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Providing that </w:t>
      </w:r>
      <w:r w:rsidRPr="008C28EB">
        <w:rPr>
          <w:rFonts w:ascii="Times New Roman" w:eastAsia="Times New Roman" w:hAnsi="Times New Roman"/>
          <w:sz w:val="24"/>
          <w:szCs w:val="24"/>
          <w:lang w:val="en-US"/>
        </w:rPr>
        <w:t>CAR</w:t>
      </w:r>
      <w:r w:rsidRPr="008C28EB">
        <w:rPr>
          <w:rFonts w:ascii="Times New Roman" w:eastAsia="Times New Roman" w:hAnsi="Times New Roman"/>
          <w:sz w:val="24"/>
          <w:szCs w:val="24"/>
          <w:vertAlign w:val="superscript"/>
          <w:lang w:val="en-US"/>
        </w:rPr>
        <w:t>α</w:t>
      </w:r>
      <w:r>
        <w:rPr>
          <w:rFonts w:ascii="Times New Roman" w:eastAsia="Times New Roman" w:hAnsi="Times New Roman"/>
          <w:sz w:val="24"/>
          <w:szCs w:val="24"/>
          <w:vertAlign w:val="superscript"/>
          <w:lang w:val="en-US"/>
        </w:rPr>
        <w:t xml:space="preserve"> </w:t>
      </w:r>
      <w:r>
        <w:rPr>
          <w:rFonts w:ascii="Times New Roman" w:eastAsia="Times New Roman" w:hAnsi="Times New Roman"/>
          <w:sz w:val="24"/>
          <w:szCs w:val="24"/>
          <w:lang w:val="en-US"/>
        </w:rPr>
        <w:t>is a reasonable proxy for the expected gap yields</w:t>
      </w:r>
      <w:r w:rsidR="001A3714" w:rsidRPr="008C28EB">
        <w:rPr>
          <w:rFonts w:ascii="Times New Roman" w:eastAsia="Times New Roman" w:hAnsi="Times New Roman"/>
          <w:sz w:val="24"/>
          <w:szCs w:val="24"/>
          <w:lang w:val="en-US"/>
        </w:rPr>
        <w:t xml:space="preserve"> </w:t>
      </w:r>
      <w:r w:rsidR="00766B19" w:rsidRPr="008C28EB">
        <w:rPr>
          <w:rFonts w:ascii="Times New Roman" w:eastAsia="Times New Roman" w:hAnsi="Times New Roman"/>
          <w:sz w:val="24"/>
          <w:szCs w:val="24"/>
          <w:lang w:val="en-US"/>
        </w:rPr>
        <w:t>the following model:</w:t>
      </w:r>
    </w:p>
    <w:p w14:paraId="47A848A4" w14:textId="77777777" w:rsidR="00766B19" w:rsidRPr="008C28EB" w:rsidRDefault="00922010" w:rsidP="00C25996">
      <w:pPr>
        <w:spacing w:after="120" w:line="480" w:lineRule="auto"/>
        <w:jc w:val="both"/>
        <w:rPr>
          <w:rFonts w:ascii="Times New Roman" w:eastAsia="Times New Roman" w:hAnsi="Times New Roman"/>
          <w:sz w:val="24"/>
          <w:szCs w:val="24"/>
          <w:lang w:val="en-US"/>
        </w:rPr>
      </w:pPr>
      <m:oMath>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CAR</m:t>
            </m:r>
          </m:e>
          <m:sub>
            <m:r>
              <w:rPr>
                <w:rFonts w:ascii="Cambria Math" w:eastAsia="Times New Roman" w:hAnsi="Cambria Math"/>
                <w:sz w:val="24"/>
                <w:szCs w:val="24"/>
                <w:lang w:val="en-US"/>
              </w:rPr>
              <m:t>i</m:t>
            </m:r>
          </m:sub>
          <m:sup>
            <m:r>
              <w:rPr>
                <w:rFonts w:ascii="Cambria Math" w:eastAsia="Times New Roman" w:hAnsi="Cambria Math"/>
                <w:sz w:val="24"/>
                <w:szCs w:val="24"/>
                <w:lang w:val="en-US"/>
              </w:rPr>
              <m:t>r</m:t>
            </m:r>
          </m:sup>
        </m:sSubSup>
        <m:r>
          <w:rPr>
            <w:rFonts w:ascii="Cambria Math" w:eastAsia="Times New Roman" w:hAnsi="Cambria Math"/>
            <w:sz w:val="24"/>
            <w:szCs w:val="24"/>
            <w:lang w:val="en-US"/>
          </w:rPr>
          <m:t xml:space="preserve">= </m:t>
        </m:r>
        <m:sSub>
          <m:sSubPr>
            <m:ctrlPr>
              <w:rPr>
                <w:rFonts w:ascii="Cambria Math" w:eastAsia="Times New Roman" w:hAnsi="Cambria Math"/>
                <w:i/>
                <w:sz w:val="24"/>
                <w:szCs w:val="24"/>
                <w:lang w:val="en-US"/>
              </w:rPr>
            </m:ctrlPr>
          </m:sSubPr>
          <m:e>
            <m:acc>
              <m:accPr>
                <m:ctrlPr>
                  <w:rPr>
                    <w:rFonts w:ascii="Cambria Math" w:eastAsia="Times New Roman" w:hAnsi="Cambria Math"/>
                    <w:i/>
                    <w:sz w:val="24"/>
                    <w:szCs w:val="24"/>
                    <w:lang w:val="en-US"/>
                  </w:rPr>
                </m:ctrlPr>
              </m:accPr>
              <m:e>
                <m:r>
                  <w:rPr>
                    <w:rFonts w:ascii="Cambria Math" w:eastAsia="Times New Roman" w:hAnsi="Cambria Math"/>
                    <w:sz w:val="24"/>
                    <w:szCs w:val="24"/>
                    <w:lang w:val="en-US"/>
                  </w:rPr>
                  <m:t>μ</m:t>
                </m:r>
              </m:e>
            </m:acc>
          </m:e>
          <m:sub>
            <m:r>
              <w:rPr>
                <w:rFonts w:ascii="Cambria Math" w:eastAsia="Times New Roman" w:hAnsi="Cambria Math"/>
                <w:sz w:val="24"/>
                <w:szCs w:val="24"/>
                <w:lang w:val="en-US"/>
              </w:rPr>
              <m:t>0</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acc>
              <m:accPr>
                <m:ctrlPr>
                  <w:rPr>
                    <w:rFonts w:ascii="Cambria Math" w:eastAsia="Times New Roman" w:hAnsi="Cambria Math"/>
                    <w:i/>
                    <w:sz w:val="24"/>
                    <w:szCs w:val="24"/>
                    <w:lang w:val="en-US"/>
                  </w:rPr>
                </m:ctrlPr>
              </m:accPr>
              <m:e>
                <m:r>
                  <w:rPr>
                    <w:rFonts w:ascii="Cambria Math" w:eastAsia="Times New Roman" w:hAnsi="Cambria Math"/>
                    <w:sz w:val="24"/>
                    <w:szCs w:val="24"/>
                    <w:lang w:val="en-US"/>
                  </w:rPr>
                  <m:t>γ</m:t>
                </m:r>
              </m:e>
            </m:acc>
          </m:e>
          <m:sub>
            <m:r>
              <w:rPr>
                <w:rFonts w:ascii="Cambria Math" w:eastAsia="Times New Roman" w:hAnsi="Cambria Math"/>
                <w:sz w:val="24"/>
                <w:szCs w:val="24"/>
                <w:lang w:val="en-US"/>
              </w:rPr>
              <m:t>1</m:t>
            </m:r>
          </m:sub>
        </m:sSub>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GAP</m:t>
            </m:r>
          </m:e>
          <m:sub>
            <m:r>
              <w:rPr>
                <w:rFonts w:ascii="Cambria Math" w:eastAsia="Times New Roman" w:hAnsi="Cambria Math"/>
                <w:sz w:val="24"/>
                <w:szCs w:val="24"/>
                <w:lang w:val="en-US"/>
              </w:rPr>
              <m:t>i</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acc>
              <m:accPr>
                <m:ctrlPr>
                  <w:rPr>
                    <w:rFonts w:ascii="Cambria Math" w:eastAsia="Times New Roman" w:hAnsi="Cambria Math"/>
                    <w:i/>
                    <w:sz w:val="24"/>
                    <w:szCs w:val="24"/>
                    <w:lang w:val="en-US"/>
                  </w:rPr>
                </m:ctrlPr>
              </m:accPr>
              <m:e>
                <m:r>
                  <w:rPr>
                    <w:rFonts w:ascii="Cambria Math" w:eastAsia="Times New Roman" w:hAnsi="Cambria Math"/>
                    <w:sz w:val="24"/>
                    <w:szCs w:val="24"/>
                    <w:lang w:val="en-US"/>
                  </w:rPr>
                  <m:t>γ</m:t>
                </m:r>
              </m:e>
            </m:acc>
          </m:e>
          <m:sub>
            <m:r>
              <w:rPr>
                <w:rFonts w:ascii="Cambria Math" w:eastAsia="Times New Roman" w:hAnsi="Cambria Math"/>
                <w:sz w:val="24"/>
                <w:szCs w:val="24"/>
                <w:lang w:val="en-US"/>
              </w:rPr>
              <m:t>2</m:t>
            </m:r>
          </m:sub>
        </m:sSub>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CAR</m:t>
            </m:r>
          </m:e>
          <m:sub>
            <m:r>
              <w:rPr>
                <w:rFonts w:ascii="Cambria Math" w:eastAsia="Times New Roman" w:hAnsi="Cambria Math"/>
                <w:sz w:val="24"/>
                <w:szCs w:val="24"/>
                <w:lang w:val="en-US"/>
              </w:rPr>
              <m:t>i</m:t>
            </m:r>
          </m:sub>
          <m:sup>
            <m:r>
              <w:rPr>
                <w:rFonts w:ascii="Cambria Math" w:eastAsia="Times New Roman" w:hAnsi="Cambria Math"/>
                <w:sz w:val="24"/>
                <w:szCs w:val="24"/>
                <w:lang w:val="en-US"/>
              </w:rPr>
              <m:t>α</m:t>
            </m:r>
          </m:sup>
        </m:sSubSup>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η</m:t>
            </m:r>
          </m:e>
          <m:sub>
            <m:r>
              <w:rPr>
                <w:rFonts w:ascii="Cambria Math" w:eastAsia="Times New Roman" w:hAnsi="Cambria Math"/>
                <w:sz w:val="24"/>
                <w:szCs w:val="24"/>
                <w:lang w:val="en-US"/>
              </w:rPr>
              <m:t>i</m:t>
            </m:r>
          </m:sub>
        </m:sSub>
      </m:oMath>
      <w:r w:rsidR="00480A86" w:rsidRPr="008C28EB">
        <w:rPr>
          <w:rFonts w:ascii="Times New Roman" w:eastAsia="Times New Roman" w:hAnsi="Times New Roman"/>
          <w:sz w:val="24"/>
          <w:szCs w:val="24"/>
          <w:lang w:val="en-US"/>
        </w:rPr>
        <w:tab/>
      </w:r>
      <w:r w:rsidR="00480A86" w:rsidRPr="008C28EB">
        <w:rPr>
          <w:rFonts w:ascii="Times New Roman" w:eastAsia="Times New Roman" w:hAnsi="Times New Roman"/>
          <w:sz w:val="24"/>
          <w:szCs w:val="24"/>
          <w:lang w:val="en-US"/>
        </w:rPr>
        <w:tab/>
      </w:r>
      <w:r w:rsidR="00480A86" w:rsidRPr="008C28EB">
        <w:rPr>
          <w:rFonts w:ascii="Times New Roman" w:eastAsia="Times New Roman" w:hAnsi="Times New Roman"/>
          <w:sz w:val="24"/>
          <w:szCs w:val="24"/>
          <w:lang w:val="en-US"/>
        </w:rPr>
        <w:tab/>
      </w:r>
      <w:r w:rsidR="00480A86" w:rsidRPr="008C28EB">
        <w:rPr>
          <w:rFonts w:ascii="Times New Roman" w:eastAsia="Times New Roman" w:hAnsi="Times New Roman"/>
          <w:sz w:val="24"/>
          <w:szCs w:val="24"/>
          <w:lang w:val="en-US"/>
        </w:rPr>
        <w:tab/>
      </w:r>
      <w:r w:rsidR="00480A86" w:rsidRPr="008C28EB">
        <w:rPr>
          <w:rFonts w:ascii="Times New Roman" w:eastAsia="Times New Roman" w:hAnsi="Times New Roman"/>
          <w:sz w:val="24"/>
          <w:szCs w:val="24"/>
          <w:lang w:val="en-US"/>
        </w:rPr>
        <w:tab/>
      </w:r>
      <w:r w:rsidR="00480A86" w:rsidRPr="008C28EB">
        <w:rPr>
          <w:rFonts w:ascii="Times New Roman" w:eastAsia="Times New Roman" w:hAnsi="Times New Roman"/>
          <w:sz w:val="24"/>
          <w:szCs w:val="24"/>
          <w:lang w:val="en-US"/>
        </w:rPr>
        <w:tab/>
        <w:t>(</w:t>
      </w:r>
      <w:r w:rsidR="00F10901" w:rsidRPr="008C28EB">
        <w:rPr>
          <w:rFonts w:ascii="Times New Roman" w:eastAsia="Times New Roman" w:hAnsi="Times New Roman"/>
          <w:sz w:val="24"/>
          <w:szCs w:val="24"/>
          <w:lang w:val="en-US"/>
        </w:rPr>
        <w:t>3</w:t>
      </w:r>
      <w:r w:rsidR="00480A86" w:rsidRPr="008C28EB">
        <w:rPr>
          <w:rFonts w:ascii="Times New Roman" w:eastAsia="Times New Roman" w:hAnsi="Times New Roman"/>
          <w:sz w:val="24"/>
          <w:szCs w:val="24"/>
          <w:lang w:val="en-US"/>
        </w:rPr>
        <w:t>)</w:t>
      </w:r>
    </w:p>
    <w:p w14:paraId="1DF798A4" w14:textId="0D76D30D" w:rsidR="00766B19" w:rsidRPr="008C28EB" w:rsidRDefault="00480A86" w:rsidP="00C25996">
      <w:pPr>
        <w:spacing w:after="120" w:line="480" w:lineRule="auto"/>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lastRenderedPageBreak/>
        <w:t>where CAR</w:t>
      </w:r>
      <w:r w:rsidRPr="008C28EB">
        <w:rPr>
          <w:rFonts w:ascii="Times New Roman" w:eastAsia="Times New Roman" w:hAnsi="Times New Roman"/>
          <w:sz w:val="24"/>
          <w:szCs w:val="24"/>
          <w:vertAlign w:val="superscript"/>
          <w:lang w:val="en-US"/>
        </w:rPr>
        <w:t xml:space="preserve">r </w:t>
      </w:r>
      <w:r w:rsidRPr="008C28EB">
        <w:rPr>
          <w:rFonts w:ascii="Times New Roman" w:eastAsia="Times New Roman" w:hAnsi="Times New Roman"/>
          <w:sz w:val="24"/>
          <w:szCs w:val="24"/>
          <w:lang w:val="en-US"/>
        </w:rPr>
        <w:t>is the market reaction for the i-th bank at the announcement of results, GAP is the capital shortfall result</w:t>
      </w:r>
      <w:r w:rsidR="00A96223" w:rsidRPr="008C28EB">
        <w:rPr>
          <w:rFonts w:ascii="Times New Roman" w:eastAsia="Times New Roman" w:hAnsi="Times New Roman"/>
          <w:sz w:val="24"/>
          <w:szCs w:val="24"/>
          <w:lang w:val="en-US"/>
        </w:rPr>
        <w:t>ing</w:t>
      </w:r>
      <w:r w:rsidRPr="008C28EB">
        <w:rPr>
          <w:rFonts w:ascii="Times New Roman" w:eastAsia="Times New Roman" w:hAnsi="Times New Roman"/>
          <w:sz w:val="24"/>
          <w:szCs w:val="24"/>
          <w:lang w:val="en-US"/>
        </w:rPr>
        <w:t xml:space="preserve"> from the CA</w:t>
      </w:r>
      <w:r w:rsidR="005E69E9" w:rsidRPr="008C28EB">
        <w:rPr>
          <w:rFonts w:ascii="Times New Roman" w:eastAsia="Times New Roman" w:hAnsi="Times New Roman"/>
          <w:sz w:val="24"/>
          <w:szCs w:val="24"/>
          <w:lang w:val="en-US"/>
        </w:rPr>
        <w:t xml:space="preserve">, </w:t>
      </w:r>
      <m:oMath>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γ</m:t>
            </m:r>
          </m:e>
          <m:sub>
            <m:r>
              <w:rPr>
                <w:rFonts w:ascii="Cambria Math" w:eastAsia="Times New Roman" w:hAnsi="Cambria Math"/>
                <w:sz w:val="24"/>
                <w:szCs w:val="24"/>
                <w:lang w:val="en-US"/>
              </w:rPr>
              <m:t>2</m:t>
            </m:r>
          </m:sub>
        </m:sSub>
        <m:r>
          <w:rPr>
            <w:rFonts w:ascii="Cambria Math" w:eastAsia="Times New Roman" w:hAnsi="Cambria Math"/>
            <w:sz w:val="24"/>
            <w:szCs w:val="24"/>
            <w:lang w:val="en-US"/>
          </w:rPr>
          <m:t xml:space="preserve"> </m:t>
        </m:r>
      </m:oMath>
      <w:r w:rsidR="00F10901" w:rsidRPr="008C28EB">
        <w:rPr>
          <w:rFonts w:ascii="Times New Roman" w:eastAsia="Times New Roman" w:hAnsi="Times New Roman"/>
          <w:sz w:val="24"/>
          <w:szCs w:val="24"/>
          <w:lang w:val="en-US"/>
        </w:rPr>
        <w:t xml:space="preserve">is </w:t>
      </w:r>
      <w:r w:rsidR="00126D9D" w:rsidRPr="008C28EB">
        <w:rPr>
          <w:rFonts w:ascii="Times New Roman" w:eastAsia="Times New Roman" w:hAnsi="Times New Roman"/>
          <w:sz w:val="24"/>
          <w:szCs w:val="24"/>
          <w:lang w:val="en-US"/>
        </w:rPr>
        <w:t xml:space="preserve">the product of </w:t>
      </w:r>
      <m:oMath>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γ</m:t>
            </m:r>
          </m:e>
          <m:sub>
            <m:r>
              <w:rPr>
                <w:rFonts w:ascii="Cambria Math" w:eastAsia="Times New Roman" w:hAnsi="Cambria Math"/>
                <w:sz w:val="24"/>
                <w:szCs w:val="24"/>
                <w:lang w:val="en-US"/>
              </w:rPr>
              <m:t>1</m:t>
            </m:r>
          </m:sub>
        </m:sSub>
      </m:oMath>
      <w:r w:rsidRPr="008C28EB">
        <w:rPr>
          <w:rFonts w:ascii="Times New Roman" w:eastAsia="Times New Roman" w:hAnsi="Times New Roman"/>
          <w:sz w:val="24"/>
          <w:szCs w:val="24"/>
          <w:lang w:val="en-US"/>
        </w:rPr>
        <w:t xml:space="preserve">and </w:t>
      </w:r>
      <m:oMath>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-δ</m:t>
            </m:r>
          </m:e>
          <m:sub>
            <m:r>
              <w:rPr>
                <w:rFonts w:ascii="Cambria Math" w:eastAsia="Times New Roman" w:hAnsi="Cambria Math"/>
                <w:sz w:val="24"/>
                <w:szCs w:val="24"/>
                <w:lang w:val="en-US"/>
              </w:rPr>
              <m:t>1</m:t>
            </m:r>
          </m:sub>
        </m:sSub>
      </m:oMath>
      <w:r w:rsidR="00126D9D" w:rsidRPr="008C28EB">
        <w:rPr>
          <w:rFonts w:ascii="Times New Roman" w:eastAsia="Times New Roman" w:hAnsi="Times New Roman"/>
          <w:sz w:val="24"/>
          <w:szCs w:val="24"/>
          <w:lang w:val="en-US"/>
        </w:rPr>
        <w:t xml:space="preserve"> and </w:t>
      </w:r>
      <w:r w:rsidRPr="008C28EB">
        <w:rPr>
          <w:rFonts w:ascii="Times New Roman" w:eastAsia="Times New Roman" w:hAnsi="Times New Roman"/>
          <w:sz w:val="24"/>
          <w:szCs w:val="24"/>
          <w:lang w:val="en-US"/>
        </w:rPr>
        <w:t>CAR</w:t>
      </w:r>
      <w:r w:rsidRPr="008C28EB">
        <w:rPr>
          <w:rFonts w:ascii="Times New Roman" w:eastAsia="Times New Roman" w:hAnsi="Times New Roman"/>
          <w:sz w:val="24"/>
          <w:szCs w:val="24"/>
          <w:vertAlign w:val="superscript"/>
          <w:lang w:val="en-US"/>
        </w:rPr>
        <w:t>α</w:t>
      </w:r>
      <w:r w:rsidR="00C72A98" w:rsidRPr="008C28EB">
        <w:rPr>
          <w:rFonts w:ascii="Times New Roman" w:eastAsia="Times New Roman" w:hAnsi="Times New Roman"/>
          <w:sz w:val="24"/>
          <w:szCs w:val="24"/>
          <w:vertAlign w:val="superscript"/>
          <w:lang w:val="en-US"/>
        </w:rPr>
        <w:t xml:space="preserve"> </w:t>
      </w:r>
      <w:r w:rsidR="0092223E" w:rsidRPr="008C28EB">
        <w:rPr>
          <w:rFonts w:ascii="Times New Roman" w:eastAsia="Times New Roman" w:hAnsi="Times New Roman"/>
          <w:sz w:val="24"/>
          <w:szCs w:val="24"/>
          <w:lang w:val="en-US"/>
        </w:rPr>
        <w:t>is the market reaction at the announcement of the procedure</w:t>
      </w:r>
      <w:r w:rsidRPr="008C28EB">
        <w:rPr>
          <w:rFonts w:ascii="Times New Roman" w:eastAsia="Times New Roman" w:hAnsi="Times New Roman"/>
          <w:sz w:val="24"/>
          <w:szCs w:val="24"/>
          <w:lang w:val="en-US"/>
        </w:rPr>
        <w:t>.</w:t>
      </w:r>
      <w:r w:rsidR="00126D9D" w:rsidRPr="008C28EB">
        <w:rPr>
          <w:rFonts w:ascii="Times New Roman" w:eastAsia="Times New Roman" w:hAnsi="Times New Roman"/>
          <w:sz w:val="24"/>
          <w:szCs w:val="24"/>
          <w:lang w:val="en-US"/>
        </w:rPr>
        <w:t xml:space="preserve"> As illustrated in Equation (3)</w:t>
      </w:r>
      <w:r w:rsidR="002843EC" w:rsidRPr="008C28EB">
        <w:rPr>
          <w:rFonts w:ascii="Times New Roman" w:eastAsia="Times New Roman" w:hAnsi="Times New Roman"/>
          <w:sz w:val="24"/>
          <w:szCs w:val="24"/>
          <w:lang w:val="en-US"/>
        </w:rPr>
        <w:t>,</w:t>
      </w:r>
      <w:r w:rsidR="00126D9D" w:rsidRPr="008C28EB">
        <w:rPr>
          <w:rFonts w:ascii="Times New Roman" w:eastAsia="Times New Roman" w:hAnsi="Times New Roman"/>
          <w:sz w:val="24"/>
          <w:szCs w:val="24"/>
          <w:lang w:val="en-US"/>
        </w:rPr>
        <w:t xml:space="preserve"> if </w:t>
      </w:r>
      <w:r w:rsidR="002A26AC" w:rsidRPr="008C28EB">
        <w:rPr>
          <w:rFonts w:ascii="Times New Roman" w:eastAsia="Times New Roman" w:hAnsi="Times New Roman"/>
          <w:sz w:val="24"/>
          <w:szCs w:val="24"/>
          <w:lang w:val="en-US"/>
        </w:rPr>
        <w:t xml:space="preserve">investors negatively react to the difference between the declared and the expected gap, </w:t>
      </w:r>
      <w:r w:rsidR="00B4003C" w:rsidRPr="008C28EB">
        <w:rPr>
          <w:rFonts w:ascii="Times New Roman" w:eastAsia="Times New Roman" w:hAnsi="Times New Roman"/>
          <w:sz w:val="24"/>
          <w:szCs w:val="24"/>
          <w:lang w:val="en-US"/>
        </w:rPr>
        <w:t xml:space="preserve">the coefficient for GAP and </w:t>
      </w:r>
      <w:r w:rsidR="00B4003C" w:rsidRPr="008C28EB">
        <w:rPr>
          <w:rFonts w:ascii="Times New Roman" w:eastAsia="Times New Roman" w:hAnsi="Times New Roman"/>
          <w:sz w:val="24"/>
          <w:szCs w:val="24"/>
          <w:lang w:val="en-US"/>
        </w:rPr>
        <w:t>CAR</w:t>
      </w:r>
      <w:r w:rsidR="00B4003C" w:rsidRPr="008C28EB">
        <w:rPr>
          <w:rFonts w:ascii="Times New Roman" w:eastAsia="Times New Roman" w:hAnsi="Times New Roman"/>
          <w:sz w:val="24"/>
          <w:szCs w:val="24"/>
          <w:vertAlign w:val="superscript"/>
          <w:lang w:val="en-US"/>
        </w:rPr>
        <w:t>α</w:t>
      </w:r>
      <w:r w:rsidR="00617096">
        <w:rPr>
          <w:rFonts w:ascii="Times New Roman" w:eastAsia="Times New Roman" w:hAnsi="Times New Roman"/>
          <w:sz w:val="24"/>
          <w:szCs w:val="24"/>
          <w:vertAlign w:val="superscript"/>
          <w:lang w:val="en-US"/>
        </w:rPr>
        <w:t xml:space="preserve"> </w:t>
      </w:r>
      <w:r w:rsidR="00126D9D" w:rsidRPr="008C28EB">
        <w:rPr>
          <w:rFonts w:ascii="Times New Roman" w:eastAsia="Times New Roman" w:hAnsi="Times New Roman"/>
          <w:sz w:val="24"/>
          <w:szCs w:val="24"/>
          <w:lang w:val="en-US"/>
        </w:rPr>
        <w:t xml:space="preserve">will be both </w:t>
      </w:r>
      <w:r w:rsidR="002A26AC" w:rsidRPr="008C28EB">
        <w:rPr>
          <w:rFonts w:ascii="Times New Roman" w:eastAsia="Times New Roman" w:hAnsi="Times New Roman"/>
          <w:sz w:val="24"/>
          <w:szCs w:val="24"/>
          <w:lang w:val="en-US"/>
        </w:rPr>
        <w:t>negative.</w:t>
      </w:r>
      <w:r w:rsidR="00C72A98" w:rsidRPr="008C28EB">
        <w:rPr>
          <w:rFonts w:ascii="Times New Roman" w:eastAsia="Times New Roman" w:hAnsi="Times New Roman"/>
          <w:sz w:val="24"/>
          <w:szCs w:val="24"/>
          <w:lang w:val="en-US"/>
        </w:rPr>
        <w:t xml:space="preserve"> </w:t>
      </w:r>
      <w:r w:rsidR="00126D9D" w:rsidRPr="008C28EB">
        <w:rPr>
          <w:rFonts w:ascii="Times New Roman" w:eastAsia="Times New Roman" w:hAnsi="Times New Roman"/>
          <w:sz w:val="24"/>
          <w:szCs w:val="24"/>
          <w:lang w:val="en-US"/>
        </w:rPr>
        <w:t xml:space="preserve">The difference with </w:t>
      </w:r>
      <w:r w:rsidR="006E4244" w:rsidRPr="008C28EB">
        <w:rPr>
          <w:rFonts w:ascii="Times New Roman" w:eastAsia="Times New Roman" w:hAnsi="Times New Roman"/>
          <w:sz w:val="24"/>
          <w:szCs w:val="24"/>
          <w:lang w:val="en-US"/>
        </w:rPr>
        <w:t>Morgan et al. (2014)</w:t>
      </w:r>
      <w:r w:rsidR="00126D9D" w:rsidRPr="008C28EB">
        <w:rPr>
          <w:rFonts w:ascii="Times New Roman" w:eastAsia="Times New Roman" w:hAnsi="Times New Roman"/>
          <w:sz w:val="24"/>
          <w:szCs w:val="24"/>
          <w:lang w:val="en-US"/>
        </w:rPr>
        <w:t xml:space="preserve"> is apparent as in our case the expected sign for </w:t>
      </w:r>
      <w:r w:rsidR="00B4003C" w:rsidRPr="008C28EB">
        <w:rPr>
          <w:rFonts w:ascii="Times New Roman" w:eastAsia="Times New Roman" w:hAnsi="Times New Roman"/>
          <w:sz w:val="24"/>
          <w:szCs w:val="24"/>
          <w:lang w:val="en-US"/>
        </w:rPr>
        <w:t xml:space="preserve"> </w:t>
      </w:r>
      <w:r w:rsidR="00B4003C" w:rsidRPr="008C28EB">
        <w:rPr>
          <w:rFonts w:ascii="Times New Roman" w:eastAsia="Times New Roman" w:hAnsi="Times New Roman"/>
          <w:sz w:val="24"/>
          <w:szCs w:val="24"/>
          <w:lang w:val="en-US"/>
        </w:rPr>
        <w:t>CAR</w:t>
      </w:r>
      <w:r w:rsidR="00B4003C" w:rsidRPr="008C28EB">
        <w:rPr>
          <w:rFonts w:ascii="Times New Roman" w:eastAsia="Times New Roman" w:hAnsi="Times New Roman"/>
          <w:sz w:val="24"/>
          <w:szCs w:val="24"/>
          <w:vertAlign w:val="superscript"/>
          <w:lang w:val="en-US"/>
        </w:rPr>
        <w:t>α</w:t>
      </w:r>
      <w:r w:rsidR="00B4003C" w:rsidRPr="008C28EB">
        <w:rPr>
          <w:rFonts w:ascii="Times New Roman" w:eastAsia="Times New Roman" w:hAnsi="Times New Roman"/>
          <w:sz w:val="24"/>
          <w:szCs w:val="24"/>
          <w:vertAlign w:val="subscript"/>
          <w:lang w:val="en-US"/>
        </w:rPr>
        <w:t xml:space="preserve"> </w:t>
      </w:r>
      <w:r w:rsidR="00126D9D" w:rsidRPr="008C28EB">
        <w:rPr>
          <w:rFonts w:ascii="Times New Roman" w:eastAsia="Times New Roman" w:hAnsi="Times New Roman"/>
          <w:sz w:val="24"/>
          <w:szCs w:val="24"/>
          <w:lang w:val="en-US"/>
        </w:rPr>
        <w:t xml:space="preserve">is negative because of the </w:t>
      </w:r>
      <w:r w:rsidR="006E4244" w:rsidRPr="008C28EB">
        <w:rPr>
          <w:rFonts w:ascii="Times New Roman" w:eastAsia="Times New Roman" w:hAnsi="Times New Roman"/>
          <w:sz w:val="24"/>
          <w:szCs w:val="24"/>
          <w:lang w:val="en-US"/>
        </w:rPr>
        <w:t>negative</w:t>
      </w:r>
      <w:r w:rsidR="00126D9D" w:rsidRPr="008C28EB">
        <w:rPr>
          <w:rFonts w:ascii="Times New Roman" w:eastAsia="Times New Roman" w:hAnsi="Times New Roman"/>
          <w:sz w:val="24"/>
          <w:szCs w:val="24"/>
          <w:lang w:val="en-US"/>
        </w:rPr>
        <w:t xml:space="preserve"> relation (-</w:t>
      </w:r>
      <w:r w:rsidR="006E4244" w:rsidRPr="008C28EB">
        <w:rPr>
          <w:rFonts w:ascii="Times New Roman" w:eastAsia="Times New Roman" w:hAnsi="Times New Roman"/>
          <w:sz w:val="24"/>
          <w:szCs w:val="24"/>
          <w:lang w:val="en-US"/>
        </w:rPr>
        <w:t>δ</w:t>
      </w:r>
      <w:r w:rsidR="006E4244" w:rsidRPr="008C28EB">
        <w:rPr>
          <w:rFonts w:ascii="Times New Roman" w:eastAsia="Times New Roman" w:hAnsi="Times New Roman"/>
          <w:sz w:val="24"/>
          <w:szCs w:val="24"/>
          <w:vertAlign w:val="subscript"/>
          <w:lang w:val="en-US"/>
        </w:rPr>
        <w:t>1</w:t>
      </w:r>
      <w:r w:rsidR="00126D9D" w:rsidRPr="008C28EB">
        <w:rPr>
          <w:rFonts w:ascii="Times New Roman" w:eastAsia="Times New Roman" w:hAnsi="Times New Roman"/>
          <w:sz w:val="24"/>
          <w:szCs w:val="24"/>
          <w:lang w:val="en-US"/>
        </w:rPr>
        <w:t xml:space="preserve">) between </w:t>
      </w:r>
      <m:oMath>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CAR</m:t>
            </m:r>
          </m:e>
          <m:sub>
            <m:r>
              <w:rPr>
                <w:rFonts w:ascii="Cambria Math" w:eastAsia="Times New Roman" w:hAnsi="Cambria Math"/>
                <w:sz w:val="24"/>
                <w:szCs w:val="24"/>
                <w:lang w:val="en-US"/>
              </w:rPr>
              <m:t>i</m:t>
            </m:r>
          </m:sub>
          <m:sup>
            <m:r>
              <w:rPr>
                <w:rFonts w:ascii="Cambria Math" w:eastAsia="Times New Roman" w:hAnsi="Cambria Math"/>
                <w:sz w:val="24"/>
                <w:szCs w:val="24"/>
                <w:lang w:val="en-US"/>
              </w:rPr>
              <m:t>a</m:t>
            </m:r>
          </m:sup>
        </m:sSubSup>
      </m:oMath>
      <w:r w:rsidR="00126D9D" w:rsidRPr="008C28EB">
        <w:rPr>
          <w:rFonts w:ascii="Times New Roman" w:eastAsia="Times New Roman" w:hAnsi="Times New Roman"/>
          <w:sz w:val="24"/>
          <w:szCs w:val="24"/>
          <w:lang w:val="en-US"/>
        </w:rPr>
        <w:t xml:space="preserve"> and </w:t>
      </w:r>
      <m:oMath>
        <m:r>
          <w:rPr>
            <w:rFonts w:ascii="Cambria Math" w:eastAsia="Times New Roman" w:hAnsi="Cambria Math"/>
            <w:sz w:val="24"/>
            <w:szCs w:val="24"/>
            <w:lang w:val="en-US"/>
          </w:rPr>
          <m:t>E</m:t>
        </m:r>
        <m:d>
          <m:dPr>
            <m:ctrlPr>
              <w:rPr>
                <w:rFonts w:ascii="Cambria Math" w:eastAsia="Times New Roman" w:hAnsi="Cambria Math"/>
                <w:i/>
                <w:sz w:val="24"/>
                <w:szCs w:val="24"/>
                <w:lang w:val="en-US"/>
              </w:rPr>
            </m:ctrlPr>
          </m:d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GAP</m:t>
                </m:r>
              </m:e>
              <m:sub>
                <m:r>
                  <w:rPr>
                    <w:rFonts w:ascii="Cambria Math" w:eastAsia="Times New Roman" w:hAnsi="Cambria Math"/>
                    <w:sz w:val="24"/>
                    <w:szCs w:val="24"/>
                    <w:lang w:val="en-US"/>
                  </w:rPr>
                  <m:t>i</m:t>
                </m:r>
              </m:sub>
            </m:sSub>
          </m:e>
        </m:d>
      </m:oMath>
      <w:r w:rsidR="00126D9D" w:rsidRPr="008C28EB">
        <w:rPr>
          <w:rFonts w:ascii="Times New Roman" w:eastAsia="Times New Roman" w:hAnsi="Times New Roman"/>
          <w:sz w:val="24"/>
          <w:szCs w:val="24"/>
          <w:lang w:val="en-US"/>
        </w:rPr>
        <w:t xml:space="preserve">. Put differently, in our case </w:t>
      </w:r>
      <w:r w:rsidR="006E4244" w:rsidRPr="008C28EB">
        <w:rPr>
          <w:rFonts w:ascii="Times New Roman" w:eastAsia="Times New Roman" w:hAnsi="Times New Roman"/>
          <w:sz w:val="24"/>
          <w:szCs w:val="24"/>
          <w:lang w:val="en-US"/>
        </w:rPr>
        <w:t xml:space="preserve">the announcement of the CA </w:t>
      </w:r>
      <w:r w:rsidR="00126D9D" w:rsidRPr="008C28EB">
        <w:rPr>
          <w:rFonts w:ascii="Times New Roman" w:eastAsia="Times New Roman" w:hAnsi="Times New Roman"/>
          <w:sz w:val="24"/>
          <w:szCs w:val="24"/>
          <w:lang w:val="en-US"/>
        </w:rPr>
        <w:t xml:space="preserve">is </w:t>
      </w:r>
      <w:r w:rsidR="006E4244" w:rsidRPr="008C28EB">
        <w:rPr>
          <w:rFonts w:ascii="Times New Roman" w:eastAsia="Times New Roman" w:hAnsi="Times New Roman"/>
          <w:sz w:val="24"/>
          <w:szCs w:val="24"/>
          <w:lang w:val="en-US"/>
        </w:rPr>
        <w:t>bad news for weak banks, while</w:t>
      </w:r>
      <w:r w:rsidR="002843EC" w:rsidRPr="008C28EB">
        <w:rPr>
          <w:rFonts w:ascii="Times New Roman" w:eastAsia="Times New Roman" w:hAnsi="Times New Roman"/>
          <w:sz w:val="24"/>
          <w:szCs w:val="24"/>
          <w:lang w:val="en-US"/>
        </w:rPr>
        <w:t xml:space="preserve"> in</w:t>
      </w:r>
      <w:r w:rsidR="006E4244" w:rsidRPr="008C28EB">
        <w:rPr>
          <w:rFonts w:ascii="Times New Roman" w:eastAsia="Times New Roman" w:hAnsi="Times New Roman"/>
          <w:sz w:val="24"/>
          <w:szCs w:val="24"/>
          <w:lang w:val="en-US"/>
        </w:rPr>
        <w:t xml:space="preserve"> Morgan et al. (2014) </w:t>
      </w:r>
      <w:r w:rsidR="003154D5" w:rsidRPr="008C28EB">
        <w:rPr>
          <w:rFonts w:ascii="Times New Roman" w:eastAsia="Times New Roman" w:hAnsi="Times New Roman"/>
          <w:sz w:val="24"/>
          <w:szCs w:val="24"/>
          <w:lang w:val="en-US"/>
        </w:rPr>
        <w:t xml:space="preserve">the clarification date </w:t>
      </w:r>
      <w:r w:rsidR="00126D9D" w:rsidRPr="008C28EB">
        <w:rPr>
          <w:rFonts w:ascii="Times New Roman" w:eastAsia="Times New Roman" w:hAnsi="Times New Roman"/>
          <w:sz w:val="24"/>
          <w:szCs w:val="24"/>
          <w:lang w:val="en-US"/>
        </w:rPr>
        <w:t xml:space="preserve">is </w:t>
      </w:r>
      <w:r w:rsidR="003154D5" w:rsidRPr="008C28EB">
        <w:rPr>
          <w:rFonts w:ascii="Times New Roman" w:eastAsia="Times New Roman" w:hAnsi="Times New Roman"/>
          <w:sz w:val="24"/>
          <w:szCs w:val="24"/>
          <w:lang w:val="en-US"/>
        </w:rPr>
        <w:t>good news for weak banks</w:t>
      </w:r>
      <w:r w:rsidR="0092223E" w:rsidRPr="008C28EB">
        <w:rPr>
          <w:rFonts w:ascii="Times New Roman" w:eastAsia="Times New Roman" w:hAnsi="Times New Roman"/>
          <w:sz w:val="24"/>
          <w:szCs w:val="24"/>
          <w:lang w:val="en-US"/>
        </w:rPr>
        <w:t xml:space="preserve"> since </w:t>
      </w:r>
      <w:r w:rsidR="00126D9D" w:rsidRPr="008C28EB">
        <w:rPr>
          <w:rFonts w:ascii="Times New Roman" w:eastAsia="Times New Roman" w:hAnsi="Times New Roman"/>
          <w:sz w:val="24"/>
          <w:szCs w:val="24"/>
          <w:lang w:val="en-US"/>
        </w:rPr>
        <w:t xml:space="preserve">stock </w:t>
      </w:r>
      <w:r w:rsidR="0092223E" w:rsidRPr="008C28EB">
        <w:rPr>
          <w:rFonts w:ascii="Times New Roman" w:eastAsia="Times New Roman" w:hAnsi="Times New Roman"/>
          <w:sz w:val="24"/>
          <w:szCs w:val="24"/>
          <w:lang w:val="en-US"/>
        </w:rPr>
        <w:t xml:space="preserve">market </w:t>
      </w:r>
      <w:r w:rsidR="00126D9D" w:rsidRPr="008C28EB">
        <w:rPr>
          <w:rFonts w:ascii="Times New Roman" w:eastAsia="Times New Roman" w:hAnsi="Times New Roman"/>
          <w:sz w:val="24"/>
          <w:szCs w:val="24"/>
          <w:lang w:val="en-US"/>
        </w:rPr>
        <w:t xml:space="preserve">participants </w:t>
      </w:r>
      <w:r w:rsidR="0092223E" w:rsidRPr="008C28EB">
        <w:rPr>
          <w:rFonts w:ascii="Times New Roman" w:eastAsia="Times New Roman" w:hAnsi="Times New Roman"/>
          <w:sz w:val="24"/>
          <w:szCs w:val="24"/>
          <w:lang w:val="en-US"/>
        </w:rPr>
        <w:t>w</w:t>
      </w:r>
      <w:r w:rsidR="00126D9D" w:rsidRPr="008C28EB">
        <w:rPr>
          <w:rFonts w:ascii="Times New Roman" w:eastAsia="Times New Roman" w:hAnsi="Times New Roman"/>
          <w:sz w:val="24"/>
          <w:szCs w:val="24"/>
          <w:lang w:val="en-US"/>
        </w:rPr>
        <w:t>ere</w:t>
      </w:r>
      <w:r w:rsidR="0092223E" w:rsidRPr="008C28EB">
        <w:rPr>
          <w:rFonts w:ascii="Times New Roman" w:eastAsia="Times New Roman" w:hAnsi="Times New Roman"/>
          <w:sz w:val="24"/>
          <w:szCs w:val="24"/>
          <w:lang w:val="en-US"/>
        </w:rPr>
        <w:t xml:space="preserve"> reassured that gap banks would not be nationalized</w:t>
      </w:r>
      <w:r w:rsidR="00B80395" w:rsidRPr="008C28EB">
        <w:rPr>
          <w:rFonts w:ascii="Times New Roman" w:eastAsia="Times New Roman" w:hAnsi="Times New Roman"/>
          <w:sz w:val="24"/>
          <w:szCs w:val="24"/>
          <w:lang w:val="en-US"/>
        </w:rPr>
        <w:t>.</w:t>
      </w:r>
    </w:p>
    <w:p w14:paraId="3EA795FB" w14:textId="1F1830AF" w:rsidR="003154D5" w:rsidRPr="008C28EB" w:rsidRDefault="002A26AC" w:rsidP="00C25996">
      <w:pPr>
        <w:spacing w:after="120" w:line="480" w:lineRule="auto"/>
        <w:ind w:firstLine="709"/>
        <w:jc w:val="both"/>
        <w:rPr>
          <w:rFonts w:ascii="Times New Roman" w:eastAsia="Times New Roman" w:hAnsi="Times New Roman"/>
          <w:kern w:val="1"/>
          <w:sz w:val="24"/>
          <w:szCs w:val="24"/>
          <w:lang w:val="en-US"/>
        </w:rPr>
      </w:pPr>
      <w:r w:rsidRPr="008C28EB">
        <w:rPr>
          <w:rFonts w:ascii="Times New Roman" w:eastAsia="Times New Roman" w:hAnsi="Times New Roman"/>
          <w:kern w:val="1"/>
          <w:sz w:val="24"/>
          <w:szCs w:val="24"/>
          <w:lang w:val="en-US"/>
        </w:rPr>
        <w:t xml:space="preserve">Table </w:t>
      </w:r>
      <w:r w:rsidR="003A5414" w:rsidRPr="008C28EB">
        <w:rPr>
          <w:rFonts w:ascii="Times New Roman" w:eastAsia="Times New Roman" w:hAnsi="Times New Roman"/>
          <w:kern w:val="1"/>
          <w:sz w:val="24"/>
          <w:szCs w:val="24"/>
          <w:lang w:val="en-US"/>
        </w:rPr>
        <w:t>3</w:t>
      </w:r>
      <w:r w:rsidRPr="008C28EB">
        <w:rPr>
          <w:rFonts w:ascii="Times New Roman" w:eastAsia="Times New Roman" w:hAnsi="Times New Roman"/>
          <w:kern w:val="1"/>
          <w:sz w:val="24"/>
          <w:szCs w:val="24"/>
          <w:lang w:val="en-US"/>
        </w:rPr>
        <w:t xml:space="preserve"> reports results</w:t>
      </w:r>
      <w:r w:rsidR="00617096">
        <w:rPr>
          <w:rFonts w:ascii="Times New Roman" w:eastAsia="Times New Roman" w:hAnsi="Times New Roman"/>
          <w:kern w:val="1"/>
          <w:sz w:val="24"/>
          <w:szCs w:val="24"/>
          <w:lang w:val="en-US"/>
        </w:rPr>
        <w:t xml:space="preserve"> for estimating model (1) and (3</w:t>
      </w:r>
      <w:r w:rsidRPr="008C28EB">
        <w:rPr>
          <w:rFonts w:ascii="Times New Roman" w:eastAsia="Times New Roman" w:hAnsi="Times New Roman"/>
          <w:kern w:val="1"/>
          <w:sz w:val="24"/>
          <w:szCs w:val="24"/>
          <w:lang w:val="en-US"/>
        </w:rPr>
        <w:t xml:space="preserve">) using different event windows. </w:t>
      </w:r>
      <w:r w:rsidR="00714F68" w:rsidRPr="008C28EB">
        <w:rPr>
          <w:rFonts w:ascii="Times New Roman" w:eastAsia="Times New Roman" w:hAnsi="Times New Roman"/>
          <w:kern w:val="1"/>
          <w:sz w:val="24"/>
          <w:szCs w:val="24"/>
          <w:lang w:val="en-US"/>
        </w:rPr>
        <w:t xml:space="preserve">Results from equation (1), shown in Panel A, demonstrate that </w:t>
      </w:r>
      <w:r w:rsidR="00801955" w:rsidRPr="008C28EB">
        <w:rPr>
          <w:rFonts w:ascii="Times New Roman" w:eastAsia="Times New Roman" w:hAnsi="Times New Roman"/>
          <w:kern w:val="1"/>
          <w:sz w:val="24"/>
          <w:szCs w:val="24"/>
          <w:lang w:val="en-US"/>
        </w:rPr>
        <w:t>the capital shortfall registered for each bank</w:t>
      </w:r>
      <w:r w:rsidR="006E36BF" w:rsidRPr="008C28EB">
        <w:rPr>
          <w:rStyle w:val="Rimandonotaapidipagina"/>
          <w:rFonts w:ascii="Times New Roman" w:eastAsia="Times New Roman" w:hAnsi="Times New Roman"/>
          <w:kern w:val="1"/>
          <w:sz w:val="24"/>
          <w:szCs w:val="24"/>
        </w:rPr>
        <w:footnoteReference w:id="3"/>
      </w:r>
      <w:r w:rsidR="00801955" w:rsidRPr="008C28EB">
        <w:rPr>
          <w:rFonts w:ascii="Times New Roman" w:eastAsia="Times New Roman" w:hAnsi="Times New Roman"/>
          <w:kern w:val="1"/>
          <w:sz w:val="24"/>
          <w:szCs w:val="24"/>
          <w:lang w:val="en-US"/>
        </w:rPr>
        <w:t xml:space="preserve"> is negatively related to the </w:t>
      </w:r>
      <w:r w:rsidR="00714F68" w:rsidRPr="008C28EB">
        <w:rPr>
          <w:rFonts w:ascii="Times New Roman" w:eastAsia="Times New Roman" w:hAnsi="Times New Roman"/>
          <w:kern w:val="1"/>
          <w:sz w:val="24"/>
          <w:szCs w:val="24"/>
          <w:lang w:val="en-US"/>
        </w:rPr>
        <w:t xml:space="preserve">market reaction at the announcement date. The coefficient </w:t>
      </w:r>
      <w:r w:rsidR="00801955" w:rsidRPr="008C28EB">
        <w:rPr>
          <w:rFonts w:ascii="Times New Roman" w:eastAsia="Times New Roman" w:hAnsi="Times New Roman"/>
          <w:kern w:val="1"/>
          <w:sz w:val="24"/>
          <w:szCs w:val="24"/>
          <w:lang w:val="en-US"/>
        </w:rPr>
        <w:t>for CAR</w:t>
      </w:r>
      <w:r w:rsidR="00801955" w:rsidRPr="008C28EB">
        <w:rPr>
          <w:rFonts w:ascii="Times New Roman" w:eastAsia="Times New Roman" w:hAnsi="Times New Roman"/>
          <w:kern w:val="1"/>
          <w:sz w:val="24"/>
          <w:szCs w:val="24"/>
          <w:vertAlign w:val="superscript"/>
          <w:lang w:val="en-US"/>
        </w:rPr>
        <w:t>α</w:t>
      </w:r>
      <w:r w:rsidR="00C72A98" w:rsidRPr="008C28EB">
        <w:rPr>
          <w:rFonts w:ascii="Times New Roman" w:eastAsia="Times New Roman" w:hAnsi="Times New Roman"/>
          <w:kern w:val="1"/>
          <w:sz w:val="24"/>
          <w:szCs w:val="24"/>
          <w:vertAlign w:val="superscript"/>
          <w:lang w:val="en-US"/>
        </w:rPr>
        <w:t xml:space="preserve"> </w:t>
      </w:r>
      <w:r w:rsidR="00714F68" w:rsidRPr="008C28EB">
        <w:rPr>
          <w:rFonts w:ascii="Times New Roman" w:eastAsia="Times New Roman" w:hAnsi="Times New Roman"/>
          <w:kern w:val="1"/>
          <w:sz w:val="24"/>
          <w:szCs w:val="24"/>
          <w:lang w:val="en-US"/>
        </w:rPr>
        <w:t xml:space="preserve">is negative and statistically significant at the 10% confidence level or less in two out of three specifications. </w:t>
      </w:r>
      <w:r w:rsidR="00801955" w:rsidRPr="008C28EB">
        <w:rPr>
          <w:rFonts w:ascii="Times New Roman" w:eastAsia="Times New Roman" w:hAnsi="Times New Roman"/>
          <w:kern w:val="1"/>
          <w:sz w:val="24"/>
          <w:szCs w:val="24"/>
          <w:lang w:val="en-US"/>
        </w:rPr>
        <w:t>The model also include</w:t>
      </w:r>
      <w:r w:rsidR="00EF741A" w:rsidRPr="008C28EB">
        <w:rPr>
          <w:rFonts w:ascii="Times New Roman" w:eastAsia="Times New Roman" w:hAnsi="Times New Roman"/>
          <w:kern w:val="1"/>
          <w:sz w:val="24"/>
          <w:szCs w:val="24"/>
          <w:lang w:val="en-US"/>
        </w:rPr>
        <w:t>s</w:t>
      </w:r>
      <w:r w:rsidR="00801955" w:rsidRPr="008C28EB">
        <w:rPr>
          <w:rFonts w:ascii="Times New Roman" w:eastAsia="Times New Roman" w:hAnsi="Times New Roman"/>
          <w:kern w:val="1"/>
          <w:sz w:val="24"/>
          <w:szCs w:val="24"/>
          <w:lang w:val="en-US"/>
        </w:rPr>
        <w:t xml:space="preserve"> a dummy, named </w:t>
      </w:r>
      <w:r w:rsidR="00801955" w:rsidRPr="008C28EB">
        <w:rPr>
          <w:rFonts w:ascii="Times New Roman" w:eastAsia="Times New Roman" w:hAnsi="Times New Roman"/>
          <w:i/>
          <w:kern w:val="1"/>
          <w:sz w:val="24"/>
          <w:szCs w:val="24"/>
          <w:lang w:val="en-US"/>
        </w:rPr>
        <w:t>Control</w:t>
      </w:r>
      <w:r w:rsidR="00801955" w:rsidRPr="008C28EB">
        <w:rPr>
          <w:rFonts w:ascii="Times New Roman" w:eastAsia="Times New Roman" w:hAnsi="Times New Roman"/>
          <w:kern w:val="1"/>
          <w:sz w:val="24"/>
          <w:szCs w:val="24"/>
          <w:lang w:val="en-US"/>
        </w:rPr>
        <w:t xml:space="preserve">, identifying four banks (Eurobank, </w:t>
      </w:r>
      <w:r w:rsidR="00B4003C" w:rsidRPr="008C28EB">
        <w:rPr>
          <w:rFonts w:ascii="Times New Roman" w:eastAsia="Times New Roman" w:hAnsi="Times New Roman"/>
          <w:kern w:val="1"/>
          <w:sz w:val="24"/>
          <w:szCs w:val="24"/>
          <w:lang w:val="en-US"/>
        </w:rPr>
        <w:t>National Bank of Greece</w:t>
      </w:r>
      <w:r w:rsidR="00801955" w:rsidRPr="008C28EB">
        <w:rPr>
          <w:rFonts w:ascii="Times New Roman" w:eastAsia="Times New Roman" w:hAnsi="Times New Roman"/>
          <w:kern w:val="1"/>
          <w:sz w:val="24"/>
          <w:szCs w:val="24"/>
          <w:lang w:val="en-US"/>
        </w:rPr>
        <w:t xml:space="preserve">, Nova Ljublijanska bank, and Nova Kreditna Banka Maribor) that registered a shortfall, but were in special situations (e.g., State guarantees, restructuring plans, etc.) for which there was no need for capital raising measures (see ECB, 2014, p. 10). </w:t>
      </w:r>
      <w:r w:rsidR="00714F68" w:rsidRPr="008C28EB">
        <w:rPr>
          <w:rFonts w:ascii="Times New Roman" w:eastAsia="Times New Roman" w:hAnsi="Times New Roman"/>
          <w:kern w:val="1"/>
          <w:sz w:val="24"/>
          <w:szCs w:val="24"/>
          <w:lang w:val="en-US"/>
        </w:rPr>
        <w:t xml:space="preserve">The R-squared ranges from 27.9% to 43.3%, similarly to </w:t>
      </w:r>
      <w:r w:rsidR="00726B1A" w:rsidRPr="008C28EB">
        <w:rPr>
          <w:rFonts w:ascii="Times New Roman" w:eastAsia="Times New Roman" w:hAnsi="Times New Roman"/>
          <w:kern w:val="1"/>
          <w:sz w:val="24"/>
          <w:szCs w:val="24"/>
          <w:lang w:val="en-US"/>
        </w:rPr>
        <w:t xml:space="preserve">the one </w:t>
      </w:r>
      <w:r w:rsidR="00714F68" w:rsidRPr="008C28EB">
        <w:rPr>
          <w:rFonts w:ascii="Times New Roman" w:eastAsia="Times New Roman" w:hAnsi="Times New Roman"/>
          <w:kern w:val="1"/>
          <w:sz w:val="24"/>
          <w:szCs w:val="24"/>
          <w:lang w:val="en-US"/>
        </w:rPr>
        <w:t xml:space="preserve">obtained by Morgan et al. (2014). </w:t>
      </w:r>
      <w:r w:rsidR="00801955" w:rsidRPr="008C28EB">
        <w:rPr>
          <w:rFonts w:ascii="Times New Roman" w:eastAsia="Times New Roman" w:hAnsi="Times New Roman"/>
          <w:kern w:val="1"/>
          <w:sz w:val="24"/>
          <w:szCs w:val="24"/>
          <w:lang w:val="en-US"/>
        </w:rPr>
        <w:t>This supports the idea that, on the 23</w:t>
      </w:r>
      <w:r w:rsidR="00726B1A" w:rsidRPr="008C28EB">
        <w:rPr>
          <w:rFonts w:ascii="Times New Roman" w:eastAsia="Times New Roman" w:hAnsi="Times New Roman"/>
          <w:kern w:val="1"/>
          <w:sz w:val="24"/>
          <w:szCs w:val="24"/>
          <w:vertAlign w:val="superscript"/>
          <w:lang w:val="en-US"/>
        </w:rPr>
        <w:t>rd</w:t>
      </w:r>
      <w:r w:rsidR="00726B1A" w:rsidRPr="008C28EB">
        <w:rPr>
          <w:rFonts w:ascii="Times New Roman" w:eastAsia="Times New Roman" w:hAnsi="Times New Roman"/>
          <w:kern w:val="1"/>
          <w:sz w:val="24"/>
          <w:szCs w:val="24"/>
          <w:lang w:val="en-US"/>
        </w:rPr>
        <w:t xml:space="preserve"> </w:t>
      </w:r>
      <w:r w:rsidR="00801955" w:rsidRPr="008C28EB">
        <w:rPr>
          <w:rFonts w:ascii="Times New Roman" w:eastAsia="Times New Roman" w:hAnsi="Times New Roman"/>
          <w:kern w:val="1"/>
          <w:sz w:val="24"/>
          <w:szCs w:val="24"/>
          <w:lang w:val="en-US"/>
        </w:rPr>
        <w:lastRenderedPageBreak/>
        <w:t xml:space="preserve">October 2013, investors were already able to predict which banks would register a capital shortfall during the CA. </w:t>
      </w:r>
    </w:p>
    <w:p w14:paraId="3E31A62F" w14:textId="4CD876FD" w:rsidR="00C61321" w:rsidRPr="008C28EB" w:rsidRDefault="00617096" w:rsidP="00C25996">
      <w:pPr>
        <w:spacing w:after="120" w:line="480" w:lineRule="auto"/>
        <w:ind w:firstLine="709"/>
        <w:jc w:val="both"/>
        <w:rPr>
          <w:rFonts w:ascii="Times New Roman" w:eastAsia="Times New Roman" w:hAnsi="Times New Roman"/>
          <w:kern w:val="1"/>
          <w:sz w:val="24"/>
          <w:szCs w:val="24"/>
          <w:lang w:val="en-US"/>
        </w:rPr>
      </w:pPr>
      <w:r>
        <w:rPr>
          <w:rFonts w:ascii="Times New Roman" w:eastAsia="Times New Roman" w:hAnsi="Times New Roman"/>
          <w:kern w:val="1"/>
          <w:sz w:val="24"/>
          <w:szCs w:val="24"/>
          <w:lang w:val="en-US"/>
        </w:rPr>
        <w:t>Results from equation (3</w:t>
      </w:r>
      <w:r w:rsidR="00AB3E41" w:rsidRPr="008C28EB">
        <w:rPr>
          <w:rFonts w:ascii="Times New Roman" w:eastAsia="Times New Roman" w:hAnsi="Times New Roman"/>
          <w:kern w:val="1"/>
          <w:sz w:val="24"/>
          <w:szCs w:val="24"/>
          <w:lang w:val="en-US"/>
        </w:rPr>
        <w:t xml:space="preserve">), are shown in Panel B. </w:t>
      </w:r>
      <w:r w:rsidR="00C61321" w:rsidRPr="008C28EB">
        <w:rPr>
          <w:rFonts w:ascii="Times New Roman" w:eastAsia="Times New Roman" w:hAnsi="Times New Roman"/>
          <w:kern w:val="1"/>
          <w:sz w:val="24"/>
          <w:szCs w:val="24"/>
          <w:lang w:val="en-US"/>
        </w:rPr>
        <w:t>Conditioned by existing expectations, a larger declared gap means a stronger dilution effect; consistently, the coefficient for GAP is negative in all models (statistically significant at the 10% confidence level or less in all specifications). These findings provide evidence in support of H</w:t>
      </w:r>
      <w:r w:rsidR="00C61321" w:rsidRPr="008C28EB">
        <w:rPr>
          <w:rFonts w:ascii="Times New Roman" w:eastAsia="Times New Roman" w:hAnsi="Times New Roman"/>
          <w:kern w:val="1"/>
          <w:sz w:val="24"/>
          <w:szCs w:val="24"/>
          <w:vertAlign w:val="subscript"/>
          <w:lang w:val="en-US"/>
        </w:rPr>
        <w:t>1</w:t>
      </w:r>
      <w:r w:rsidR="00C61321" w:rsidRPr="008C28EB">
        <w:rPr>
          <w:rFonts w:ascii="Times New Roman" w:eastAsia="Times New Roman" w:hAnsi="Times New Roman"/>
          <w:kern w:val="1"/>
          <w:sz w:val="24"/>
          <w:szCs w:val="24"/>
          <w:lang w:val="en-US"/>
        </w:rPr>
        <w:t>, confirming that investors were already able to detect weak banks at the announcement date, but the CA produced new valuable information clarifying the magnitude of the capital shortfall.</w:t>
      </w:r>
    </w:p>
    <w:p w14:paraId="11C13769" w14:textId="4C3669C2" w:rsidR="00714F68" w:rsidRPr="008C28EB" w:rsidRDefault="00F12286" w:rsidP="00C25996">
      <w:pPr>
        <w:spacing w:after="120" w:line="480" w:lineRule="auto"/>
        <w:ind w:firstLine="709"/>
        <w:jc w:val="both"/>
        <w:rPr>
          <w:rFonts w:ascii="Times New Roman" w:eastAsia="Times New Roman" w:hAnsi="Times New Roman"/>
          <w:kern w:val="1"/>
          <w:sz w:val="24"/>
          <w:szCs w:val="24"/>
          <w:lang w:val="en-US"/>
        </w:rPr>
      </w:pPr>
      <w:r w:rsidRPr="008C28EB">
        <w:rPr>
          <w:rFonts w:ascii="Times New Roman" w:eastAsia="Times New Roman" w:hAnsi="Times New Roman"/>
          <w:kern w:val="1"/>
          <w:sz w:val="24"/>
          <w:szCs w:val="24"/>
          <w:lang w:val="en-US"/>
        </w:rPr>
        <w:t xml:space="preserve">An interesting </w:t>
      </w:r>
      <w:r w:rsidR="009A4A89" w:rsidRPr="008C28EB">
        <w:rPr>
          <w:rFonts w:ascii="Times New Roman" w:eastAsia="Times New Roman" w:hAnsi="Times New Roman"/>
          <w:kern w:val="1"/>
          <w:sz w:val="24"/>
          <w:szCs w:val="24"/>
          <w:lang w:val="en-US"/>
        </w:rPr>
        <w:t xml:space="preserve">point </w:t>
      </w:r>
      <w:r w:rsidRPr="008C28EB">
        <w:rPr>
          <w:rFonts w:ascii="Times New Roman" w:eastAsia="Times New Roman" w:hAnsi="Times New Roman"/>
          <w:kern w:val="1"/>
          <w:sz w:val="24"/>
          <w:szCs w:val="24"/>
          <w:lang w:val="en-US"/>
        </w:rPr>
        <w:t>is that</w:t>
      </w:r>
      <w:r w:rsidR="009A4A89" w:rsidRPr="008C28EB">
        <w:rPr>
          <w:rFonts w:ascii="Times New Roman" w:eastAsia="Times New Roman" w:hAnsi="Times New Roman"/>
          <w:kern w:val="1"/>
          <w:sz w:val="24"/>
          <w:szCs w:val="24"/>
          <w:lang w:val="en-US"/>
        </w:rPr>
        <w:t xml:space="preserve"> </w:t>
      </w:r>
      <w:r w:rsidR="00801955" w:rsidRPr="008C28EB">
        <w:rPr>
          <w:rFonts w:ascii="Times New Roman" w:eastAsia="Times New Roman" w:hAnsi="Times New Roman"/>
          <w:kern w:val="1"/>
          <w:sz w:val="24"/>
          <w:szCs w:val="24"/>
          <w:lang w:val="en-US"/>
        </w:rPr>
        <w:t>CAR</w:t>
      </w:r>
      <w:r w:rsidR="00801955" w:rsidRPr="008C28EB">
        <w:rPr>
          <w:rFonts w:ascii="Times New Roman" w:eastAsia="Times New Roman" w:hAnsi="Times New Roman"/>
          <w:kern w:val="1"/>
          <w:sz w:val="24"/>
          <w:szCs w:val="24"/>
          <w:vertAlign w:val="superscript"/>
          <w:lang w:val="en-US"/>
        </w:rPr>
        <w:t>α</w:t>
      </w:r>
      <w:r w:rsidR="009A4A89" w:rsidRPr="008C28EB">
        <w:rPr>
          <w:rFonts w:ascii="Times New Roman" w:eastAsia="Times New Roman" w:hAnsi="Times New Roman"/>
          <w:kern w:val="1"/>
          <w:sz w:val="24"/>
          <w:szCs w:val="24"/>
          <w:vertAlign w:val="superscript"/>
          <w:lang w:val="en-US"/>
        </w:rPr>
        <w:t xml:space="preserve"> </w:t>
      </w:r>
      <w:r w:rsidR="00AB3E41" w:rsidRPr="008C28EB">
        <w:rPr>
          <w:rFonts w:ascii="Times New Roman" w:eastAsia="Times New Roman" w:hAnsi="Times New Roman"/>
          <w:kern w:val="1"/>
          <w:sz w:val="24"/>
          <w:szCs w:val="24"/>
          <w:lang w:val="en-US"/>
        </w:rPr>
        <w:t>enters the model with a positive coefficient (statistically significant at the 5% confidence level or less in all specifications).</w:t>
      </w:r>
      <w:r w:rsidR="003154D5" w:rsidRPr="008C28EB">
        <w:rPr>
          <w:rFonts w:ascii="Times New Roman" w:eastAsia="Times New Roman" w:hAnsi="Times New Roman"/>
          <w:kern w:val="1"/>
          <w:sz w:val="24"/>
          <w:szCs w:val="24"/>
          <w:lang w:val="en-US"/>
        </w:rPr>
        <w:t xml:space="preserve"> This </w:t>
      </w:r>
      <w:r w:rsidR="00D3099B" w:rsidRPr="008C28EB">
        <w:rPr>
          <w:rFonts w:ascii="Times New Roman" w:eastAsia="Times New Roman" w:hAnsi="Times New Roman"/>
          <w:kern w:val="1"/>
          <w:sz w:val="24"/>
          <w:szCs w:val="24"/>
          <w:lang w:val="en-US"/>
        </w:rPr>
        <w:t xml:space="preserve">shows </w:t>
      </w:r>
      <w:r w:rsidR="003154D5" w:rsidRPr="008C28EB">
        <w:rPr>
          <w:rFonts w:ascii="Times New Roman" w:eastAsia="Times New Roman" w:hAnsi="Times New Roman"/>
          <w:kern w:val="1"/>
          <w:sz w:val="24"/>
          <w:szCs w:val="24"/>
          <w:lang w:val="en-US"/>
        </w:rPr>
        <w:t xml:space="preserve">a positive correlation between the market reaction at the announcement date and at the disclosure of results, i.e., banks that were already identified as weak at the beginning of the procedure </w:t>
      </w:r>
      <w:r w:rsidR="00C61321" w:rsidRPr="008C28EB">
        <w:rPr>
          <w:rFonts w:ascii="Times New Roman" w:eastAsia="Times New Roman" w:hAnsi="Times New Roman"/>
          <w:kern w:val="1"/>
          <w:sz w:val="24"/>
          <w:szCs w:val="24"/>
          <w:lang w:val="en-US"/>
        </w:rPr>
        <w:t>re</w:t>
      </w:r>
      <w:r w:rsidR="008B1311" w:rsidRPr="008C28EB">
        <w:rPr>
          <w:rFonts w:ascii="Times New Roman" w:eastAsia="Times New Roman" w:hAnsi="Times New Roman"/>
          <w:kern w:val="1"/>
          <w:sz w:val="24"/>
          <w:szCs w:val="24"/>
          <w:lang w:val="en-US"/>
        </w:rPr>
        <w:t xml:space="preserve">gistered a worse stock price reaction </w:t>
      </w:r>
      <w:r w:rsidR="003154D5" w:rsidRPr="008C28EB">
        <w:rPr>
          <w:rFonts w:ascii="Times New Roman" w:eastAsia="Times New Roman" w:hAnsi="Times New Roman"/>
          <w:kern w:val="1"/>
          <w:sz w:val="24"/>
          <w:szCs w:val="24"/>
          <w:lang w:val="en-US"/>
        </w:rPr>
        <w:t xml:space="preserve">also at the final date. </w:t>
      </w:r>
      <w:r w:rsidR="00C61321" w:rsidRPr="008C28EB">
        <w:rPr>
          <w:rFonts w:ascii="Times New Roman" w:eastAsia="Times New Roman" w:hAnsi="Times New Roman"/>
          <w:kern w:val="1"/>
          <w:sz w:val="24"/>
          <w:szCs w:val="24"/>
          <w:lang w:val="en-US"/>
        </w:rPr>
        <w:t xml:space="preserve">In other words, the expected gap does not weaken the negative </w:t>
      </w:r>
      <w:r w:rsidR="0059363F" w:rsidRPr="008C28EB">
        <w:rPr>
          <w:rFonts w:ascii="Times New Roman" w:eastAsia="Times New Roman" w:hAnsi="Times New Roman"/>
          <w:kern w:val="1"/>
          <w:sz w:val="24"/>
          <w:szCs w:val="24"/>
          <w:lang w:val="en-US"/>
        </w:rPr>
        <w:t xml:space="preserve">market </w:t>
      </w:r>
      <w:r w:rsidR="00C61321" w:rsidRPr="008C28EB">
        <w:rPr>
          <w:rFonts w:ascii="Times New Roman" w:eastAsia="Times New Roman" w:hAnsi="Times New Roman"/>
          <w:kern w:val="1"/>
          <w:sz w:val="24"/>
          <w:szCs w:val="24"/>
          <w:lang w:val="en-US"/>
        </w:rPr>
        <w:t xml:space="preserve">reaction </w:t>
      </w:r>
      <w:r w:rsidR="0059363F" w:rsidRPr="008C28EB">
        <w:rPr>
          <w:rFonts w:ascii="Times New Roman" w:eastAsia="Times New Roman" w:hAnsi="Times New Roman"/>
          <w:kern w:val="1"/>
          <w:sz w:val="24"/>
          <w:szCs w:val="24"/>
          <w:lang w:val="en-US"/>
        </w:rPr>
        <w:t>to</w:t>
      </w:r>
      <w:r w:rsidR="00C61321" w:rsidRPr="008C28EB">
        <w:rPr>
          <w:rFonts w:ascii="Times New Roman" w:eastAsia="Times New Roman" w:hAnsi="Times New Roman"/>
          <w:kern w:val="1"/>
          <w:sz w:val="24"/>
          <w:szCs w:val="24"/>
          <w:lang w:val="en-US"/>
        </w:rPr>
        <w:t xml:space="preserve"> the effective capital shortfall, but reinforces it</w:t>
      </w:r>
      <w:r w:rsidR="00400D7C" w:rsidRPr="008C28EB">
        <w:rPr>
          <w:rFonts w:ascii="Times New Roman" w:eastAsia="Times New Roman" w:hAnsi="Times New Roman"/>
          <w:kern w:val="1"/>
          <w:sz w:val="24"/>
          <w:szCs w:val="24"/>
          <w:lang w:val="en-US"/>
        </w:rPr>
        <w:t>. T</w:t>
      </w:r>
      <w:r w:rsidR="00572622" w:rsidRPr="008C28EB">
        <w:rPr>
          <w:rFonts w:ascii="Times New Roman" w:eastAsia="Times New Roman" w:hAnsi="Times New Roman"/>
          <w:kern w:val="1"/>
          <w:sz w:val="24"/>
          <w:szCs w:val="24"/>
          <w:lang w:val="en-US"/>
        </w:rPr>
        <w:t xml:space="preserve">his </w:t>
      </w:r>
      <w:r w:rsidR="00C61321" w:rsidRPr="008C28EB">
        <w:rPr>
          <w:rFonts w:ascii="Times New Roman" w:eastAsia="Times New Roman" w:hAnsi="Times New Roman"/>
          <w:kern w:val="1"/>
          <w:sz w:val="24"/>
          <w:szCs w:val="24"/>
          <w:lang w:val="en-US"/>
        </w:rPr>
        <w:t>suggest</w:t>
      </w:r>
      <w:r w:rsidR="00572622" w:rsidRPr="008C28EB">
        <w:rPr>
          <w:rFonts w:ascii="Times New Roman" w:eastAsia="Times New Roman" w:hAnsi="Times New Roman"/>
          <w:kern w:val="1"/>
          <w:sz w:val="24"/>
          <w:szCs w:val="24"/>
          <w:lang w:val="en-US"/>
        </w:rPr>
        <w:t>s that</w:t>
      </w:r>
      <w:r w:rsidR="00400D7C" w:rsidRPr="008C28EB">
        <w:rPr>
          <w:rFonts w:ascii="Times New Roman" w:eastAsia="Times New Roman" w:hAnsi="Times New Roman"/>
          <w:kern w:val="1"/>
          <w:sz w:val="24"/>
          <w:szCs w:val="24"/>
          <w:lang w:val="en-US"/>
        </w:rPr>
        <w:t xml:space="preserve"> </w:t>
      </w:r>
      <w:r w:rsidR="00572622" w:rsidRPr="008C28EB">
        <w:rPr>
          <w:rFonts w:ascii="Times New Roman" w:eastAsia="Times New Roman" w:hAnsi="Times New Roman"/>
          <w:kern w:val="1"/>
          <w:sz w:val="24"/>
          <w:szCs w:val="24"/>
          <w:lang w:val="en-US"/>
        </w:rPr>
        <w:t xml:space="preserve">investors penalized </w:t>
      </w:r>
      <w:r w:rsidRPr="008C28EB">
        <w:rPr>
          <w:rFonts w:ascii="Times New Roman" w:eastAsia="Times New Roman" w:hAnsi="Times New Roman"/>
          <w:kern w:val="1"/>
          <w:sz w:val="24"/>
          <w:szCs w:val="24"/>
          <w:lang w:val="en-US"/>
        </w:rPr>
        <w:t xml:space="preserve">weak </w:t>
      </w:r>
      <w:r w:rsidR="008B1311" w:rsidRPr="008C28EB">
        <w:rPr>
          <w:rFonts w:ascii="Times New Roman" w:eastAsia="Times New Roman" w:hAnsi="Times New Roman"/>
          <w:kern w:val="1"/>
          <w:sz w:val="24"/>
          <w:szCs w:val="24"/>
          <w:lang w:val="en-US"/>
        </w:rPr>
        <w:t xml:space="preserve">banks </w:t>
      </w:r>
      <w:r w:rsidRPr="008C28EB">
        <w:rPr>
          <w:rFonts w:ascii="Times New Roman" w:eastAsia="Times New Roman" w:hAnsi="Times New Roman"/>
          <w:kern w:val="1"/>
          <w:sz w:val="24"/>
          <w:szCs w:val="24"/>
          <w:lang w:val="en-US"/>
        </w:rPr>
        <w:t>twice: once at the time of the CA launch</w:t>
      </w:r>
      <w:r w:rsidR="00400D7C" w:rsidRPr="008C28EB">
        <w:rPr>
          <w:rFonts w:ascii="Times New Roman" w:eastAsia="Times New Roman" w:hAnsi="Times New Roman"/>
          <w:kern w:val="1"/>
          <w:sz w:val="24"/>
          <w:szCs w:val="24"/>
          <w:lang w:val="en-US"/>
        </w:rPr>
        <w:t xml:space="preserve"> </w:t>
      </w:r>
      <w:r w:rsidR="008B1311" w:rsidRPr="008C28EB">
        <w:rPr>
          <w:rFonts w:ascii="Times New Roman" w:eastAsia="Times New Roman" w:hAnsi="Times New Roman"/>
          <w:kern w:val="1"/>
          <w:sz w:val="24"/>
          <w:szCs w:val="24"/>
          <w:lang w:val="en-US"/>
        </w:rPr>
        <w:t xml:space="preserve">and then </w:t>
      </w:r>
      <w:r w:rsidR="00572622" w:rsidRPr="008C28EB">
        <w:rPr>
          <w:rFonts w:ascii="Times New Roman" w:eastAsia="Times New Roman" w:hAnsi="Times New Roman"/>
          <w:kern w:val="1"/>
          <w:sz w:val="24"/>
          <w:szCs w:val="24"/>
          <w:lang w:val="en-US"/>
        </w:rPr>
        <w:t xml:space="preserve">at the time of the disclosure of CA </w:t>
      </w:r>
      <w:r w:rsidRPr="008C28EB">
        <w:rPr>
          <w:rFonts w:ascii="Times New Roman" w:eastAsia="Times New Roman" w:hAnsi="Times New Roman"/>
          <w:kern w:val="1"/>
          <w:sz w:val="24"/>
          <w:szCs w:val="24"/>
          <w:lang w:val="en-US"/>
        </w:rPr>
        <w:t>results</w:t>
      </w:r>
      <w:r w:rsidR="00572622" w:rsidRPr="008C28EB">
        <w:rPr>
          <w:rFonts w:ascii="Times New Roman" w:eastAsia="Times New Roman" w:hAnsi="Times New Roman"/>
          <w:kern w:val="1"/>
          <w:sz w:val="24"/>
          <w:szCs w:val="24"/>
          <w:lang w:val="en-US"/>
        </w:rPr>
        <w:t>.</w:t>
      </w:r>
      <w:r w:rsidR="00400D7C" w:rsidRPr="008C28EB">
        <w:rPr>
          <w:rFonts w:ascii="Times New Roman" w:eastAsia="Times New Roman" w:hAnsi="Times New Roman"/>
          <w:kern w:val="1"/>
          <w:sz w:val="24"/>
          <w:szCs w:val="24"/>
          <w:lang w:val="en-US"/>
        </w:rPr>
        <w:t xml:space="preserve"> </w:t>
      </w:r>
      <w:r w:rsidR="00934665" w:rsidRPr="008C28EB">
        <w:rPr>
          <w:rFonts w:ascii="Times New Roman" w:eastAsia="Times New Roman" w:hAnsi="Times New Roman"/>
          <w:kern w:val="1"/>
          <w:sz w:val="24"/>
          <w:szCs w:val="24"/>
          <w:lang w:val="en-US"/>
        </w:rPr>
        <w:t>This is apparently surprising.</w:t>
      </w:r>
      <w:r w:rsidR="00400D7C" w:rsidRPr="008C28EB">
        <w:rPr>
          <w:rFonts w:ascii="Times New Roman" w:eastAsia="Times New Roman" w:hAnsi="Times New Roman"/>
          <w:kern w:val="1"/>
          <w:sz w:val="24"/>
          <w:szCs w:val="24"/>
          <w:lang w:val="en-US"/>
        </w:rPr>
        <w:t xml:space="preserve"> </w:t>
      </w:r>
      <w:r w:rsidR="00934665" w:rsidRPr="008C28EB">
        <w:rPr>
          <w:rFonts w:ascii="Times New Roman" w:eastAsia="Times New Roman" w:hAnsi="Times New Roman"/>
          <w:kern w:val="1"/>
          <w:sz w:val="24"/>
          <w:szCs w:val="24"/>
          <w:lang w:val="en-US"/>
        </w:rPr>
        <w:t xml:space="preserve">As in Morgan et al. (2014), one might expect that </w:t>
      </w:r>
      <w:r w:rsidR="003154D5" w:rsidRPr="008C28EB">
        <w:rPr>
          <w:rFonts w:ascii="Times New Roman" w:eastAsia="Times New Roman" w:hAnsi="Times New Roman"/>
          <w:kern w:val="1"/>
          <w:sz w:val="24"/>
          <w:szCs w:val="24"/>
          <w:lang w:val="en-US"/>
        </w:rPr>
        <w:t>CARs at the disclosure of results should reflect onl</w:t>
      </w:r>
      <w:r w:rsidR="00ED3418" w:rsidRPr="008C28EB">
        <w:rPr>
          <w:rFonts w:ascii="Times New Roman" w:eastAsia="Times New Roman" w:hAnsi="Times New Roman"/>
          <w:kern w:val="1"/>
          <w:sz w:val="24"/>
          <w:szCs w:val="24"/>
          <w:lang w:val="en-US"/>
        </w:rPr>
        <w:t>y the unexpected portion of the</w:t>
      </w:r>
      <w:r w:rsidR="003154D5" w:rsidRPr="008C28EB">
        <w:rPr>
          <w:rFonts w:ascii="Times New Roman" w:eastAsia="Times New Roman" w:hAnsi="Times New Roman"/>
          <w:kern w:val="1"/>
          <w:sz w:val="24"/>
          <w:szCs w:val="24"/>
          <w:lang w:val="en-US"/>
        </w:rPr>
        <w:t xml:space="preserve"> shortfall</w:t>
      </w:r>
      <w:r w:rsidR="00934665" w:rsidRPr="008C28EB">
        <w:rPr>
          <w:rFonts w:ascii="Times New Roman" w:eastAsia="Times New Roman" w:hAnsi="Times New Roman"/>
          <w:kern w:val="1"/>
          <w:sz w:val="24"/>
          <w:szCs w:val="24"/>
          <w:lang w:val="en-US"/>
        </w:rPr>
        <w:t>: however, this is true only if the capital shortfall is the</w:t>
      </w:r>
      <w:r w:rsidR="00ED3418" w:rsidRPr="008C28EB">
        <w:rPr>
          <w:rFonts w:ascii="Times New Roman" w:eastAsia="Times New Roman" w:hAnsi="Times New Roman"/>
          <w:kern w:val="1"/>
          <w:sz w:val="24"/>
          <w:szCs w:val="24"/>
          <w:lang w:val="en-US"/>
        </w:rPr>
        <w:t xml:space="preserve"> only driver of market reaction.</w:t>
      </w:r>
      <w:r w:rsidR="003154D5" w:rsidRPr="008C28EB">
        <w:rPr>
          <w:rFonts w:ascii="Times New Roman" w:eastAsia="Times New Roman" w:hAnsi="Times New Roman"/>
          <w:kern w:val="1"/>
          <w:sz w:val="24"/>
          <w:szCs w:val="24"/>
          <w:lang w:val="en-US"/>
        </w:rPr>
        <w:t xml:space="preserve"> In our case, differently from Morgan et al. (2014)</w:t>
      </w:r>
      <w:r w:rsidR="00934665" w:rsidRPr="008C28EB">
        <w:rPr>
          <w:rFonts w:ascii="Times New Roman" w:eastAsia="Times New Roman" w:hAnsi="Times New Roman"/>
          <w:kern w:val="1"/>
          <w:sz w:val="24"/>
          <w:szCs w:val="24"/>
          <w:lang w:val="en-US"/>
        </w:rPr>
        <w:t xml:space="preserve"> that analyze the US banking industry</w:t>
      </w:r>
      <w:r w:rsidR="003154D5" w:rsidRPr="008C28EB">
        <w:rPr>
          <w:rFonts w:ascii="Times New Roman" w:eastAsia="Times New Roman" w:hAnsi="Times New Roman"/>
          <w:kern w:val="1"/>
          <w:sz w:val="24"/>
          <w:szCs w:val="24"/>
          <w:lang w:val="en-US"/>
        </w:rPr>
        <w:t xml:space="preserve">, something else </w:t>
      </w:r>
      <w:r w:rsidR="00400D7C" w:rsidRPr="008C28EB">
        <w:rPr>
          <w:rFonts w:ascii="Times New Roman" w:eastAsia="Times New Roman" w:hAnsi="Times New Roman"/>
          <w:kern w:val="1"/>
          <w:sz w:val="24"/>
          <w:szCs w:val="24"/>
          <w:lang w:val="en-US"/>
        </w:rPr>
        <w:t xml:space="preserve">is </w:t>
      </w:r>
      <w:r w:rsidR="003154D5" w:rsidRPr="008C28EB">
        <w:rPr>
          <w:rFonts w:ascii="Times New Roman" w:eastAsia="Times New Roman" w:hAnsi="Times New Roman"/>
          <w:kern w:val="1"/>
          <w:sz w:val="24"/>
          <w:szCs w:val="24"/>
          <w:lang w:val="en-US"/>
        </w:rPr>
        <w:t>worrying the investo</w:t>
      </w:r>
      <w:r w:rsidR="00116760" w:rsidRPr="008C28EB">
        <w:rPr>
          <w:rFonts w:ascii="Times New Roman" w:eastAsia="Times New Roman" w:hAnsi="Times New Roman"/>
          <w:kern w:val="1"/>
          <w:sz w:val="24"/>
          <w:szCs w:val="24"/>
          <w:lang w:val="en-US"/>
        </w:rPr>
        <w:t>rs</w:t>
      </w:r>
      <w:r w:rsidR="00934665" w:rsidRPr="008C28EB">
        <w:rPr>
          <w:rFonts w:ascii="Times New Roman" w:eastAsia="Times New Roman" w:hAnsi="Times New Roman"/>
          <w:kern w:val="1"/>
          <w:sz w:val="24"/>
          <w:szCs w:val="24"/>
          <w:lang w:val="en-US"/>
        </w:rPr>
        <w:t xml:space="preserve"> (the SSM launch)</w:t>
      </w:r>
      <w:r w:rsidR="00116760" w:rsidRPr="008C28EB">
        <w:rPr>
          <w:rFonts w:ascii="Times New Roman" w:eastAsia="Times New Roman" w:hAnsi="Times New Roman"/>
          <w:kern w:val="1"/>
          <w:sz w:val="24"/>
          <w:szCs w:val="24"/>
          <w:lang w:val="en-US"/>
        </w:rPr>
        <w:t xml:space="preserve"> producing an amplified negative reaction for banks </w:t>
      </w:r>
      <w:r w:rsidR="00116760" w:rsidRPr="008C28EB">
        <w:rPr>
          <w:rFonts w:ascii="Times New Roman" w:eastAsia="Times New Roman" w:hAnsi="Times New Roman"/>
          <w:kern w:val="1"/>
          <w:sz w:val="24"/>
          <w:szCs w:val="24"/>
          <w:lang w:val="en-US"/>
        </w:rPr>
        <w:lastRenderedPageBreak/>
        <w:t>confirmed as weak by the final CA results. This result is consistent with the peculiarity of the CA that is not only a regulatory stress test, but also the initial stage of a new supervisory model, probably perceived as more intrusive with respect to the past</w:t>
      </w:r>
      <w:r w:rsidR="00D63DB2" w:rsidRPr="008C28EB">
        <w:rPr>
          <w:rFonts w:ascii="Times New Roman" w:eastAsia="Times New Roman" w:hAnsi="Times New Roman"/>
          <w:kern w:val="1"/>
          <w:sz w:val="24"/>
          <w:szCs w:val="24"/>
          <w:lang w:val="en-US"/>
        </w:rPr>
        <w:t xml:space="preserve"> (see also Fiordelisi, Ricci, Stentella, </w:t>
      </w:r>
      <w:r w:rsidR="00ED3418" w:rsidRPr="008C28EB">
        <w:rPr>
          <w:rFonts w:ascii="Times New Roman" w:eastAsia="Times New Roman" w:hAnsi="Times New Roman"/>
          <w:kern w:val="1"/>
          <w:sz w:val="24"/>
          <w:szCs w:val="24"/>
          <w:lang w:val="en-US"/>
        </w:rPr>
        <w:t>forthcoming</w:t>
      </w:r>
      <w:r w:rsidR="00D63DB2" w:rsidRPr="008C28EB">
        <w:rPr>
          <w:rFonts w:ascii="Times New Roman" w:eastAsia="Times New Roman" w:hAnsi="Times New Roman"/>
          <w:kern w:val="1"/>
          <w:sz w:val="24"/>
          <w:szCs w:val="24"/>
          <w:lang w:val="en-US"/>
        </w:rPr>
        <w:t>)</w:t>
      </w:r>
      <w:r w:rsidR="00116760" w:rsidRPr="008C28EB">
        <w:rPr>
          <w:rFonts w:ascii="Times New Roman" w:eastAsia="Times New Roman" w:hAnsi="Times New Roman"/>
          <w:kern w:val="1"/>
          <w:sz w:val="24"/>
          <w:szCs w:val="24"/>
          <w:lang w:val="en-US"/>
        </w:rPr>
        <w:t xml:space="preserve">. </w:t>
      </w:r>
      <w:r w:rsidR="00801955" w:rsidRPr="008C28EB">
        <w:rPr>
          <w:rFonts w:ascii="Times New Roman" w:eastAsia="Times New Roman" w:hAnsi="Times New Roman"/>
          <w:kern w:val="1"/>
          <w:sz w:val="24"/>
          <w:szCs w:val="24"/>
          <w:lang w:val="en-US"/>
        </w:rPr>
        <w:t>Finally, it is worth noticing that some banks</w:t>
      </w:r>
      <w:r w:rsidR="00400D7C" w:rsidRPr="008C28EB">
        <w:rPr>
          <w:rFonts w:ascii="Times New Roman" w:eastAsia="Times New Roman" w:hAnsi="Times New Roman"/>
          <w:kern w:val="1"/>
          <w:sz w:val="24"/>
          <w:szCs w:val="24"/>
          <w:lang w:val="en-US"/>
        </w:rPr>
        <w:t xml:space="preserve"> </w:t>
      </w:r>
      <w:r w:rsidR="00801955" w:rsidRPr="008C28EB">
        <w:rPr>
          <w:rFonts w:ascii="Times New Roman" w:eastAsia="Times New Roman" w:hAnsi="Times New Roman"/>
          <w:kern w:val="1"/>
          <w:sz w:val="24"/>
          <w:szCs w:val="24"/>
          <w:lang w:val="en-US"/>
        </w:rPr>
        <w:t>raised capital between December 2013 and September 2014</w:t>
      </w:r>
      <w:r w:rsidR="006E36BF" w:rsidRPr="008C28EB">
        <w:rPr>
          <w:rFonts w:ascii="Times New Roman" w:eastAsia="Times New Roman" w:hAnsi="Times New Roman"/>
          <w:kern w:val="1"/>
          <w:sz w:val="24"/>
          <w:szCs w:val="24"/>
          <w:lang w:val="en-US"/>
        </w:rPr>
        <w:t xml:space="preserve">, </w:t>
      </w:r>
      <w:r w:rsidR="00801955" w:rsidRPr="008C28EB">
        <w:rPr>
          <w:rFonts w:ascii="Times New Roman" w:eastAsia="Times New Roman" w:hAnsi="Times New Roman"/>
          <w:kern w:val="1"/>
          <w:sz w:val="24"/>
          <w:szCs w:val="24"/>
          <w:lang w:val="en-US"/>
        </w:rPr>
        <w:t xml:space="preserve">even before the disclosure of </w:t>
      </w:r>
      <w:r w:rsidR="006E36BF" w:rsidRPr="008C28EB">
        <w:rPr>
          <w:rFonts w:ascii="Times New Roman" w:eastAsia="Times New Roman" w:hAnsi="Times New Roman"/>
          <w:kern w:val="1"/>
          <w:sz w:val="24"/>
          <w:szCs w:val="24"/>
          <w:lang w:val="en-US"/>
        </w:rPr>
        <w:t>CA</w:t>
      </w:r>
      <w:r w:rsidR="00801955" w:rsidRPr="008C28EB">
        <w:rPr>
          <w:rFonts w:ascii="Times New Roman" w:eastAsia="Times New Roman" w:hAnsi="Times New Roman"/>
          <w:kern w:val="1"/>
          <w:sz w:val="24"/>
          <w:szCs w:val="24"/>
          <w:lang w:val="en-US"/>
        </w:rPr>
        <w:t xml:space="preserve"> results. If we include a measure for these</w:t>
      </w:r>
      <w:r w:rsidR="00272292" w:rsidRPr="008C28EB">
        <w:rPr>
          <w:rFonts w:ascii="Times New Roman" w:eastAsia="Times New Roman" w:hAnsi="Times New Roman"/>
          <w:kern w:val="1"/>
          <w:sz w:val="24"/>
          <w:szCs w:val="24"/>
          <w:lang w:val="en-US"/>
        </w:rPr>
        <w:t xml:space="preserve"> recapitalization</w:t>
      </w:r>
      <w:r w:rsidR="00801955" w:rsidRPr="008C28EB">
        <w:rPr>
          <w:rFonts w:ascii="Times New Roman" w:eastAsia="Times New Roman" w:hAnsi="Times New Roman"/>
          <w:kern w:val="1"/>
          <w:sz w:val="24"/>
          <w:szCs w:val="24"/>
          <w:lang w:val="en-US"/>
        </w:rPr>
        <w:t xml:space="preserve"> interventions in our </w:t>
      </w:r>
      <w:r w:rsidR="006E36BF" w:rsidRPr="008C28EB">
        <w:rPr>
          <w:rFonts w:ascii="Times New Roman" w:eastAsia="Times New Roman" w:hAnsi="Times New Roman"/>
          <w:kern w:val="1"/>
          <w:sz w:val="24"/>
          <w:szCs w:val="24"/>
          <w:lang w:val="en-US"/>
        </w:rPr>
        <w:t xml:space="preserve">second </w:t>
      </w:r>
      <w:r w:rsidR="00801955" w:rsidRPr="008C28EB">
        <w:rPr>
          <w:rFonts w:ascii="Times New Roman" w:eastAsia="Times New Roman" w:hAnsi="Times New Roman"/>
          <w:kern w:val="1"/>
          <w:sz w:val="24"/>
          <w:szCs w:val="24"/>
          <w:lang w:val="en-US"/>
        </w:rPr>
        <w:t xml:space="preserve">model, it </w:t>
      </w:r>
      <w:r w:rsidR="00EF741A" w:rsidRPr="008C28EB">
        <w:rPr>
          <w:rFonts w:ascii="Times New Roman" w:eastAsia="Times New Roman" w:hAnsi="Times New Roman"/>
          <w:kern w:val="1"/>
          <w:sz w:val="24"/>
          <w:szCs w:val="24"/>
          <w:lang w:val="en-US"/>
        </w:rPr>
        <w:t xml:space="preserve">takes </w:t>
      </w:r>
      <w:r w:rsidR="00801955" w:rsidRPr="008C28EB">
        <w:rPr>
          <w:rFonts w:ascii="Times New Roman" w:eastAsia="Times New Roman" w:hAnsi="Times New Roman"/>
          <w:kern w:val="1"/>
          <w:sz w:val="24"/>
          <w:szCs w:val="24"/>
          <w:lang w:val="en-US"/>
        </w:rPr>
        <w:t xml:space="preserve">a positive coefficient (as expected), but it is not statistically significant, probably due to the </w:t>
      </w:r>
      <w:r w:rsidR="006E36BF" w:rsidRPr="008C28EB">
        <w:rPr>
          <w:rFonts w:ascii="Times New Roman" w:eastAsia="Times New Roman" w:hAnsi="Times New Roman"/>
          <w:kern w:val="1"/>
          <w:sz w:val="24"/>
          <w:szCs w:val="24"/>
          <w:lang w:val="en-US"/>
        </w:rPr>
        <w:t>fact that the capital raised was generally unable to cover the entire shortfall</w:t>
      </w:r>
      <w:r w:rsidR="006E36BF" w:rsidRPr="008C28EB">
        <w:rPr>
          <w:rStyle w:val="Rimandonotaapidipagina"/>
          <w:rFonts w:ascii="Times New Roman" w:eastAsia="Times New Roman" w:hAnsi="Times New Roman"/>
          <w:kern w:val="1"/>
          <w:sz w:val="24"/>
          <w:szCs w:val="24"/>
        </w:rPr>
        <w:footnoteReference w:id="4"/>
      </w:r>
      <w:r w:rsidR="006E36BF" w:rsidRPr="008C28EB">
        <w:rPr>
          <w:rFonts w:ascii="Times New Roman" w:eastAsia="Times New Roman" w:hAnsi="Times New Roman"/>
          <w:kern w:val="1"/>
          <w:sz w:val="24"/>
          <w:szCs w:val="24"/>
          <w:lang w:val="en-US"/>
        </w:rPr>
        <w:t>.</w:t>
      </w:r>
    </w:p>
    <w:p w14:paraId="3C7784EC" w14:textId="77777777" w:rsidR="003A5414" w:rsidRPr="008C28EB" w:rsidRDefault="003A5414" w:rsidP="00C25996">
      <w:pPr>
        <w:spacing w:after="120" w:line="480" w:lineRule="auto"/>
        <w:jc w:val="both"/>
        <w:rPr>
          <w:rFonts w:ascii="Times New Roman" w:eastAsia="Times New Roman" w:hAnsi="Times New Roman"/>
          <w:b/>
          <w:kern w:val="1"/>
          <w:sz w:val="24"/>
          <w:szCs w:val="24"/>
          <w:lang w:val="en-US"/>
        </w:rPr>
      </w:pPr>
    </w:p>
    <w:p w14:paraId="50331A0A" w14:textId="77777777" w:rsidR="00AB3E41" w:rsidRPr="008C28EB" w:rsidRDefault="003A5414" w:rsidP="00C25996">
      <w:pPr>
        <w:spacing w:after="120" w:line="480" w:lineRule="auto"/>
        <w:jc w:val="both"/>
        <w:rPr>
          <w:rFonts w:ascii="Times New Roman" w:eastAsia="Times New Roman" w:hAnsi="Times New Roman"/>
          <w:b/>
          <w:kern w:val="1"/>
          <w:sz w:val="24"/>
          <w:szCs w:val="24"/>
          <w:lang w:val="en-US"/>
        </w:rPr>
      </w:pPr>
      <w:r w:rsidRPr="008C28EB">
        <w:rPr>
          <w:rFonts w:ascii="Times New Roman" w:eastAsia="Times New Roman" w:hAnsi="Times New Roman"/>
          <w:b/>
          <w:kern w:val="1"/>
          <w:sz w:val="24"/>
          <w:szCs w:val="24"/>
          <w:lang w:val="en-US"/>
        </w:rPr>
        <w:t xml:space="preserve">5. </w:t>
      </w:r>
      <w:r w:rsidR="004F4E12" w:rsidRPr="008C28EB">
        <w:rPr>
          <w:rFonts w:ascii="Times New Roman" w:eastAsia="Times New Roman" w:hAnsi="Times New Roman"/>
          <w:b/>
          <w:kern w:val="1"/>
          <w:sz w:val="24"/>
          <w:szCs w:val="24"/>
          <w:lang w:val="en-US"/>
        </w:rPr>
        <w:t xml:space="preserve">Were </w:t>
      </w:r>
      <w:r w:rsidR="00AB3E41" w:rsidRPr="008C28EB">
        <w:rPr>
          <w:rFonts w:ascii="Times New Roman" w:eastAsia="Times New Roman" w:hAnsi="Times New Roman"/>
          <w:b/>
          <w:kern w:val="1"/>
          <w:sz w:val="24"/>
          <w:szCs w:val="24"/>
          <w:lang w:val="en-US"/>
        </w:rPr>
        <w:t xml:space="preserve">investors </w:t>
      </w:r>
      <w:r w:rsidR="00914D1B" w:rsidRPr="008C28EB">
        <w:rPr>
          <w:rFonts w:ascii="Times New Roman" w:eastAsia="Times New Roman" w:hAnsi="Times New Roman"/>
          <w:b/>
          <w:kern w:val="1"/>
          <w:sz w:val="24"/>
          <w:szCs w:val="24"/>
          <w:lang w:val="en-US"/>
        </w:rPr>
        <w:t>reassured by the CA and the launch of the SSM</w:t>
      </w:r>
      <w:r w:rsidR="00AB3E41" w:rsidRPr="008C28EB">
        <w:rPr>
          <w:rFonts w:ascii="Times New Roman" w:eastAsia="Times New Roman" w:hAnsi="Times New Roman"/>
          <w:b/>
          <w:kern w:val="1"/>
          <w:sz w:val="24"/>
          <w:szCs w:val="24"/>
          <w:lang w:val="en-US"/>
        </w:rPr>
        <w:t>?</w:t>
      </w:r>
    </w:p>
    <w:p w14:paraId="537AD656" w14:textId="095E2C75" w:rsidR="00177FB3" w:rsidRPr="008C28EB" w:rsidRDefault="003A5414" w:rsidP="00C25996">
      <w:pPr>
        <w:widowControl w:val="0"/>
        <w:autoSpaceDE w:val="0"/>
        <w:autoSpaceDN w:val="0"/>
        <w:adjustRightInd w:val="0"/>
        <w:spacing w:after="120" w:line="480" w:lineRule="auto"/>
        <w:jc w:val="both"/>
        <w:rPr>
          <w:rFonts w:ascii="Times New Roman" w:hAnsi="Times New Roman"/>
          <w:sz w:val="24"/>
          <w:szCs w:val="24"/>
          <w:lang w:val="en-US"/>
        </w:rPr>
      </w:pPr>
      <w:r w:rsidRPr="008C28EB">
        <w:rPr>
          <w:rFonts w:ascii="Times New Roman" w:hAnsi="Times New Roman"/>
          <w:sz w:val="24"/>
          <w:szCs w:val="24"/>
          <w:lang w:val="en-US"/>
        </w:rPr>
        <w:t>Results from previous section</w:t>
      </w:r>
      <w:r w:rsidR="00272292" w:rsidRPr="008C28EB">
        <w:rPr>
          <w:rFonts w:ascii="Times New Roman" w:hAnsi="Times New Roman"/>
          <w:sz w:val="24"/>
          <w:szCs w:val="24"/>
          <w:lang w:val="en-US"/>
        </w:rPr>
        <w:t>s</w:t>
      </w:r>
      <w:r w:rsidRPr="008C28EB">
        <w:rPr>
          <w:rFonts w:ascii="Times New Roman" w:hAnsi="Times New Roman"/>
          <w:sz w:val="24"/>
          <w:szCs w:val="24"/>
          <w:lang w:val="en-US"/>
        </w:rPr>
        <w:t xml:space="preserve"> show a negative market reaction both at the announcement date and at the disclosure of results</w:t>
      </w:r>
      <w:r w:rsidR="002050BC" w:rsidRPr="008C28EB">
        <w:rPr>
          <w:rFonts w:ascii="Times New Roman" w:hAnsi="Times New Roman"/>
          <w:sz w:val="24"/>
          <w:szCs w:val="24"/>
          <w:lang w:val="en-US"/>
        </w:rPr>
        <w:t>,</w:t>
      </w:r>
      <w:r w:rsidR="00400D7C" w:rsidRPr="008C28EB">
        <w:rPr>
          <w:rFonts w:ascii="Times New Roman" w:hAnsi="Times New Roman"/>
          <w:sz w:val="24"/>
          <w:szCs w:val="24"/>
          <w:lang w:val="en-US"/>
        </w:rPr>
        <w:t xml:space="preserve"> </w:t>
      </w:r>
      <w:r w:rsidR="002050BC" w:rsidRPr="008C28EB">
        <w:rPr>
          <w:rFonts w:ascii="Times New Roman" w:hAnsi="Times New Roman"/>
          <w:sz w:val="24"/>
          <w:szCs w:val="24"/>
          <w:lang w:val="en-US"/>
        </w:rPr>
        <w:t>even</w:t>
      </w:r>
      <w:r w:rsidRPr="008C28EB">
        <w:rPr>
          <w:rFonts w:ascii="Times New Roman" w:hAnsi="Times New Roman"/>
          <w:sz w:val="24"/>
          <w:szCs w:val="24"/>
          <w:lang w:val="en-US"/>
        </w:rPr>
        <w:t xml:space="preserve"> for banks not </w:t>
      </w:r>
      <w:r w:rsidR="00C543F1" w:rsidRPr="008C28EB">
        <w:rPr>
          <w:rFonts w:ascii="Times New Roman" w:hAnsi="Times New Roman"/>
          <w:sz w:val="24"/>
          <w:szCs w:val="24"/>
          <w:lang w:val="en-US"/>
        </w:rPr>
        <w:t>reporting a capital shortfall</w:t>
      </w:r>
      <w:r w:rsidRPr="008C28EB">
        <w:rPr>
          <w:rFonts w:ascii="Times New Roman" w:hAnsi="Times New Roman"/>
          <w:sz w:val="24"/>
          <w:szCs w:val="24"/>
          <w:lang w:val="en-US"/>
        </w:rPr>
        <w:t xml:space="preserve"> in the Comprehensive Assessment. </w:t>
      </w:r>
      <w:r w:rsidR="00116760" w:rsidRPr="008C28EB">
        <w:rPr>
          <w:rFonts w:ascii="Times New Roman" w:hAnsi="Times New Roman"/>
          <w:sz w:val="24"/>
          <w:szCs w:val="24"/>
          <w:lang w:val="en-US"/>
        </w:rPr>
        <w:t xml:space="preserve">Furthermore, we also find some evidence that the capital shortfall (expected and then declared) is not the only driver of market reaction. </w:t>
      </w:r>
      <w:r w:rsidR="009017F2" w:rsidRPr="008C28EB">
        <w:rPr>
          <w:rFonts w:ascii="Times New Roman" w:hAnsi="Times New Roman"/>
          <w:sz w:val="24"/>
          <w:szCs w:val="24"/>
          <w:lang w:val="en-US"/>
        </w:rPr>
        <w:t xml:space="preserve">In </w:t>
      </w:r>
      <w:r w:rsidRPr="008C28EB">
        <w:rPr>
          <w:rFonts w:ascii="Times New Roman" w:hAnsi="Times New Roman"/>
          <w:sz w:val="24"/>
          <w:szCs w:val="24"/>
          <w:lang w:val="en-US"/>
        </w:rPr>
        <w:t>this final step, we try to understand whether investors were worried by something else, i.e.</w:t>
      </w:r>
      <w:r w:rsidR="002F4D19" w:rsidRPr="008C28EB">
        <w:rPr>
          <w:rFonts w:ascii="Times New Roman" w:hAnsi="Times New Roman"/>
          <w:sz w:val="24"/>
          <w:szCs w:val="24"/>
          <w:lang w:val="en-US"/>
        </w:rPr>
        <w:t>,</w:t>
      </w:r>
      <w:r w:rsidRPr="008C28EB">
        <w:rPr>
          <w:rFonts w:ascii="Times New Roman" w:hAnsi="Times New Roman"/>
          <w:sz w:val="24"/>
          <w:szCs w:val="24"/>
          <w:lang w:val="en-US"/>
        </w:rPr>
        <w:t xml:space="preserve"> by possible supervisory inconsistencies </w:t>
      </w:r>
      <w:r w:rsidR="002050BC" w:rsidRPr="008C28EB">
        <w:rPr>
          <w:rFonts w:ascii="Times New Roman" w:hAnsi="Times New Roman"/>
          <w:sz w:val="24"/>
          <w:szCs w:val="24"/>
          <w:lang w:val="en-US"/>
        </w:rPr>
        <w:t xml:space="preserve">and </w:t>
      </w:r>
      <w:r w:rsidR="00400D7C" w:rsidRPr="008C28EB">
        <w:rPr>
          <w:rFonts w:ascii="Times New Roman" w:hAnsi="Times New Roman"/>
          <w:sz w:val="24"/>
          <w:szCs w:val="24"/>
          <w:lang w:val="en-US"/>
        </w:rPr>
        <w:t xml:space="preserve">by </w:t>
      </w:r>
      <w:r w:rsidR="002050BC" w:rsidRPr="008C28EB">
        <w:rPr>
          <w:rFonts w:ascii="Times New Roman" w:hAnsi="Times New Roman"/>
          <w:sz w:val="24"/>
          <w:szCs w:val="24"/>
          <w:lang w:val="en-US"/>
        </w:rPr>
        <w:t xml:space="preserve">the adoption of a more intrusive approach </w:t>
      </w:r>
      <w:r w:rsidRPr="008C28EB">
        <w:rPr>
          <w:rFonts w:ascii="Times New Roman" w:hAnsi="Times New Roman"/>
          <w:sz w:val="24"/>
          <w:szCs w:val="24"/>
          <w:lang w:val="en-US"/>
        </w:rPr>
        <w:t xml:space="preserve">deriving from a Single Supervisory Mechanism. </w:t>
      </w:r>
      <w:r w:rsidR="00EF741A" w:rsidRPr="008C28EB">
        <w:rPr>
          <w:rFonts w:ascii="Times New Roman" w:hAnsi="Times New Roman"/>
          <w:sz w:val="24"/>
          <w:szCs w:val="24"/>
          <w:lang w:val="en-US"/>
        </w:rPr>
        <w:t xml:space="preserve">To </w:t>
      </w:r>
      <w:r w:rsidR="00177FB3" w:rsidRPr="008C28EB">
        <w:rPr>
          <w:rFonts w:ascii="Times New Roman" w:hAnsi="Times New Roman"/>
          <w:sz w:val="24"/>
          <w:szCs w:val="24"/>
          <w:lang w:val="en-US"/>
        </w:rPr>
        <w:t>this aim, we focus on the 4</w:t>
      </w:r>
      <w:r w:rsidR="00400D7C" w:rsidRPr="008C28EB">
        <w:rPr>
          <w:rFonts w:ascii="Times New Roman" w:hAnsi="Times New Roman"/>
          <w:sz w:val="24"/>
          <w:szCs w:val="24"/>
          <w:vertAlign w:val="superscript"/>
          <w:lang w:val="en-US"/>
        </w:rPr>
        <w:t>th</w:t>
      </w:r>
      <w:r w:rsidR="00177FB3" w:rsidRPr="008C28EB">
        <w:rPr>
          <w:rFonts w:ascii="Times New Roman" w:hAnsi="Times New Roman"/>
          <w:sz w:val="24"/>
          <w:szCs w:val="24"/>
          <w:lang w:val="en-US"/>
        </w:rPr>
        <w:t xml:space="preserve"> November 2014, when </w:t>
      </w:r>
      <w:r w:rsidR="002F4D19" w:rsidRPr="008C28EB">
        <w:rPr>
          <w:rFonts w:ascii="Times New Roman" w:hAnsi="Times New Roman"/>
          <w:sz w:val="24"/>
          <w:szCs w:val="24"/>
          <w:lang w:val="en-US"/>
        </w:rPr>
        <w:t xml:space="preserve">the market had already been fully informed about the output of the CA and </w:t>
      </w:r>
      <w:r w:rsidR="00177FB3" w:rsidRPr="008C28EB">
        <w:rPr>
          <w:rFonts w:ascii="Times New Roman" w:hAnsi="Times New Roman"/>
          <w:sz w:val="24"/>
          <w:szCs w:val="24"/>
          <w:lang w:val="en-US"/>
        </w:rPr>
        <w:t xml:space="preserve">the </w:t>
      </w:r>
      <w:r w:rsidR="00EF741A" w:rsidRPr="008C28EB">
        <w:rPr>
          <w:rFonts w:ascii="Times New Roman" w:hAnsi="Times New Roman"/>
          <w:sz w:val="24"/>
          <w:szCs w:val="24"/>
          <w:lang w:val="en-US"/>
        </w:rPr>
        <w:t xml:space="preserve">launching </w:t>
      </w:r>
      <w:r w:rsidR="00177FB3" w:rsidRPr="008C28EB">
        <w:rPr>
          <w:rFonts w:ascii="Times New Roman" w:hAnsi="Times New Roman"/>
          <w:sz w:val="24"/>
          <w:szCs w:val="24"/>
          <w:lang w:val="en-US"/>
        </w:rPr>
        <w:t xml:space="preserve">of the SSM was announced. </w:t>
      </w:r>
      <w:r w:rsidR="00D57624" w:rsidRPr="008C28EB">
        <w:rPr>
          <w:rFonts w:ascii="Times New Roman" w:hAnsi="Times New Roman"/>
          <w:sz w:val="24"/>
          <w:szCs w:val="24"/>
          <w:lang w:val="en-US"/>
        </w:rPr>
        <w:t xml:space="preserve">In this way, we try to neutralize the CA effect and to isolate investors’ expectation about the future of the SSM. </w:t>
      </w:r>
      <w:r w:rsidR="002F4D19" w:rsidRPr="008C28EB">
        <w:rPr>
          <w:rFonts w:ascii="Times New Roman" w:hAnsi="Times New Roman"/>
          <w:sz w:val="24"/>
          <w:szCs w:val="24"/>
          <w:lang w:val="en-US"/>
        </w:rPr>
        <w:t>As in section 3, we</w:t>
      </w:r>
      <w:r w:rsidRPr="008C28EB">
        <w:rPr>
          <w:rFonts w:ascii="Times New Roman" w:hAnsi="Times New Roman"/>
          <w:sz w:val="24"/>
          <w:szCs w:val="24"/>
          <w:lang w:val="en-US"/>
        </w:rPr>
        <w:t xml:space="preserve"> distinguish </w:t>
      </w:r>
      <w:r w:rsidRPr="008C28EB">
        <w:rPr>
          <w:rFonts w:ascii="Times New Roman" w:hAnsi="Times New Roman"/>
          <w:sz w:val="24"/>
          <w:szCs w:val="24"/>
          <w:lang w:val="en-US"/>
        </w:rPr>
        <w:lastRenderedPageBreak/>
        <w:t xml:space="preserve">between “treated banks” (i.e., banks subject to the SSM) and “untreated banks” (i.e., banks not subject to the SSM). </w:t>
      </w:r>
      <w:r w:rsidR="00EF741A" w:rsidRPr="008C28EB">
        <w:rPr>
          <w:rFonts w:ascii="Times New Roman" w:hAnsi="Times New Roman"/>
          <w:sz w:val="24"/>
          <w:szCs w:val="24"/>
          <w:lang w:val="en-US"/>
        </w:rPr>
        <w:t>In this respect</w:t>
      </w:r>
      <w:r w:rsidR="002F4D19" w:rsidRPr="008C28EB">
        <w:rPr>
          <w:rFonts w:ascii="Times New Roman" w:hAnsi="Times New Roman"/>
          <w:sz w:val="24"/>
          <w:szCs w:val="24"/>
          <w:lang w:val="en-US"/>
        </w:rPr>
        <w:t>, it is important to outline that on 4</w:t>
      </w:r>
      <w:r w:rsidR="00400D7C" w:rsidRPr="008C28EB">
        <w:rPr>
          <w:rFonts w:ascii="Times New Roman" w:hAnsi="Times New Roman"/>
          <w:sz w:val="24"/>
          <w:szCs w:val="24"/>
          <w:vertAlign w:val="superscript"/>
          <w:lang w:val="en-US"/>
        </w:rPr>
        <w:t>th</w:t>
      </w:r>
      <w:r w:rsidR="00400D7C" w:rsidRPr="008C28EB">
        <w:rPr>
          <w:rFonts w:ascii="Times New Roman" w:hAnsi="Times New Roman"/>
          <w:sz w:val="24"/>
          <w:szCs w:val="24"/>
          <w:lang w:val="en-US"/>
        </w:rPr>
        <w:t xml:space="preserve"> </w:t>
      </w:r>
      <w:r w:rsidR="002F4D19" w:rsidRPr="008C28EB">
        <w:rPr>
          <w:rFonts w:ascii="Times New Roman" w:hAnsi="Times New Roman"/>
          <w:sz w:val="24"/>
          <w:szCs w:val="24"/>
          <w:lang w:val="en-US"/>
        </w:rPr>
        <w:t xml:space="preserve">September 2014 the ECB published a final list of significant institutions excluding some banks involved in the CA (e.g., Credito Emiliano in Italy). Since these banks will maintain their national supervisors, but have been considered as significant for </w:t>
      </w:r>
      <w:r w:rsidR="003B19E6" w:rsidRPr="008C28EB">
        <w:rPr>
          <w:rFonts w:ascii="Times New Roman" w:hAnsi="Times New Roman"/>
          <w:sz w:val="24"/>
          <w:szCs w:val="24"/>
          <w:lang w:val="en-US"/>
        </w:rPr>
        <w:t>the greatest part of the</w:t>
      </w:r>
      <w:r w:rsidR="002F4D19" w:rsidRPr="008C28EB">
        <w:rPr>
          <w:rFonts w:ascii="Times New Roman" w:hAnsi="Times New Roman"/>
          <w:sz w:val="24"/>
          <w:szCs w:val="24"/>
          <w:lang w:val="en-US"/>
        </w:rPr>
        <w:t xml:space="preserve"> process up to now, we consider all results of this section</w:t>
      </w:r>
      <w:r w:rsidR="00400D7C" w:rsidRPr="008C28EB">
        <w:rPr>
          <w:rFonts w:ascii="Times New Roman" w:hAnsi="Times New Roman"/>
          <w:sz w:val="24"/>
          <w:szCs w:val="24"/>
          <w:lang w:val="en-US"/>
        </w:rPr>
        <w:t>,</w:t>
      </w:r>
      <w:r w:rsidR="002F4D19" w:rsidRPr="008C28EB">
        <w:rPr>
          <w:rFonts w:ascii="Times New Roman" w:hAnsi="Times New Roman"/>
          <w:sz w:val="24"/>
          <w:szCs w:val="24"/>
          <w:lang w:val="en-US"/>
        </w:rPr>
        <w:t xml:space="preserve"> including them </w:t>
      </w:r>
      <w:r w:rsidR="0061086A" w:rsidRPr="008C28EB">
        <w:rPr>
          <w:rFonts w:ascii="Times New Roman" w:hAnsi="Times New Roman"/>
          <w:sz w:val="24"/>
          <w:szCs w:val="24"/>
          <w:lang w:val="en-US"/>
        </w:rPr>
        <w:t>in</w:t>
      </w:r>
      <w:r w:rsidR="002F4D19" w:rsidRPr="008C28EB">
        <w:rPr>
          <w:rFonts w:ascii="Times New Roman" w:hAnsi="Times New Roman"/>
          <w:sz w:val="24"/>
          <w:szCs w:val="24"/>
          <w:lang w:val="en-US"/>
        </w:rPr>
        <w:t xml:space="preserve"> the sample of “treated”</w:t>
      </w:r>
      <w:r w:rsidR="0061086A" w:rsidRPr="008C28EB">
        <w:rPr>
          <w:rStyle w:val="Rimandonotaapidipagina"/>
          <w:rFonts w:ascii="Times New Roman" w:hAnsi="Times New Roman"/>
          <w:sz w:val="24"/>
          <w:szCs w:val="24"/>
        </w:rPr>
        <w:footnoteReference w:id="5"/>
      </w:r>
      <w:r w:rsidR="003B19E6" w:rsidRPr="008C28EB">
        <w:rPr>
          <w:rFonts w:ascii="Times New Roman" w:hAnsi="Times New Roman"/>
          <w:sz w:val="24"/>
          <w:szCs w:val="24"/>
          <w:lang w:val="en-US"/>
        </w:rPr>
        <w:t>banks</w:t>
      </w:r>
      <w:r w:rsidR="002F4D19" w:rsidRPr="008C28EB">
        <w:rPr>
          <w:rFonts w:ascii="Times New Roman" w:hAnsi="Times New Roman"/>
          <w:sz w:val="24"/>
          <w:szCs w:val="24"/>
          <w:lang w:val="en-US"/>
        </w:rPr>
        <w:t>.</w:t>
      </w:r>
    </w:p>
    <w:p w14:paraId="2A7D7FE1" w14:textId="4C876F75" w:rsidR="003A5414" w:rsidRPr="008C28EB" w:rsidRDefault="002F4D19" w:rsidP="00C25996">
      <w:pPr>
        <w:widowControl w:val="0"/>
        <w:autoSpaceDE w:val="0"/>
        <w:autoSpaceDN w:val="0"/>
        <w:adjustRightInd w:val="0"/>
        <w:spacing w:after="120" w:line="480" w:lineRule="auto"/>
        <w:ind w:firstLine="737"/>
        <w:jc w:val="both"/>
        <w:rPr>
          <w:rFonts w:ascii="Times New Roman" w:eastAsia="Times New Roman" w:hAnsi="Times New Roman"/>
          <w:sz w:val="24"/>
          <w:szCs w:val="24"/>
          <w:lang w:val="en-US"/>
        </w:rPr>
      </w:pPr>
      <w:r w:rsidRPr="008C28EB">
        <w:rPr>
          <w:rFonts w:ascii="Times New Roman" w:hAnsi="Times New Roman"/>
          <w:sz w:val="24"/>
          <w:szCs w:val="24"/>
          <w:lang w:val="en-US"/>
        </w:rPr>
        <w:t>First of all, we consider r</w:t>
      </w:r>
      <w:r w:rsidR="00177FB3" w:rsidRPr="008C28EB">
        <w:rPr>
          <w:rFonts w:ascii="Times New Roman" w:hAnsi="Times New Roman"/>
          <w:sz w:val="24"/>
          <w:szCs w:val="24"/>
          <w:lang w:val="en-US"/>
        </w:rPr>
        <w:t xml:space="preserve">esults from </w:t>
      </w:r>
      <w:r w:rsidRPr="008C28EB">
        <w:rPr>
          <w:rFonts w:ascii="Times New Roman" w:hAnsi="Times New Roman"/>
          <w:sz w:val="24"/>
          <w:szCs w:val="24"/>
          <w:lang w:val="en-US"/>
        </w:rPr>
        <w:t>an</w:t>
      </w:r>
      <w:r w:rsidR="00177FB3" w:rsidRPr="008C28EB">
        <w:rPr>
          <w:rFonts w:ascii="Times New Roman" w:hAnsi="Times New Roman"/>
          <w:sz w:val="24"/>
          <w:szCs w:val="24"/>
          <w:lang w:val="en-US"/>
        </w:rPr>
        <w:t xml:space="preserve"> event study </w:t>
      </w:r>
      <w:r w:rsidRPr="008C28EB">
        <w:rPr>
          <w:rFonts w:ascii="Times New Roman" w:hAnsi="Times New Roman"/>
          <w:sz w:val="24"/>
          <w:szCs w:val="24"/>
          <w:lang w:val="en-US"/>
        </w:rPr>
        <w:t>analysis</w:t>
      </w:r>
      <w:r w:rsidR="00D57624" w:rsidRPr="008C28EB">
        <w:rPr>
          <w:rFonts w:ascii="Times New Roman" w:hAnsi="Times New Roman"/>
          <w:sz w:val="24"/>
          <w:szCs w:val="24"/>
          <w:lang w:val="en-US"/>
        </w:rPr>
        <w:t xml:space="preserve"> on the 4</w:t>
      </w:r>
      <w:r w:rsidR="00400D7C" w:rsidRPr="008C28EB">
        <w:rPr>
          <w:rFonts w:ascii="Times New Roman" w:hAnsi="Times New Roman"/>
          <w:sz w:val="24"/>
          <w:szCs w:val="24"/>
          <w:vertAlign w:val="superscript"/>
          <w:lang w:val="en-US"/>
        </w:rPr>
        <w:t>th</w:t>
      </w:r>
      <w:r w:rsidR="00400D7C" w:rsidRPr="008C28EB">
        <w:rPr>
          <w:rFonts w:ascii="Times New Roman" w:hAnsi="Times New Roman"/>
          <w:sz w:val="24"/>
          <w:szCs w:val="24"/>
          <w:lang w:val="en-US"/>
        </w:rPr>
        <w:t xml:space="preserve"> </w:t>
      </w:r>
      <w:r w:rsidR="00D57624" w:rsidRPr="008C28EB">
        <w:rPr>
          <w:rFonts w:ascii="Times New Roman" w:hAnsi="Times New Roman"/>
          <w:sz w:val="24"/>
          <w:szCs w:val="24"/>
          <w:lang w:val="en-US"/>
        </w:rPr>
        <w:t>November 2014</w:t>
      </w:r>
      <w:r w:rsidRPr="008C28EB">
        <w:rPr>
          <w:rFonts w:ascii="Times New Roman" w:hAnsi="Times New Roman"/>
          <w:sz w:val="24"/>
          <w:szCs w:val="24"/>
          <w:lang w:val="en-US"/>
        </w:rPr>
        <w:t xml:space="preserve">, </w:t>
      </w:r>
      <w:r w:rsidR="004F4E12" w:rsidRPr="008C28EB">
        <w:rPr>
          <w:rFonts w:ascii="Times New Roman" w:hAnsi="Times New Roman"/>
          <w:sz w:val="24"/>
          <w:szCs w:val="24"/>
          <w:lang w:val="en-US"/>
        </w:rPr>
        <w:t>summarized in Table 4. It is evident that both treated and untreated banks exhibit a negative average reaction, but the magnitu</w:t>
      </w:r>
      <w:r w:rsidRPr="008C28EB">
        <w:rPr>
          <w:rFonts w:ascii="Times New Roman" w:hAnsi="Times New Roman"/>
          <w:sz w:val="24"/>
          <w:szCs w:val="24"/>
          <w:lang w:val="en-US"/>
        </w:rPr>
        <w:t xml:space="preserve">de is larger for treated banks. </w:t>
      </w:r>
      <w:r w:rsidR="004F4E12" w:rsidRPr="008C28EB">
        <w:rPr>
          <w:rFonts w:ascii="Times New Roman" w:hAnsi="Times New Roman"/>
          <w:sz w:val="24"/>
          <w:szCs w:val="24"/>
          <w:lang w:val="en-US"/>
        </w:rPr>
        <w:t>We also observe a significant difference between the two subgroups in the shortest event window, i.e.</w:t>
      </w:r>
      <w:r w:rsidRPr="008C28EB">
        <w:rPr>
          <w:rFonts w:ascii="Times New Roman" w:hAnsi="Times New Roman"/>
          <w:sz w:val="24"/>
          <w:szCs w:val="24"/>
          <w:lang w:val="en-US"/>
        </w:rPr>
        <w:t>,</w:t>
      </w:r>
      <w:r w:rsidR="004F4E12" w:rsidRPr="008C28EB">
        <w:rPr>
          <w:rFonts w:ascii="Times New Roman" w:hAnsi="Times New Roman"/>
          <w:sz w:val="24"/>
          <w:szCs w:val="24"/>
          <w:lang w:val="en-US"/>
        </w:rPr>
        <w:t xml:space="preserve"> exactly at the date of the announcement (0;0). This </w:t>
      </w:r>
      <w:r w:rsidRPr="008C28EB">
        <w:rPr>
          <w:rFonts w:ascii="Times New Roman" w:hAnsi="Times New Roman"/>
          <w:sz w:val="24"/>
          <w:szCs w:val="24"/>
          <w:lang w:val="en-US"/>
        </w:rPr>
        <w:t xml:space="preserve">evidence, together with the negative reaction at the disclosure of results also for banks involved in the CA, but without a capital shortfall (see Table 2), </w:t>
      </w:r>
      <w:r w:rsidR="004F4E12" w:rsidRPr="008C28EB">
        <w:rPr>
          <w:rFonts w:ascii="Times New Roman" w:hAnsi="Times New Roman"/>
          <w:sz w:val="24"/>
          <w:szCs w:val="24"/>
          <w:lang w:val="en-US"/>
        </w:rPr>
        <w:t>support</w:t>
      </w:r>
      <w:r w:rsidR="00400D7C" w:rsidRPr="008C28EB">
        <w:rPr>
          <w:rFonts w:ascii="Times New Roman" w:hAnsi="Times New Roman"/>
          <w:sz w:val="24"/>
          <w:szCs w:val="24"/>
          <w:lang w:val="en-US"/>
        </w:rPr>
        <w:t>s</w:t>
      </w:r>
      <w:r w:rsidR="004F4E12" w:rsidRPr="008C28EB">
        <w:rPr>
          <w:rFonts w:ascii="Times New Roman" w:hAnsi="Times New Roman"/>
          <w:sz w:val="24"/>
          <w:szCs w:val="24"/>
          <w:lang w:val="en-US"/>
        </w:rPr>
        <w:t xml:space="preserve"> the idea that investors were </w:t>
      </w:r>
      <w:r w:rsidR="003B19E6" w:rsidRPr="008C28EB">
        <w:rPr>
          <w:rFonts w:ascii="Times New Roman" w:hAnsi="Times New Roman"/>
          <w:sz w:val="24"/>
          <w:szCs w:val="24"/>
          <w:lang w:val="en-US"/>
        </w:rPr>
        <w:t xml:space="preserve">not </w:t>
      </w:r>
      <w:r w:rsidR="004F4E12" w:rsidRPr="008C28EB">
        <w:rPr>
          <w:rFonts w:ascii="Times New Roman" w:hAnsi="Times New Roman"/>
          <w:sz w:val="24"/>
          <w:szCs w:val="24"/>
          <w:lang w:val="en-US"/>
        </w:rPr>
        <w:t xml:space="preserve">worried only </w:t>
      </w:r>
      <w:r w:rsidR="003B19E6" w:rsidRPr="008C28EB">
        <w:rPr>
          <w:rFonts w:ascii="Times New Roman" w:hAnsi="Times New Roman"/>
          <w:sz w:val="24"/>
          <w:szCs w:val="24"/>
          <w:lang w:val="en-US"/>
        </w:rPr>
        <w:t xml:space="preserve">about </w:t>
      </w:r>
      <w:r w:rsidR="004F4E12" w:rsidRPr="008C28EB">
        <w:rPr>
          <w:rFonts w:ascii="Times New Roman" w:hAnsi="Times New Roman"/>
          <w:sz w:val="24"/>
          <w:szCs w:val="24"/>
          <w:lang w:val="en-US"/>
        </w:rPr>
        <w:t>the CA exercise (</w:t>
      </w:r>
      <w:r w:rsidR="003B19E6" w:rsidRPr="008C28EB">
        <w:rPr>
          <w:rFonts w:ascii="Times New Roman" w:hAnsi="Times New Roman"/>
          <w:sz w:val="24"/>
          <w:szCs w:val="24"/>
          <w:lang w:val="en-US"/>
        </w:rPr>
        <w:t>completed</w:t>
      </w:r>
      <w:r w:rsidR="004F4E12" w:rsidRPr="008C28EB">
        <w:rPr>
          <w:rFonts w:ascii="Times New Roman" w:hAnsi="Times New Roman"/>
          <w:sz w:val="24"/>
          <w:szCs w:val="24"/>
          <w:lang w:val="en-US"/>
        </w:rPr>
        <w:t xml:space="preserve"> in October 2014 and with consequences already incorporated in stock prices). Is it possible to infer a negative treatment effect for the SSM, linked to the fear of regulatory inconsistency and, in particular, </w:t>
      </w:r>
      <w:r w:rsidR="003B19E6" w:rsidRPr="008C28EB">
        <w:rPr>
          <w:rFonts w:ascii="Times New Roman" w:hAnsi="Times New Roman"/>
          <w:sz w:val="24"/>
          <w:szCs w:val="24"/>
          <w:lang w:val="en-US"/>
        </w:rPr>
        <w:t xml:space="preserve">that </w:t>
      </w:r>
      <w:r w:rsidR="004F4E12" w:rsidRPr="008C28EB">
        <w:rPr>
          <w:rFonts w:ascii="Times New Roman" w:hAnsi="Times New Roman"/>
          <w:sz w:val="24"/>
          <w:szCs w:val="24"/>
          <w:lang w:val="en-US"/>
        </w:rPr>
        <w:t>ECB</w:t>
      </w:r>
      <w:r w:rsidR="003B19E6" w:rsidRPr="008C28EB">
        <w:rPr>
          <w:rFonts w:ascii="Times New Roman" w:hAnsi="Times New Roman"/>
          <w:sz w:val="24"/>
          <w:szCs w:val="24"/>
          <w:lang w:val="en-US"/>
        </w:rPr>
        <w:t xml:space="preserve"> would prove stricter</w:t>
      </w:r>
      <w:r w:rsidR="00400D7C" w:rsidRPr="008C28EB">
        <w:rPr>
          <w:rFonts w:ascii="Times New Roman" w:hAnsi="Times New Roman"/>
          <w:sz w:val="24"/>
          <w:szCs w:val="24"/>
          <w:lang w:val="en-US"/>
        </w:rPr>
        <w:t xml:space="preserve"> </w:t>
      </w:r>
      <w:r w:rsidR="003B19E6" w:rsidRPr="008C28EB">
        <w:rPr>
          <w:rFonts w:ascii="Times New Roman" w:hAnsi="Times New Roman"/>
          <w:sz w:val="24"/>
          <w:szCs w:val="24"/>
          <w:lang w:val="en-US"/>
        </w:rPr>
        <w:t xml:space="preserve">than </w:t>
      </w:r>
      <w:r w:rsidR="004F4E12" w:rsidRPr="008C28EB">
        <w:rPr>
          <w:rFonts w:ascii="Times New Roman" w:hAnsi="Times New Roman"/>
          <w:sz w:val="24"/>
          <w:szCs w:val="24"/>
          <w:lang w:val="en-US"/>
        </w:rPr>
        <w:t>national superv</w:t>
      </w:r>
      <w:r w:rsidR="00F6343A" w:rsidRPr="008C28EB">
        <w:rPr>
          <w:rFonts w:ascii="Times New Roman" w:hAnsi="Times New Roman"/>
          <w:sz w:val="24"/>
          <w:szCs w:val="24"/>
          <w:lang w:val="en-US"/>
        </w:rPr>
        <w:t>isors.</w:t>
      </w:r>
    </w:p>
    <w:p w14:paraId="2B9F9E07" w14:textId="77777777" w:rsidR="0012655C" w:rsidRPr="008C28EB" w:rsidRDefault="004F4E12" w:rsidP="0012655C">
      <w:pPr>
        <w:suppressAutoHyphens/>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In order to answer this question, w</w:t>
      </w:r>
      <w:r w:rsidR="003A5414" w:rsidRPr="008C28EB">
        <w:rPr>
          <w:rFonts w:ascii="Times New Roman" w:hAnsi="Times New Roman"/>
          <w:sz w:val="24"/>
          <w:szCs w:val="24"/>
          <w:lang w:val="en-US"/>
        </w:rPr>
        <w:t xml:space="preserve">e </w:t>
      </w:r>
      <w:r w:rsidR="002F4D19" w:rsidRPr="008C28EB">
        <w:rPr>
          <w:rFonts w:ascii="Times New Roman" w:hAnsi="Times New Roman"/>
          <w:sz w:val="24"/>
          <w:szCs w:val="24"/>
          <w:lang w:val="en-US"/>
        </w:rPr>
        <w:t xml:space="preserve">try to </w:t>
      </w:r>
      <w:r w:rsidR="003A5414" w:rsidRPr="008C28EB">
        <w:rPr>
          <w:rFonts w:ascii="Times New Roman" w:hAnsi="Times New Roman"/>
          <w:sz w:val="24"/>
          <w:szCs w:val="24"/>
          <w:lang w:val="en-US"/>
        </w:rPr>
        <w:t xml:space="preserve">estimate </w:t>
      </w:r>
      <w:r w:rsidR="009C7763" w:rsidRPr="008C28EB">
        <w:rPr>
          <w:rFonts w:ascii="Times New Roman" w:eastAsia="Times New Roman" w:hAnsi="Times New Roman"/>
          <w:kern w:val="1"/>
          <w:sz w:val="24"/>
          <w:szCs w:val="24"/>
          <w:lang w:val="en-US" w:eastAsia="ar-SA"/>
        </w:rPr>
        <w:t xml:space="preserve">the treatment effect of the </w:t>
      </w:r>
      <w:r w:rsidR="00327E48" w:rsidRPr="008C28EB">
        <w:rPr>
          <w:rFonts w:ascii="Times New Roman" w:eastAsia="Times New Roman" w:hAnsi="Times New Roman"/>
          <w:kern w:val="1"/>
          <w:sz w:val="24"/>
          <w:szCs w:val="24"/>
          <w:lang w:val="en-US" w:eastAsia="ar-SA"/>
        </w:rPr>
        <w:t>direct ECB supervision</w:t>
      </w:r>
      <w:r w:rsidR="009C7763" w:rsidRPr="008C28EB">
        <w:rPr>
          <w:rFonts w:ascii="Times New Roman" w:eastAsia="Times New Roman" w:hAnsi="Times New Roman"/>
          <w:kern w:val="1"/>
          <w:sz w:val="24"/>
          <w:szCs w:val="24"/>
          <w:lang w:val="en-US" w:eastAsia="ar-SA"/>
        </w:rPr>
        <w:t xml:space="preserve"> considering a binary treatment variable (named as </w:t>
      </w:r>
      <w:r w:rsidR="00065C1E" w:rsidRPr="008C28EB">
        <w:rPr>
          <w:rFonts w:ascii="Times New Roman" w:eastAsia="Times New Roman" w:hAnsi="Times New Roman"/>
          <w:i/>
          <w:kern w:val="1"/>
          <w:sz w:val="24"/>
          <w:szCs w:val="24"/>
          <w:lang w:val="en-US" w:eastAsia="ar-SA"/>
        </w:rPr>
        <w:t>w</w:t>
      </w:r>
      <w:r w:rsidR="009C7763" w:rsidRPr="008C28EB">
        <w:rPr>
          <w:rFonts w:ascii="Times New Roman" w:eastAsia="Times New Roman" w:hAnsi="Times New Roman"/>
          <w:kern w:val="1"/>
          <w:sz w:val="24"/>
          <w:szCs w:val="24"/>
          <w:lang w:val="en-US" w:eastAsia="ar-SA"/>
        </w:rPr>
        <w:t xml:space="preserve">), taking value 1 for treated and 0 for untreated banks. Our dependent variable is the CAR </w:t>
      </w:r>
      <w:r w:rsidR="009C7763" w:rsidRPr="008C28EB">
        <w:rPr>
          <w:rFonts w:ascii="Times New Roman" w:eastAsia="Times New Roman" w:hAnsi="Times New Roman"/>
          <w:kern w:val="1"/>
          <w:sz w:val="24"/>
          <w:szCs w:val="24"/>
          <w:lang w:val="en-US" w:eastAsia="ar-SA"/>
        </w:rPr>
        <w:lastRenderedPageBreak/>
        <w:t xml:space="preserve">estimated </w:t>
      </w:r>
      <w:r w:rsidR="00371664" w:rsidRPr="008C28EB">
        <w:rPr>
          <w:rFonts w:ascii="Times New Roman" w:eastAsia="Times New Roman" w:hAnsi="Times New Roman"/>
          <w:kern w:val="1"/>
          <w:sz w:val="24"/>
          <w:szCs w:val="24"/>
          <w:lang w:val="en-US" w:eastAsia="ar-SA"/>
        </w:rPr>
        <w:t>in the previous step</w:t>
      </w:r>
      <w:r w:rsidR="007636E2" w:rsidRPr="008C28EB">
        <w:rPr>
          <w:rFonts w:ascii="Times New Roman" w:eastAsia="Times New Roman" w:hAnsi="Times New Roman"/>
          <w:kern w:val="1"/>
          <w:sz w:val="24"/>
          <w:szCs w:val="24"/>
          <w:lang w:val="en-US" w:eastAsia="ar-SA"/>
        </w:rPr>
        <w:t xml:space="preserve">. </w:t>
      </w:r>
      <w:r w:rsidR="001F03CE" w:rsidRPr="008C28EB">
        <w:rPr>
          <w:rFonts w:ascii="Times New Roman" w:eastAsia="Times New Roman" w:hAnsi="Times New Roman"/>
          <w:kern w:val="1"/>
          <w:sz w:val="24"/>
          <w:szCs w:val="24"/>
          <w:lang w:val="en-US" w:eastAsia="ar-SA"/>
        </w:rPr>
        <w:t>As outlined by Imbens and Woolridge (2009), experimental settings remain relatively rare in economics</w:t>
      </w:r>
      <w:r w:rsidR="007A13D7" w:rsidRPr="008C28EB">
        <w:rPr>
          <w:rFonts w:ascii="Times New Roman" w:eastAsia="Times New Roman" w:hAnsi="Times New Roman"/>
          <w:kern w:val="1"/>
          <w:sz w:val="24"/>
          <w:szCs w:val="24"/>
          <w:lang w:val="en-US" w:eastAsia="ar-SA"/>
        </w:rPr>
        <w:t xml:space="preserve"> and policy evaluation</w:t>
      </w:r>
      <w:r w:rsidR="001F03CE" w:rsidRPr="008C28EB">
        <w:rPr>
          <w:rFonts w:ascii="Times New Roman" w:eastAsia="Times New Roman" w:hAnsi="Times New Roman"/>
          <w:kern w:val="1"/>
          <w:sz w:val="24"/>
          <w:szCs w:val="24"/>
          <w:lang w:val="en-US" w:eastAsia="ar-SA"/>
        </w:rPr>
        <w:t xml:space="preserve">, while it is more frequent to rely on observational data. </w:t>
      </w:r>
      <w:r w:rsidR="008C7BAF" w:rsidRPr="008C28EB">
        <w:rPr>
          <w:rFonts w:ascii="Times New Roman" w:eastAsia="Times New Roman" w:hAnsi="Times New Roman"/>
          <w:kern w:val="1"/>
          <w:sz w:val="24"/>
          <w:szCs w:val="24"/>
          <w:lang w:val="en-US" w:eastAsia="ar-SA"/>
        </w:rPr>
        <w:t>The authors also recognize that o</w:t>
      </w:r>
      <w:r w:rsidR="001F03CE" w:rsidRPr="008C28EB">
        <w:rPr>
          <w:rFonts w:ascii="Times New Roman" w:eastAsia="Times New Roman" w:hAnsi="Times New Roman"/>
          <w:kern w:val="1"/>
          <w:sz w:val="24"/>
          <w:szCs w:val="24"/>
          <w:lang w:val="en-US" w:eastAsia="ar-SA"/>
        </w:rPr>
        <w:t xml:space="preserve">bservational data pose significant challenges in estimating causal </w:t>
      </w:r>
      <w:r w:rsidR="00CC0C35" w:rsidRPr="008C28EB">
        <w:rPr>
          <w:rFonts w:ascii="Times New Roman" w:eastAsia="Times New Roman" w:hAnsi="Times New Roman"/>
          <w:kern w:val="1"/>
          <w:sz w:val="24"/>
          <w:szCs w:val="24"/>
          <w:lang w:val="en-US" w:eastAsia="ar-SA"/>
        </w:rPr>
        <w:t xml:space="preserve">treatment </w:t>
      </w:r>
      <w:r w:rsidR="001F03CE" w:rsidRPr="008C28EB">
        <w:rPr>
          <w:rFonts w:ascii="Times New Roman" w:eastAsia="Times New Roman" w:hAnsi="Times New Roman"/>
          <w:kern w:val="1"/>
          <w:sz w:val="24"/>
          <w:szCs w:val="24"/>
          <w:lang w:val="en-US" w:eastAsia="ar-SA"/>
        </w:rPr>
        <w:t xml:space="preserve">effects, with the exception of </w:t>
      </w:r>
      <w:r w:rsidR="005E0B49" w:rsidRPr="008C28EB">
        <w:rPr>
          <w:rFonts w:ascii="Times New Roman" w:eastAsia="Times New Roman" w:hAnsi="Times New Roman"/>
          <w:kern w:val="1"/>
          <w:sz w:val="24"/>
          <w:szCs w:val="24"/>
          <w:lang w:val="en-US" w:eastAsia="ar-SA"/>
        </w:rPr>
        <w:t xml:space="preserve">the special case </w:t>
      </w:r>
      <w:r w:rsidR="001F03CE" w:rsidRPr="008C28EB">
        <w:rPr>
          <w:rFonts w:ascii="Times New Roman" w:eastAsia="Times New Roman" w:hAnsi="Times New Roman"/>
          <w:kern w:val="1"/>
          <w:sz w:val="24"/>
          <w:szCs w:val="24"/>
          <w:lang w:val="en-US" w:eastAsia="ar-SA"/>
        </w:rPr>
        <w:t>referred to as unconfoundedness or selection on observables.</w:t>
      </w:r>
      <w:r w:rsidR="005E0B49" w:rsidRPr="008C28EB">
        <w:rPr>
          <w:rFonts w:ascii="Times New Roman" w:eastAsia="Times New Roman" w:hAnsi="Times New Roman"/>
          <w:kern w:val="1"/>
          <w:sz w:val="24"/>
          <w:szCs w:val="24"/>
          <w:lang w:val="en-US" w:eastAsia="ar-SA"/>
        </w:rPr>
        <w:t xml:space="preserve"> In this case, it is possible to</w:t>
      </w:r>
      <w:r w:rsidR="00400D7C" w:rsidRPr="008C28EB">
        <w:rPr>
          <w:rFonts w:ascii="Times New Roman" w:eastAsia="Times New Roman" w:hAnsi="Times New Roman"/>
          <w:kern w:val="1"/>
          <w:sz w:val="24"/>
          <w:szCs w:val="24"/>
          <w:lang w:val="en-US" w:eastAsia="ar-SA"/>
        </w:rPr>
        <w:t xml:space="preserve"> </w:t>
      </w:r>
      <w:r w:rsidR="005E0B49" w:rsidRPr="008C28EB">
        <w:rPr>
          <w:rFonts w:ascii="Times New Roman" w:eastAsia="Times New Roman" w:hAnsi="Times New Roman"/>
          <w:kern w:val="1"/>
          <w:sz w:val="24"/>
          <w:szCs w:val="24"/>
          <w:lang w:val="en-US" w:eastAsia="ar-SA"/>
        </w:rPr>
        <w:t xml:space="preserve">remove all biases in comparisons between treated and control units </w:t>
      </w:r>
      <w:r w:rsidR="00400D7C" w:rsidRPr="008C28EB">
        <w:rPr>
          <w:rFonts w:ascii="Times New Roman" w:eastAsia="Times New Roman" w:hAnsi="Times New Roman"/>
          <w:kern w:val="1"/>
          <w:sz w:val="24"/>
          <w:szCs w:val="24"/>
          <w:lang w:val="en-US" w:eastAsia="ar-SA"/>
        </w:rPr>
        <w:t xml:space="preserve">by </w:t>
      </w:r>
      <w:r w:rsidR="001F03CE" w:rsidRPr="008C28EB">
        <w:rPr>
          <w:rFonts w:ascii="Times New Roman" w:eastAsia="Times New Roman" w:hAnsi="Times New Roman"/>
          <w:kern w:val="1"/>
          <w:sz w:val="24"/>
          <w:szCs w:val="24"/>
          <w:lang w:val="en-US" w:eastAsia="ar-SA"/>
        </w:rPr>
        <w:t>adjusting for differences in</w:t>
      </w:r>
      <w:r w:rsidR="00400D7C" w:rsidRPr="008C28EB">
        <w:rPr>
          <w:rFonts w:ascii="Times New Roman" w:eastAsia="Times New Roman" w:hAnsi="Times New Roman"/>
          <w:kern w:val="1"/>
          <w:sz w:val="24"/>
          <w:szCs w:val="24"/>
          <w:lang w:val="en-US" w:eastAsia="ar-SA"/>
        </w:rPr>
        <w:t xml:space="preserve"> </w:t>
      </w:r>
      <w:r w:rsidR="001F03CE" w:rsidRPr="008C28EB">
        <w:rPr>
          <w:rFonts w:ascii="Times New Roman" w:eastAsia="Times New Roman" w:hAnsi="Times New Roman"/>
          <w:kern w:val="1"/>
          <w:sz w:val="24"/>
          <w:szCs w:val="24"/>
          <w:lang w:val="en-US" w:eastAsia="ar-SA"/>
        </w:rPr>
        <w:t xml:space="preserve">observed </w:t>
      </w:r>
      <w:r w:rsidR="005E0B49" w:rsidRPr="008C28EB">
        <w:rPr>
          <w:rFonts w:ascii="Times New Roman" w:eastAsia="Times New Roman" w:hAnsi="Times New Roman"/>
          <w:kern w:val="1"/>
          <w:sz w:val="24"/>
          <w:szCs w:val="24"/>
          <w:lang w:val="en-US" w:eastAsia="ar-SA"/>
        </w:rPr>
        <w:t>pre-treatment variables. More in details,</w:t>
      </w:r>
      <w:r w:rsidR="00A7631E" w:rsidRPr="008C28EB">
        <w:rPr>
          <w:rFonts w:ascii="Times New Roman" w:eastAsia="Times New Roman" w:hAnsi="Times New Roman"/>
          <w:kern w:val="1"/>
          <w:sz w:val="24"/>
          <w:szCs w:val="24"/>
          <w:lang w:val="en-US" w:eastAsia="ar-SA"/>
        </w:rPr>
        <w:t xml:space="preserve"> in our </w:t>
      </w:r>
      <w:r w:rsidR="008C7BAF" w:rsidRPr="008C28EB">
        <w:rPr>
          <w:rFonts w:ascii="Times New Roman" w:eastAsia="Times New Roman" w:hAnsi="Times New Roman"/>
          <w:kern w:val="1"/>
          <w:sz w:val="24"/>
          <w:szCs w:val="24"/>
          <w:lang w:val="en-US" w:eastAsia="ar-SA"/>
        </w:rPr>
        <w:t>analysis</w:t>
      </w:r>
      <w:r w:rsidR="00A7631E" w:rsidRPr="008C28EB">
        <w:rPr>
          <w:rFonts w:ascii="Times New Roman" w:eastAsia="Times New Roman" w:hAnsi="Times New Roman"/>
          <w:kern w:val="1"/>
          <w:sz w:val="24"/>
          <w:szCs w:val="24"/>
          <w:lang w:val="en-US" w:eastAsia="ar-SA"/>
        </w:rPr>
        <w:t>, we</w:t>
      </w:r>
      <w:r w:rsidR="009C7763" w:rsidRPr="008C28EB">
        <w:rPr>
          <w:rFonts w:ascii="Times New Roman" w:eastAsia="Times New Roman" w:hAnsi="Times New Roman"/>
          <w:sz w:val="24"/>
          <w:szCs w:val="24"/>
          <w:lang w:val="en-US"/>
        </w:rPr>
        <w:t xml:space="preserve"> are in a “non-experimental” set-up, </w:t>
      </w:r>
      <w:r w:rsidR="00A7631E" w:rsidRPr="008C28EB">
        <w:rPr>
          <w:rFonts w:ascii="Times New Roman" w:eastAsia="Times New Roman" w:hAnsi="Times New Roman"/>
          <w:sz w:val="24"/>
          <w:szCs w:val="24"/>
          <w:lang w:val="en-US"/>
        </w:rPr>
        <w:t>but the following</w:t>
      </w:r>
      <w:r w:rsidR="00400D7C" w:rsidRPr="008C28EB">
        <w:rPr>
          <w:rFonts w:ascii="Times New Roman" w:eastAsia="Times New Roman" w:hAnsi="Times New Roman"/>
          <w:sz w:val="24"/>
          <w:szCs w:val="24"/>
          <w:lang w:val="en-US"/>
        </w:rPr>
        <w:t xml:space="preserve"> </w:t>
      </w:r>
      <w:r w:rsidR="00010A20" w:rsidRPr="008C28EB">
        <w:rPr>
          <w:rFonts w:ascii="Times New Roman" w:eastAsia="Times New Roman" w:hAnsi="Times New Roman"/>
          <w:sz w:val="24"/>
          <w:szCs w:val="24"/>
          <w:lang w:val="en-US"/>
        </w:rPr>
        <w:t>elements</w:t>
      </w:r>
      <w:r w:rsidR="009C7763" w:rsidRPr="008C28EB">
        <w:rPr>
          <w:rFonts w:ascii="Times New Roman" w:eastAsia="Times New Roman" w:hAnsi="Times New Roman"/>
          <w:sz w:val="24"/>
          <w:szCs w:val="24"/>
          <w:lang w:val="en-US"/>
        </w:rPr>
        <w:t xml:space="preserve"> allow </w:t>
      </w:r>
      <w:r w:rsidR="0012655C" w:rsidRPr="008C28EB">
        <w:rPr>
          <w:rFonts w:ascii="Times New Roman" w:eastAsia="Times New Roman" w:hAnsi="Times New Roman"/>
          <w:sz w:val="24"/>
          <w:szCs w:val="24"/>
          <w:lang w:val="en-US"/>
        </w:rPr>
        <w:t xml:space="preserve">us to restore randomization. First, </w:t>
      </w:r>
      <w:r w:rsidR="00CC0C35" w:rsidRPr="008C28EB">
        <w:rPr>
          <w:rFonts w:ascii="Times New Roman" w:eastAsia="Times New Roman" w:hAnsi="Times New Roman"/>
          <w:sz w:val="24"/>
          <w:szCs w:val="24"/>
          <w:lang w:val="en-US"/>
        </w:rPr>
        <w:t xml:space="preserve">the selection of banks subject to the CA is based on observable pre-treatment characteristics, explicitly declared by the ECB, i.e., the location of banks (in the EMU area) and their relative size (total assets with respect to country GDP, </w:t>
      </w:r>
      <w:r w:rsidR="00CC0C35" w:rsidRPr="008C28EB">
        <w:rPr>
          <w:rFonts w:ascii="Times New Roman" w:eastAsia="Times New Roman" w:hAnsi="Times New Roman"/>
          <w:i/>
          <w:sz w:val="24"/>
          <w:szCs w:val="24"/>
          <w:lang w:val="en-US"/>
        </w:rPr>
        <w:t>Res</w:t>
      </w:r>
      <w:r w:rsidR="00CC0C35" w:rsidRPr="008C28EB">
        <w:rPr>
          <w:rFonts w:ascii="Times New Roman" w:eastAsia="Times New Roman" w:hAnsi="Times New Roman"/>
          <w:sz w:val="24"/>
          <w:szCs w:val="24"/>
          <w:lang w:val="en-US"/>
        </w:rPr>
        <w:t>). Second, it is reasonable to</w:t>
      </w:r>
      <w:r w:rsidR="009C7763" w:rsidRPr="008C28EB">
        <w:rPr>
          <w:rFonts w:ascii="Times New Roman" w:eastAsia="Times New Roman" w:hAnsi="Times New Roman"/>
          <w:sz w:val="24"/>
          <w:szCs w:val="24"/>
          <w:lang w:val="en-US"/>
        </w:rPr>
        <w:t xml:space="preserve"> exclude </w:t>
      </w:r>
      <w:r w:rsidR="00CC0C35" w:rsidRPr="008C28EB">
        <w:rPr>
          <w:rFonts w:ascii="Times New Roman" w:eastAsia="Times New Roman" w:hAnsi="Times New Roman"/>
          <w:sz w:val="24"/>
          <w:szCs w:val="24"/>
          <w:lang w:val="en-US"/>
        </w:rPr>
        <w:t xml:space="preserve">a severe problem of </w:t>
      </w:r>
      <w:r w:rsidR="009C7763" w:rsidRPr="008C28EB">
        <w:rPr>
          <w:rFonts w:ascii="Times New Roman" w:eastAsia="Times New Roman" w:hAnsi="Times New Roman"/>
          <w:sz w:val="24"/>
          <w:szCs w:val="24"/>
          <w:lang w:val="en-US"/>
        </w:rPr>
        <w:t>self-selection (i.e., individuals choose or not to apply for the treatment)</w:t>
      </w:r>
      <w:r w:rsidR="0012655C" w:rsidRPr="008C28EB">
        <w:rPr>
          <w:rFonts w:ascii="Times New Roman" w:eastAsia="Times New Roman" w:hAnsi="Times New Roman"/>
          <w:sz w:val="24"/>
          <w:szCs w:val="24"/>
          <w:lang w:val="en-US"/>
        </w:rPr>
        <w:t>,</w:t>
      </w:r>
      <w:r w:rsidR="009C7763" w:rsidRPr="008C28EB">
        <w:rPr>
          <w:rFonts w:ascii="Times New Roman" w:eastAsia="Times New Roman" w:hAnsi="Times New Roman"/>
          <w:sz w:val="24"/>
          <w:szCs w:val="24"/>
          <w:lang w:val="en-US"/>
        </w:rPr>
        <w:t xml:space="preserve"> since banks </w:t>
      </w:r>
      <w:r w:rsidR="00CC7BE5" w:rsidRPr="008C28EB">
        <w:rPr>
          <w:rFonts w:ascii="Times New Roman" w:eastAsia="Times New Roman" w:hAnsi="Times New Roman"/>
          <w:sz w:val="24"/>
          <w:szCs w:val="24"/>
          <w:lang w:val="en-US"/>
        </w:rPr>
        <w:t xml:space="preserve">subject </w:t>
      </w:r>
      <w:r w:rsidR="009C7763" w:rsidRPr="008C28EB">
        <w:rPr>
          <w:rFonts w:ascii="Times New Roman" w:eastAsia="Times New Roman" w:hAnsi="Times New Roman"/>
          <w:sz w:val="24"/>
          <w:szCs w:val="24"/>
          <w:lang w:val="en-US"/>
        </w:rPr>
        <w:t xml:space="preserve">to the CA </w:t>
      </w:r>
      <w:r w:rsidR="007636E2" w:rsidRPr="008C28EB">
        <w:rPr>
          <w:rFonts w:ascii="Times New Roman" w:eastAsia="Times New Roman" w:hAnsi="Times New Roman"/>
          <w:sz w:val="24"/>
          <w:szCs w:val="24"/>
          <w:lang w:val="en-US"/>
        </w:rPr>
        <w:t xml:space="preserve">(and then to direct ECB supervision under the SSM) </w:t>
      </w:r>
      <w:r w:rsidR="00CC7BE5" w:rsidRPr="008C28EB">
        <w:rPr>
          <w:rFonts w:ascii="Times New Roman" w:eastAsia="Times New Roman" w:hAnsi="Times New Roman"/>
          <w:sz w:val="24"/>
          <w:szCs w:val="24"/>
          <w:lang w:val="en-US"/>
        </w:rPr>
        <w:t>were</w:t>
      </w:r>
      <w:r w:rsidR="009C7763" w:rsidRPr="008C28EB">
        <w:rPr>
          <w:rFonts w:ascii="Times New Roman" w:eastAsia="Times New Roman" w:hAnsi="Times New Roman"/>
          <w:sz w:val="24"/>
          <w:szCs w:val="24"/>
          <w:lang w:val="en-US"/>
        </w:rPr>
        <w:t xml:space="preserve"> selected </w:t>
      </w:r>
      <w:r w:rsidR="00CC0C35" w:rsidRPr="008C28EB">
        <w:rPr>
          <w:rFonts w:ascii="Times New Roman" w:eastAsia="Times New Roman" w:hAnsi="Times New Roman"/>
          <w:sz w:val="24"/>
          <w:szCs w:val="24"/>
          <w:lang w:val="en-US"/>
        </w:rPr>
        <w:t>in the EMU</w:t>
      </w:r>
      <w:r w:rsidR="00933AAD" w:rsidRPr="008C28EB">
        <w:rPr>
          <w:rFonts w:ascii="Times New Roman" w:eastAsia="Times New Roman" w:hAnsi="Times New Roman"/>
          <w:sz w:val="24"/>
          <w:szCs w:val="24"/>
          <w:lang w:val="en-US"/>
        </w:rPr>
        <w:t xml:space="preserve"> </w:t>
      </w:r>
      <w:r w:rsidR="00CC0C35" w:rsidRPr="008C28EB">
        <w:rPr>
          <w:rFonts w:ascii="Times New Roman" w:eastAsia="Times New Roman" w:hAnsi="Times New Roman"/>
          <w:sz w:val="24"/>
          <w:szCs w:val="24"/>
          <w:lang w:val="en-US"/>
        </w:rPr>
        <w:t>on the basis of</w:t>
      </w:r>
      <w:r w:rsidR="00933AAD" w:rsidRPr="008C28EB">
        <w:rPr>
          <w:rFonts w:ascii="Times New Roman" w:eastAsia="Times New Roman" w:hAnsi="Times New Roman"/>
          <w:sz w:val="24"/>
          <w:szCs w:val="24"/>
          <w:lang w:val="en-US"/>
        </w:rPr>
        <w:t xml:space="preserve"> </w:t>
      </w:r>
      <w:r w:rsidR="00CC7BE5" w:rsidRPr="008C28EB">
        <w:rPr>
          <w:rFonts w:ascii="Times New Roman" w:eastAsia="Times New Roman" w:hAnsi="Times New Roman"/>
          <w:sz w:val="24"/>
          <w:szCs w:val="24"/>
          <w:lang w:val="en-US"/>
        </w:rPr>
        <w:t xml:space="preserve">their </w:t>
      </w:r>
      <w:r w:rsidR="009C7763" w:rsidRPr="008C28EB">
        <w:rPr>
          <w:rFonts w:ascii="Times New Roman" w:eastAsia="Times New Roman" w:hAnsi="Times New Roman"/>
          <w:sz w:val="24"/>
          <w:szCs w:val="24"/>
          <w:lang w:val="en-US"/>
        </w:rPr>
        <w:t>size</w:t>
      </w:r>
      <w:r w:rsidR="00CC7BE5" w:rsidRPr="008C28EB">
        <w:rPr>
          <w:rFonts w:ascii="Times New Roman" w:eastAsia="Times New Roman" w:hAnsi="Times New Roman"/>
          <w:sz w:val="24"/>
          <w:szCs w:val="24"/>
          <w:lang w:val="en-US"/>
        </w:rPr>
        <w:t>,</w:t>
      </w:r>
      <w:r w:rsidR="009C7763" w:rsidRPr="008C28EB">
        <w:rPr>
          <w:rFonts w:ascii="Times New Roman" w:eastAsia="Times New Roman" w:hAnsi="Times New Roman"/>
          <w:sz w:val="24"/>
          <w:szCs w:val="24"/>
          <w:lang w:val="en-US"/>
        </w:rPr>
        <w:t xml:space="preserve"> which is not a variable under management control</w:t>
      </w:r>
      <w:r w:rsidR="00272292" w:rsidRPr="008C28EB">
        <w:rPr>
          <w:rFonts w:ascii="Times New Roman" w:eastAsia="Times New Roman" w:hAnsi="Times New Roman"/>
          <w:sz w:val="24"/>
          <w:szCs w:val="24"/>
          <w:lang w:val="en-US"/>
        </w:rPr>
        <w:t>,</w:t>
      </w:r>
      <w:r w:rsidR="0012655C" w:rsidRPr="008C28EB">
        <w:rPr>
          <w:rFonts w:ascii="Times New Roman" w:eastAsia="Times New Roman" w:hAnsi="Times New Roman"/>
          <w:sz w:val="24"/>
          <w:szCs w:val="24"/>
          <w:lang w:val="en-US"/>
        </w:rPr>
        <w:t xml:space="preserve"> at least in the short run. </w:t>
      </w:r>
    </w:p>
    <w:p w14:paraId="257E2A5E" w14:textId="178AABAE" w:rsidR="00327E48" w:rsidRPr="008C28EB" w:rsidRDefault="00CD751A" w:rsidP="001F03CE">
      <w:pPr>
        <w:suppressAutoHyphens/>
        <w:spacing w:after="120" w:line="480" w:lineRule="auto"/>
        <w:ind w:firstLine="709"/>
        <w:jc w:val="both"/>
        <w:rPr>
          <w:rFonts w:ascii="Times New Roman" w:hAnsi="Times New Roman"/>
          <w:sz w:val="24"/>
          <w:szCs w:val="24"/>
          <w:lang w:val="en-US"/>
        </w:rPr>
      </w:pPr>
      <w:r w:rsidRPr="008C28EB">
        <w:rPr>
          <w:rFonts w:ascii="Times New Roman" w:eastAsia="Times New Roman" w:hAnsi="Times New Roman"/>
          <w:sz w:val="24"/>
          <w:szCs w:val="24"/>
          <w:lang w:val="en-US"/>
        </w:rPr>
        <w:t>O</w:t>
      </w:r>
      <w:r w:rsidR="009C7763" w:rsidRPr="008C28EB">
        <w:rPr>
          <w:rFonts w:ascii="Times New Roman" w:eastAsia="Times New Roman" w:hAnsi="Times New Roman"/>
          <w:sz w:val="24"/>
          <w:szCs w:val="24"/>
          <w:lang w:val="en-US"/>
        </w:rPr>
        <w:t xml:space="preserve">nce </w:t>
      </w:r>
      <w:r w:rsidR="0012655C" w:rsidRPr="008C28EB">
        <w:rPr>
          <w:rFonts w:ascii="Times New Roman" w:eastAsia="Times New Roman" w:hAnsi="Times New Roman"/>
          <w:sz w:val="24"/>
          <w:szCs w:val="24"/>
          <w:lang w:val="en-US"/>
        </w:rPr>
        <w:t xml:space="preserve">the self-selection is excluded and </w:t>
      </w:r>
      <w:r w:rsidR="009C7763" w:rsidRPr="008C28EB">
        <w:rPr>
          <w:rFonts w:ascii="Times New Roman" w:eastAsia="Times New Roman" w:hAnsi="Times New Roman"/>
          <w:sz w:val="24"/>
          <w:szCs w:val="24"/>
          <w:lang w:val="en-US"/>
        </w:rPr>
        <w:t xml:space="preserve">the knowledge of the factors affecting the sample selection </w:t>
      </w:r>
      <w:r w:rsidR="005B2779" w:rsidRPr="008C28EB">
        <w:rPr>
          <w:rFonts w:ascii="Times New Roman" w:eastAsia="Times New Roman" w:hAnsi="Times New Roman"/>
          <w:sz w:val="24"/>
          <w:szCs w:val="24"/>
          <w:lang w:val="en-US"/>
        </w:rPr>
        <w:t xml:space="preserve">is </w:t>
      </w:r>
      <w:r w:rsidR="009C7763" w:rsidRPr="008C28EB">
        <w:rPr>
          <w:rFonts w:ascii="Times New Roman" w:eastAsia="Times New Roman" w:hAnsi="Times New Roman"/>
          <w:sz w:val="24"/>
          <w:szCs w:val="24"/>
          <w:lang w:val="en-US"/>
        </w:rPr>
        <w:t xml:space="preserve">taken into account, the condition of randomization is restored and it is possible to adopt a </w:t>
      </w:r>
      <w:r w:rsidR="00A7631E" w:rsidRPr="008C28EB">
        <w:rPr>
          <w:rFonts w:ascii="Times New Roman" w:eastAsia="Times New Roman" w:hAnsi="Times New Roman"/>
          <w:sz w:val="24"/>
          <w:szCs w:val="24"/>
          <w:lang w:val="en-US"/>
        </w:rPr>
        <w:t>simple OLS approach, controlling for these factors (</w:t>
      </w:r>
      <w:r w:rsidRPr="008C28EB">
        <w:rPr>
          <w:rFonts w:ascii="Times New Roman" w:eastAsia="Times New Roman" w:hAnsi="Times New Roman"/>
          <w:sz w:val="24"/>
          <w:szCs w:val="24"/>
          <w:lang w:val="en-US"/>
        </w:rPr>
        <w:t>Cerulli, 2014)</w:t>
      </w:r>
      <w:r w:rsidR="009C7763" w:rsidRPr="008C28EB">
        <w:rPr>
          <w:rFonts w:ascii="Times New Roman" w:eastAsia="Times New Roman" w:hAnsi="Times New Roman"/>
          <w:sz w:val="24"/>
          <w:szCs w:val="24"/>
          <w:lang w:val="en-US"/>
        </w:rPr>
        <w:t xml:space="preserve">. </w:t>
      </w:r>
    </w:p>
    <w:p w14:paraId="742C17FC" w14:textId="13DB829C" w:rsidR="007501A7" w:rsidRPr="008C28EB" w:rsidRDefault="007501A7" w:rsidP="00C25996">
      <w:pPr>
        <w:spacing w:after="120" w:line="480" w:lineRule="auto"/>
        <w:ind w:firstLine="709"/>
        <w:jc w:val="both"/>
        <w:rPr>
          <w:rFonts w:ascii="Times New Roman" w:eastAsia="Times New Roman" w:hAnsi="Times New Roman"/>
          <w:b/>
          <w:sz w:val="24"/>
          <w:szCs w:val="24"/>
          <w:lang w:val="en-US"/>
        </w:rPr>
      </w:pPr>
      <w:r w:rsidRPr="008C28EB">
        <w:rPr>
          <w:rFonts w:ascii="Times New Roman" w:eastAsia="Times New Roman" w:hAnsi="Times New Roman"/>
          <w:sz w:val="24"/>
          <w:szCs w:val="24"/>
          <w:lang w:val="en-US"/>
        </w:rPr>
        <w:t>One might also claim that investors</w:t>
      </w:r>
      <w:r w:rsidR="00933AAD" w:rsidRPr="008C28EB">
        <w:rPr>
          <w:rFonts w:ascii="Times New Roman" w:eastAsia="Times New Roman" w:hAnsi="Times New Roman"/>
          <w:sz w:val="24"/>
          <w:szCs w:val="24"/>
          <w:lang w:val="en-US"/>
        </w:rPr>
        <w:t xml:space="preserve"> </w:t>
      </w:r>
      <w:r w:rsidRPr="008C28EB">
        <w:rPr>
          <w:rFonts w:ascii="Times New Roman" w:hAnsi="Times New Roman"/>
          <w:sz w:val="24"/>
          <w:szCs w:val="24"/>
          <w:lang w:val="en-US"/>
        </w:rPr>
        <w:t>were penalizing treated banks for some of the</w:t>
      </w:r>
      <w:r w:rsidR="00272292" w:rsidRPr="008C28EB">
        <w:rPr>
          <w:rFonts w:ascii="Times New Roman" w:hAnsi="Times New Roman"/>
          <w:sz w:val="24"/>
          <w:szCs w:val="24"/>
          <w:lang w:val="en-US"/>
        </w:rPr>
        <w:t>ir specific features</w:t>
      </w:r>
      <w:r w:rsidR="00477E0B" w:rsidRPr="008C28EB">
        <w:rPr>
          <w:rFonts w:ascii="Times New Roman" w:hAnsi="Times New Roman"/>
          <w:sz w:val="24"/>
          <w:szCs w:val="24"/>
          <w:lang w:val="en-US"/>
        </w:rPr>
        <w:t xml:space="preserve"> not necessarily related to the SSM</w:t>
      </w:r>
      <w:r w:rsidR="00272292" w:rsidRPr="008C28EB">
        <w:rPr>
          <w:rFonts w:ascii="Times New Roman" w:hAnsi="Times New Roman"/>
          <w:sz w:val="24"/>
          <w:szCs w:val="24"/>
          <w:lang w:val="en-US"/>
        </w:rPr>
        <w:t xml:space="preserve">, such as </w:t>
      </w:r>
      <w:r w:rsidRPr="008C28EB">
        <w:rPr>
          <w:rFonts w:ascii="Times New Roman" w:hAnsi="Times New Roman"/>
          <w:sz w:val="24"/>
          <w:szCs w:val="24"/>
          <w:lang w:val="en-US"/>
        </w:rPr>
        <w:t xml:space="preserve">poor </w:t>
      </w:r>
      <w:r w:rsidRPr="008C28EB">
        <w:rPr>
          <w:rFonts w:ascii="Times New Roman" w:hAnsi="Times New Roman"/>
          <w:sz w:val="24"/>
          <w:szCs w:val="24"/>
          <w:lang w:val="en-US"/>
        </w:rPr>
        <w:lastRenderedPageBreak/>
        <w:t>profitability or low capitalization</w:t>
      </w:r>
      <w:r w:rsidR="00477E0B" w:rsidRPr="008C28EB">
        <w:rPr>
          <w:rFonts w:ascii="Times New Roman" w:hAnsi="Times New Roman"/>
          <w:sz w:val="24"/>
          <w:szCs w:val="24"/>
          <w:lang w:val="en-US"/>
        </w:rPr>
        <w:t>.</w:t>
      </w:r>
      <w:r w:rsidRPr="008C28EB">
        <w:rPr>
          <w:rFonts w:ascii="Times New Roman" w:hAnsi="Times New Roman"/>
          <w:sz w:val="24"/>
          <w:szCs w:val="24"/>
          <w:lang w:val="en-US"/>
        </w:rPr>
        <w:t xml:space="preserve"> In order to overcome this limitation, we estimate the treatment effect considering several possible confounding effects, both at the macro and the micro level. At the macro level, we include the level of state aid provided by governments to the banking sector during the financial crisis (</w:t>
      </w:r>
      <w:r w:rsidRPr="008C28EB">
        <w:rPr>
          <w:rFonts w:ascii="Times New Roman" w:hAnsi="Times New Roman"/>
          <w:i/>
          <w:sz w:val="24"/>
          <w:szCs w:val="24"/>
          <w:lang w:val="en-US"/>
        </w:rPr>
        <w:t>Sta</w:t>
      </w:r>
      <w:r w:rsidRPr="008C28EB">
        <w:rPr>
          <w:rFonts w:ascii="Times New Roman" w:hAnsi="Times New Roman"/>
          <w:sz w:val="24"/>
          <w:szCs w:val="24"/>
          <w:lang w:val="en-US"/>
        </w:rPr>
        <w:t>), the level of country wealth (measured by nominal GDP), and the level of competition in the banking industry (measured with the HHI index). At the micro level, we take into account the level of profitability (</w:t>
      </w:r>
      <w:r w:rsidRPr="008C28EB">
        <w:rPr>
          <w:rFonts w:ascii="Times New Roman" w:hAnsi="Times New Roman"/>
          <w:i/>
          <w:sz w:val="24"/>
          <w:szCs w:val="24"/>
          <w:lang w:val="en-US"/>
        </w:rPr>
        <w:t>ROA</w:t>
      </w:r>
      <w:r w:rsidRPr="008C28EB">
        <w:rPr>
          <w:rFonts w:ascii="Times New Roman" w:hAnsi="Times New Roman"/>
          <w:sz w:val="24"/>
          <w:szCs w:val="24"/>
          <w:lang w:val="en-US"/>
        </w:rPr>
        <w:t xml:space="preserve">) and capitalization (equity on total assets, </w:t>
      </w:r>
      <w:r w:rsidRPr="008C28EB">
        <w:rPr>
          <w:rFonts w:ascii="Times New Roman" w:hAnsi="Times New Roman"/>
          <w:i/>
          <w:sz w:val="24"/>
          <w:szCs w:val="24"/>
          <w:lang w:val="en-US"/>
        </w:rPr>
        <w:t>ETA</w:t>
      </w:r>
      <w:r w:rsidRPr="008C28EB">
        <w:rPr>
          <w:rFonts w:ascii="Times New Roman" w:hAnsi="Times New Roman"/>
          <w:sz w:val="24"/>
          <w:szCs w:val="24"/>
          <w:lang w:val="en-US"/>
        </w:rPr>
        <w:t xml:space="preserve">). </w:t>
      </w:r>
    </w:p>
    <w:p w14:paraId="5AA11575" w14:textId="0E930099" w:rsidR="000964A5" w:rsidRPr="008C28EB" w:rsidRDefault="00CD751A" w:rsidP="007B5627">
      <w:pPr>
        <w:spacing w:after="120" w:line="480" w:lineRule="auto"/>
        <w:ind w:firstLine="709"/>
        <w:jc w:val="both"/>
        <w:rPr>
          <w:rFonts w:ascii="Times New Roman" w:eastAsia="Times New Roman" w:hAnsi="Times New Roman"/>
          <w:kern w:val="1"/>
          <w:sz w:val="24"/>
          <w:szCs w:val="24"/>
          <w:lang w:val="en-US" w:eastAsia="ar-SA"/>
        </w:rPr>
      </w:pPr>
      <w:r w:rsidRPr="008C28EB">
        <w:rPr>
          <w:rFonts w:ascii="Times New Roman" w:eastAsia="Times New Roman" w:hAnsi="Times New Roman"/>
          <w:sz w:val="24"/>
          <w:szCs w:val="24"/>
          <w:lang w:val="en-US"/>
        </w:rPr>
        <w:t>S</w:t>
      </w:r>
      <w:r w:rsidR="009C7763" w:rsidRPr="008C28EB">
        <w:rPr>
          <w:rFonts w:ascii="Times New Roman" w:eastAsia="Times New Roman" w:hAnsi="Times New Roman"/>
          <w:sz w:val="24"/>
          <w:szCs w:val="24"/>
          <w:lang w:val="en-US"/>
        </w:rPr>
        <w:t xml:space="preserve">pecifically, we run a model with idiosyncratic (or heterogeneous) average treatment effect. </w:t>
      </w:r>
      <w:r w:rsidR="007B5627" w:rsidRPr="008C28EB">
        <w:rPr>
          <w:rFonts w:ascii="Times New Roman" w:eastAsia="Times New Roman" w:hAnsi="Times New Roman"/>
          <w:sz w:val="24"/>
          <w:szCs w:val="24"/>
          <w:lang w:val="en-US"/>
        </w:rPr>
        <w:t xml:space="preserve">As outlined by Cerulli (2014), the </w:t>
      </w:r>
      <w:r w:rsidR="00B40023" w:rsidRPr="008C28EB">
        <w:rPr>
          <w:rFonts w:ascii="Times New Roman" w:eastAsia="Times New Roman" w:hAnsi="Times New Roman"/>
          <w:sz w:val="24"/>
          <w:szCs w:val="24"/>
          <w:lang w:val="en-US"/>
        </w:rPr>
        <w:t>benefit</w:t>
      </w:r>
      <w:r w:rsidR="007B5627" w:rsidRPr="008C28EB">
        <w:rPr>
          <w:rFonts w:ascii="Times New Roman" w:eastAsia="Times New Roman" w:hAnsi="Times New Roman"/>
          <w:sz w:val="24"/>
          <w:szCs w:val="24"/>
          <w:lang w:val="en-US"/>
        </w:rPr>
        <w:t xml:space="preserve"> of this model is that it allows for generalization of the regression approach typically used in standard program evaluation by considering potentially heterogeneous response to treatment. From an operational point of view, the existence of this heterogeneity is considered by introducing interactions between the binary treatment variable and the covariates of interest in the outcome equation.</w:t>
      </w:r>
      <w:r w:rsidR="003A5108" w:rsidRPr="008C28EB">
        <w:rPr>
          <w:rFonts w:ascii="Times New Roman" w:eastAsia="Times New Roman" w:hAnsi="Times New Roman"/>
          <w:sz w:val="24"/>
          <w:szCs w:val="24"/>
          <w:lang w:val="en-US"/>
        </w:rPr>
        <w:t xml:space="preserve"> </w:t>
      </w:r>
      <w:r w:rsidR="00327E48" w:rsidRPr="008C28EB">
        <w:rPr>
          <w:rFonts w:ascii="Times New Roman" w:eastAsia="Times New Roman" w:hAnsi="Times New Roman"/>
          <w:kern w:val="1"/>
          <w:sz w:val="24"/>
          <w:szCs w:val="24"/>
          <w:lang w:val="en-US" w:eastAsia="ar-SA"/>
        </w:rPr>
        <w:t>Assuming heterogeneity in treatment response, the Average Treatment Effect (ATE</w:t>
      </w:r>
      <w:r w:rsidR="00A12961" w:rsidRPr="008C28EB">
        <w:rPr>
          <w:rFonts w:ascii="Times New Roman" w:eastAsia="Times New Roman" w:hAnsi="Times New Roman"/>
          <w:kern w:val="1"/>
          <w:sz w:val="24"/>
          <w:szCs w:val="24"/>
          <w:lang w:val="en-US" w:eastAsia="ar-SA"/>
        </w:rPr>
        <w:t xml:space="preserve">) obtained </w:t>
      </w:r>
      <w:r w:rsidR="00327E48" w:rsidRPr="008C28EB">
        <w:rPr>
          <w:rFonts w:ascii="Times New Roman" w:eastAsia="Times New Roman" w:hAnsi="Times New Roman"/>
          <w:kern w:val="1"/>
          <w:sz w:val="24"/>
          <w:szCs w:val="24"/>
          <w:lang w:val="en-US" w:eastAsia="ar-SA"/>
        </w:rPr>
        <w:t xml:space="preserve">is different from either the average treatment effect on treated </w:t>
      </w:r>
      <w:r w:rsidR="003A5108" w:rsidRPr="008C28EB">
        <w:rPr>
          <w:rFonts w:ascii="Times New Roman" w:eastAsia="Times New Roman" w:hAnsi="Times New Roman"/>
          <w:kern w:val="1"/>
          <w:sz w:val="24"/>
          <w:szCs w:val="24"/>
          <w:lang w:val="en-US" w:eastAsia="ar-SA"/>
        </w:rPr>
        <w:t xml:space="preserve">banks </w:t>
      </w:r>
      <w:r w:rsidR="00327E48" w:rsidRPr="008C28EB">
        <w:rPr>
          <w:rFonts w:ascii="Times New Roman" w:eastAsia="Times New Roman" w:hAnsi="Times New Roman"/>
          <w:kern w:val="1"/>
          <w:sz w:val="24"/>
          <w:szCs w:val="24"/>
          <w:lang w:val="en-US" w:eastAsia="ar-SA"/>
        </w:rPr>
        <w:t xml:space="preserve">(ATET) </w:t>
      </w:r>
      <w:r w:rsidR="00CC7BE5" w:rsidRPr="008C28EB">
        <w:rPr>
          <w:rFonts w:ascii="Times New Roman" w:eastAsia="Times New Roman" w:hAnsi="Times New Roman"/>
          <w:kern w:val="1"/>
          <w:sz w:val="24"/>
          <w:szCs w:val="24"/>
          <w:lang w:val="en-US" w:eastAsia="ar-SA"/>
        </w:rPr>
        <w:t xml:space="preserve">or </w:t>
      </w:r>
      <w:r w:rsidR="00327E48" w:rsidRPr="008C28EB">
        <w:rPr>
          <w:rFonts w:ascii="Times New Roman" w:eastAsia="Times New Roman" w:hAnsi="Times New Roman"/>
          <w:kern w:val="1"/>
          <w:sz w:val="24"/>
          <w:szCs w:val="24"/>
          <w:lang w:val="en-US" w:eastAsia="ar-SA"/>
        </w:rPr>
        <w:t xml:space="preserve">the </w:t>
      </w:r>
      <w:r w:rsidR="005B33EE" w:rsidRPr="008C28EB">
        <w:rPr>
          <w:rFonts w:ascii="Times New Roman" w:eastAsia="Times New Roman" w:hAnsi="Times New Roman"/>
          <w:kern w:val="1"/>
          <w:sz w:val="24"/>
          <w:szCs w:val="24"/>
          <w:lang w:val="en-US" w:eastAsia="ar-SA"/>
        </w:rPr>
        <w:t>average treatment effect on non-</w:t>
      </w:r>
      <w:r w:rsidR="00CC7BE5" w:rsidRPr="008C28EB">
        <w:rPr>
          <w:rFonts w:ascii="Times New Roman" w:eastAsia="Times New Roman" w:hAnsi="Times New Roman"/>
          <w:kern w:val="1"/>
          <w:sz w:val="24"/>
          <w:szCs w:val="24"/>
          <w:lang w:val="en-US" w:eastAsia="ar-SA"/>
        </w:rPr>
        <w:t>treated banks</w:t>
      </w:r>
      <w:r w:rsidR="00675EB8" w:rsidRPr="008C28EB">
        <w:rPr>
          <w:rFonts w:ascii="Times New Roman" w:eastAsia="Times New Roman" w:hAnsi="Times New Roman"/>
          <w:kern w:val="1"/>
          <w:sz w:val="24"/>
          <w:szCs w:val="24"/>
          <w:lang w:val="en-US" w:eastAsia="ar-SA"/>
        </w:rPr>
        <w:t xml:space="preserve"> </w:t>
      </w:r>
      <w:r w:rsidR="00850DD5" w:rsidRPr="008C28EB">
        <w:rPr>
          <w:rFonts w:ascii="Times New Roman" w:eastAsia="Times New Roman" w:hAnsi="Times New Roman"/>
          <w:kern w:val="1"/>
          <w:sz w:val="24"/>
          <w:szCs w:val="24"/>
          <w:lang w:val="en-US" w:eastAsia="ar-SA"/>
        </w:rPr>
        <w:t xml:space="preserve">(ATENT), since </w:t>
      </w:r>
      <w:r w:rsidR="00ED03BF" w:rsidRPr="008C28EB">
        <w:rPr>
          <w:rFonts w:ascii="Times New Roman" w:eastAsia="Times New Roman" w:hAnsi="Times New Roman"/>
          <w:kern w:val="1"/>
          <w:sz w:val="24"/>
          <w:szCs w:val="24"/>
          <w:lang w:val="en-US" w:eastAsia="ar-SA"/>
        </w:rPr>
        <w:t>the parameters ATE, ATET, and ATENT are no more single values, but are function</w:t>
      </w:r>
      <w:r w:rsidR="003A5108" w:rsidRPr="008C28EB">
        <w:rPr>
          <w:rFonts w:ascii="Times New Roman" w:eastAsia="Times New Roman" w:hAnsi="Times New Roman"/>
          <w:kern w:val="1"/>
          <w:sz w:val="24"/>
          <w:szCs w:val="24"/>
          <w:lang w:val="en-US" w:eastAsia="ar-SA"/>
        </w:rPr>
        <w:t>s</w:t>
      </w:r>
      <w:r w:rsidR="00ED03BF" w:rsidRPr="008C28EB">
        <w:rPr>
          <w:rFonts w:ascii="Times New Roman" w:eastAsia="Times New Roman" w:hAnsi="Times New Roman"/>
          <w:kern w:val="1"/>
          <w:sz w:val="24"/>
          <w:szCs w:val="24"/>
          <w:lang w:val="en-US" w:eastAsia="ar-SA"/>
        </w:rPr>
        <w:t xml:space="preserve"> of</w:t>
      </w:r>
      <w:r w:rsidR="00850DD5" w:rsidRPr="008C28EB">
        <w:rPr>
          <w:rFonts w:ascii="Times New Roman" w:eastAsia="Times New Roman" w:hAnsi="Times New Roman"/>
          <w:kern w:val="1"/>
          <w:sz w:val="24"/>
          <w:szCs w:val="24"/>
          <w:lang w:val="en-US" w:eastAsia="ar-SA"/>
        </w:rPr>
        <w:t xml:space="preserve"> the control variables included in the regression. Consequently,</w:t>
      </w:r>
      <w:r w:rsidR="003A5108" w:rsidRPr="008C28EB">
        <w:rPr>
          <w:rFonts w:ascii="Times New Roman" w:eastAsia="Times New Roman" w:hAnsi="Times New Roman"/>
          <w:kern w:val="1"/>
          <w:sz w:val="24"/>
          <w:szCs w:val="24"/>
          <w:lang w:val="en-US" w:eastAsia="ar-SA"/>
        </w:rPr>
        <w:t xml:space="preserve"> </w:t>
      </w:r>
      <w:r w:rsidR="00850DD5" w:rsidRPr="008C28EB">
        <w:rPr>
          <w:rFonts w:ascii="Times New Roman" w:eastAsia="Times New Roman" w:hAnsi="Times New Roman"/>
          <w:kern w:val="1"/>
          <w:sz w:val="24"/>
          <w:szCs w:val="24"/>
          <w:lang w:val="en-US" w:eastAsia="ar-SA"/>
        </w:rPr>
        <w:t xml:space="preserve">since </w:t>
      </w:r>
      <w:r w:rsidR="009D19A0" w:rsidRPr="008C28EB">
        <w:rPr>
          <w:rFonts w:ascii="Times New Roman" w:eastAsia="Times New Roman" w:hAnsi="Times New Roman"/>
          <w:kern w:val="1"/>
          <w:sz w:val="24"/>
          <w:szCs w:val="24"/>
          <w:lang w:val="en-US" w:eastAsia="ar-SA"/>
        </w:rPr>
        <w:t xml:space="preserve">each </w:t>
      </w:r>
      <w:r w:rsidR="00850DD5" w:rsidRPr="008C28EB">
        <w:rPr>
          <w:rFonts w:ascii="Times New Roman" w:eastAsia="Times New Roman" w:hAnsi="Times New Roman"/>
          <w:kern w:val="1"/>
          <w:sz w:val="24"/>
          <w:szCs w:val="24"/>
          <w:lang w:val="en-US" w:eastAsia="ar-SA"/>
        </w:rPr>
        <w:t>bank</w:t>
      </w:r>
      <w:r w:rsidR="009D19A0" w:rsidRPr="008C28EB">
        <w:rPr>
          <w:rFonts w:ascii="Times New Roman" w:eastAsia="Times New Roman" w:hAnsi="Times New Roman"/>
          <w:kern w:val="1"/>
          <w:sz w:val="24"/>
          <w:szCs w:val="24"/>
          <w:lang w:val="en-US" w:eastAsia="ar-SA"/>
        </w:rPr>
        <w:t xml:space="preserve"> has its </w:t>
      </w:r>
      <w:r w:rsidR="00ED03BF" w:rsidRPr="008C28EB">
        <w:rPr>
          <w:rFonts w:ascii="Times New Roman" w:eastAsia="Times New Roman" w:hAnsi="Times New Roman"/>
          <w:kern w:val="1"/>
          <w:sz w:val="24"/>
          <w:szCs w:val="24"/>
          <w:lang w:val="en-US" w:eastAsia="ar-SA"/>
        </w:rPr>
        <w:t xml:space="preserve">own values of </w:t>
      </w:r>
      <w:r w:rsidR="00850DD5" w:rsidRPr="008C28EB">
        <w:rPr>
          <w:rFonts w:ascii="Times New Roman" w:eastAsia="Times New Roman" w:hAnsi="Times New Roman"/>
          <w:kern w:val="1"/>
          <w:sz w:val="24"/>
          <w:szCs w:val="24"/>
          <w:lang w:val="en-US" w:eastAsia="ar-SA"/>
        </w:rPr>
        <w:t>these variables</w:t>
      </w:r>
      <w:r w:rsidR="00ED03BF" w:rsidRPr="008C28EB">
        <w:rPr>
          <w:rFonts w:ascii="Times New Roman" w:eastAsia="Times New Roman" w:hAnsi="Times New Roman"/>
          <w:kern w:val="1"/>
          <w:sz w:val="24"/>
          <w:szCs w:val="24"/>
          <w:lang w:val="en-US" w:eastAsia="ar-SA"/>
        </w:rPr>
        <w:t>, we will have “</w:t>
      </w:r>
      <w:r w:rsidR="00ED03BF" w:rsidRPr="008C28EB">
        <w:rPr>
          <w:rFonts w:ascii="Times New Roman" w:eastAsia="Times New Roman" w:hAnsi="Times New Roman"/>
          <w:i/>
          <w:kern w:val="1"/>
          <w:sz w:val="24"/>
          <w:szCs w:val="24"/>
          <w:lang w:val="en-US" w:eastAsia="ar-SA"/>
        </w:rPr>
        <w:t>individual specific average treatment effects</w:t>
      </w:r>
      <w:r w:rsidR="00ED03BF" w:rsidRPr="008C28EB">
        <w:rPr>
          <w:rFonts w:ascii="Times New Roman" w:eastAsia="Times New Roman" w:hAnsi="Times New Roman"/>
          <w:kern w:val="1"/>
          <w:sz w:val="24"/>
          <w:szCs w:val="24"/>
          <w:lang w:val="en-US" w:eastAsia="ar-SA"/>
        </w:rPr>
        <w:t xml:space="preserve">”. </w:t>
      </w:r>
      <w:r w:rsidR="00850DD5" w:rsidRPr="008C28EB">
        <w:rPr>
          <w:rFonts w:ascii="Times New Roman" w:eastAsia="Times New Roman" w:hAnsi="Times New Roman"/>
          <w:kern w:val="1"/>
          <w:sz w:val="24"/>
          <w:szCs w:val="24"/>
          <w:lang w:val="en-US" w:eastAsia="ar-SA"/>
        </w:rPr>
        <w:t>C</w:t>
      </w:r>
      <w:r w:rsidR="00ED03BF" w:rsidRPr="008C28EB">
        <w:rPr>
          <w:rFonts w:ascii="Times New Roman" w:eastAsia="Times New Roman" w:hAnsi="Times New Roman"/>
          <w:kern w:val="1"/>
          <w:sz w:val="24"/>
          <w:szCs w:val="24"/>
          <w:lang w:val="en-US" w:eastAsia="ar-SA"/>
        </w:rPr>
        <w:t>onsistent es</w:t>
      </w:r>
      <w:r w:rsidR="00850DD5" w:rsidRPr="008C28EB">
        <w:rPr>
          <w:rFonts w:ascii="Times New Roman" w:eastAsia="Times New Roman" w:hAnsi="Times New Roman"/>
          <w:kern w:val="1"/>
          <w:sz w:val="24"/>
          <w:szCs w:val="24"/>
          <w:lang w:val="en-US" w:eastAsia="ar-SA"/>
        </w:rPr>
        <w:t>timates of ATE, ATET, and ATENT are obtained</w:t>
      </w:r>
      <w:r w:rsidR="00ED03BF" w:rsidRPr="008C28EB">
        <w:rPr>
          <w:rFonts w:ascii="Times New Roman" w:eastAsia="Times New Roman" w:hAnsi="Times New Roman"/>
          <w:kern w:val="1"/>
          <w:sz w:val="24"/>
          <w:szCs w:val="24"/>
          <w:lang w:val="en-US" w:eastAsia="ar-SA"/>
        </w:rPr>
        <w:t xml:space="preserve"> assuming the validity of the </w:t>
      </w:r>
      <w:r w:rsidR="009D19A0" w:rsidRPr="008C28EB">
        <w:rPr>
          <w:rFonts w:ascii="Times New Roman" w:eastAsia="Times New Roman" w:hAnsi="Times New Roman"/>
          <w:kern w:val="1"/>
          <w:sz w:val="24"/>
          <w:szCs w:val="24"/>
          <w:lang w:val="en-US" w:eastAsia="ar-SA"/>
        </w:rPr>
        <w:t xml:space="preserve">Stable Unit Treatment Value </w:t>
      </w:r>
      <w:r w:rsidR="009D19A0" w:rsidRPr="008C28EB">
        <w:rPr>
          <w:rFonts w:ascii="Times New Roman" w:eastAsia="Times New Roman" w:hAnsi="Times New Roman"/>
          <w:kern w:val="1"/>
          <w:sz w:val="24"/>
          <w:szCs w:val="24"/>
          <w:lang w:val="en-US" w:eastAsia="ar-SA"/>
        </w:rPr>
        <w:lastRenderedPageBreak/>
        <w:t>Assumption (SUTVA</w:t>
      </w:r>
      <w:r w:rsidR="00ED03BF" w:rsidRPr="008C28EB">
        <w:rPr>
          <w:rFonts w:ascii="Times New Roman" w:eastAsia="Times New Roman" w:hAnsi="Times New Roman"/>
          <w:kern w:val="1"/>
          <w:sz w:val="24"/>
          <w:szCs w:val="24"/>
          <w:lang w:val="en-US" w:eastAsia="ar-SA"/>
        </w:rPr>
        <w:t>), i.e., excluding that the treatment of a unit affe</w:t>
      </w:r>
      <w:r w:rsidR="000964A5" w:rsidRPr="008C28EB">
        <w:rPr>
          <w:rFonts w:ascii="Times New Roman" w:eastAsia="Times New Roman" w:hAnsi="Times New Roman"/>
          <w:kern w:val="1"/>
          <w:sz w:val="24"/>
          <w:szCs w:val="24"/>
          <w:lang w:val="en-US" w:eastAsia="ar-SA"/>
        </w:rPr>
        <w:t>cts the outcome of another unit</w:t>
      </w:r>
      <w:r w:rsidR="007B5627" w:rsidRPr="008C28EB">
        <w:rPr>
          <w:rStyle w:val="Rimandonotaapidipagina"/>
          <w:rFonts w:ascii="Times New Roman" w:hAnsi="Times New Roman"/>
          <w:sz w:val="24"/>
          <w:szCs w:val="24"/>
        </w:rPr>
        <w:footnoteReference w:id="6"/>
      </w:r>
      <w:r w:rsidR="000964A5" w:rsidRPr="008C28EB">
        <w:rPr>
          <w:rFonts w:ascii="Times New Roman" w:eastAsia="Times New Roman" w:hAnsi="Times New Roman"/>
          <w:kern w:val="1"/>
          <w:sz w:val="24"/>
          <w:szCs w:val="24"/>
          <w:lang w:val="en-US" w:eastAsia="ar-SA"/>
        </w:rPr>
        <w:t xml:space="preserve">. </w:t>
      </w:r>
    </w:p>
    <w:p w14:paraId="70C10D88" w14:textId="617E3495" w:rsidR="0012655C" w:rsidRPr="008C28EB" w:rsidRDefault="0012655C" w:rsidP="007B5627">
      <w:pPr>
        <w:spacing w:after="120" w:line="480" w:lineRule="auto"/>
        <w:ind w:firstLine="709"/>
        <w:jc w:val="both"/>
        <w:rPr>
          <w:rFonts w:ascii="Times New Roman" w:eastAsia="Times New Roman" w:hAnsi="Times New Roman"/>
          <w:b/>
          <w:sz w:val="24"/>
          <w:szCs w:val="24"/>
          <w:lang w:val="en-US"/>
        </w:rPr>
      </w:pPr>
      <w:r w:rsidRPr="008C28EB">
        <w:rPr>
          <w:rFonts w:ascii="Times New Roman" w:hAnsi="Times New Roman"/>
          <w:sz w:val="24"/>
          <w:szCs w:val="24"/>
          <w:lang w:val="en-US"/>
        </w:rPr>
        <w:t xml:space="preserve">All variables used in the analysis are defined in Table 5, while Table 6 presents the main summary statistics. It is possible to observe that treated and controls present significant differences in some variables: treated banks are located in countries that, on average, are richer and have guaranteed more state aids to financial institutions during the crisis period. Furthermore, treated banks are </w:t>
      </w:r>
      <w:r w:rsidR="00F1023D" w:rsidRPr="008C28EB">
        <w:rPr>
          <w:rFonts w:ascii="Times New Roman" w:hAnsi="Times New Roman"/>
          <w:sz w:val="24"/>
          <w:szCs w:val="24"/>
          <w:lang w:val="en-US"/>
        </w:rPr>
        <w:t xml:space="preserve">on average </w:t>
      </w:r>
      <w:r w:rsidRPr="008C28EB">
        <w:rPr>
          <w:rFonts w:ascii="Times New Roman" w:hAnsi="Times New Roman"/>
          <w:sz w:val="24"/>
          <w:szCs w:val="24"/>
          <w:lang w:val="en-US"/>
        </w:rPr>
        <w:t xml:space="preserve">larger and less capitalized. </w:t>
      </w:r>
    </w:p>
    <w:p w14:paraId="3931070E" w14:textId="51A0D5DF" w:rsidR="00A51856" w:rsidRPr="008C28EB" w:rsidRDefault="00B750E7" w:rsidP="00C25996">
      <w:pPr>
        <w:spacing w:after="120" w:line="480" w:lineRule="auto"/>
        <w:ind w:firstLine="708"/>
        <w:jc w:val="both"/>
        <w:rPr>
          <w:rFonts w:ascii="Times New Roman" w:eastAsia="Times New Roman" w:hAnsi="Times New Roman"/>
          <w:kern w:val="1"/>
          <w:sz w:val="24"/>
          <w:szCs w:val="24"/>
          <w:lang w:val="en-US" w:eastAsia="ar-SA"/>
        </w:rPr>
      </w:pPr>
      <w:r w:rsidRPr="008C28EB">
        <w:rPr>
          <w:rFonts w:ascii="Times New Roman" w:eastAsia="Times New Roman" w:hAnsi="Times New Roman"/>
          <w:kern w:val="1"/>
          <w:sz w:val="24"/>
          <w:szCs w:val="24"/>
          <w:lang w:val="en-US" w:eastAsia="ar-SA"/>
        </w:rPr>
        <w:t>Our main r</w:t>
      </w:r>
      <w:r w:rsidR="003A5414" w:rsidRPr="008C28EB">
        <w:rPr>
          <w:rFonts w:ascii="Times New Roman" w:eastAsia="Times New Roman" w:hAnsi="Times New Roman"/>
          <w:kern w:val="1"/>
          <w:sz w:val="24"/>
          <w:szCs w:val="24"/>
          <w:lang w:val="en-US" w:eastAsia="ar-SA"/>
        </w:rPr>
        <w:t>esults are shown in Table</w:t>
      </w:r>
      <w:r w:rsidR="0061086A" w:rsidRPr="008C28EB">
        <w:rPr>
          <w:rFonts w:ascii="Times New Roman" w:eastAsia="Times New Roman" w:hAnsi="Times New Roman"/>
          <w:kern w:val="1"/>
          <w:sz w:val="24"/>
          <w:szCs w:val="24"/>
          <w:lang w:val="en-US" w:eastAsia="ar-SA"/>
        </w:rPr>
        <w:t>7</w:t>
      </w:r>
      <w:r w:rsidRPr="008C28EB">
        <w:rPr>
          <w:rFonts w:ascii="Times New Roman" w:eastAsia="Times New Roman" w:hAnsi="Times New Roman"/>
          <w:kern w:val="1"/>
          <w:sz w:val="24"/>
          <w:szCs w:val="24"/>
          <w:lang w:val="en-US" w:eastAsia="ar-SA"/>
        </w:rPr>
        <w:t>, columns (1) and (2)</w:t>
      </w:r>
      <w:r w:rsidR="004C5280" w:rsidRPr="008C28EB">
        <w:rPr>
          <w:rFonts w:ascii="Times New Roman" w:eastAsia="Times New Roman" w:hAnsi="Times New Roman"/>
          <w:kern w:val="1"/>
          <w:sz w:val="24"/>
          <w:szCs w:val="24"/>
          <w:lang w:val="en-US" w:eastAsia="ar-SA"/>
        </w:rPr>
        <w:t>.</w:t>
      </w:r>
      <w:r w:rsidR="00675EB8" w:rsidRPr="008C28EB">
        <w:rPr>
          <w:rFonts w:ascii="Times New Roman" w:eastAsia="Times New Roman" w:hAnsi="Times New Roman"/>
          <w:kern w:val="1"/>
          <w:sz w:val="24"/>
          <w:szCs w:val="24"/>
          <w:lang w:val="en-US" w:eastAsia="ar-SA"/>
        </w:rPr>
        <w:t xml:space="preserve"> </w:t>
      </w:r>
      <w:r w:rsidR="009710A8" w:rsidRPr="008C28EB">
        <w:rPr>
          <w:rFonts w:ascii="Times New Roman" w:eastAsia="Times New Roman" w:hAnsi="Times New Roman"/>
          <w:kern w:val="1"/>
          <w:sz w:val="24"/>
          <w:szCs w:val="24"/>
          <w:lang w:val="en-US" w:eastAsia="ar-SA"/>
        </w:rPr>
        <w:t xml:space="preserve">We provide two different specifications: </w:t>
      </w:r>
      <w:r w:rsidR="00AD1DB7" w:rsidRPr="008C28EB">
        <w:rPr>
          <w:rFonts w:ascii="Times New Roman" w:eastAsia="Times New Roman" w:hAnsi="Times New Roman"/>
          <w:kern w:val="1"/>
          <w:sz w:val="24"/>
          <w:szCs w:val="24"/>
          <w:lang w:val="en-US" w:eastAsia="ar-SA"/>
        </w:rPr>
        <w:t xml:space="preserve">our </w:t>
      </w:r>
      <w:r w:rsidR="00297B1A" w:rsidRPr="008C28EB">
        <w:rPr>
          <w:rFonts w:ascii="Times New Roman" w:eastAsia="Times New Roman" w:hAnsi="Times New Roman"/>
          <w:kern w:val="1"/>
          <w:sz w:val="24"/>
          <w:szCs w:val="24"/>
          <w:lang w:val="en-US" w:eastAsia="ar-SA"/>
        </w:rPr>
        <w:t>first specification</w:t>
      </w:r>
      <w:r w:rsidR="00AD1DB7" w:rsidRPr="008C28EB">
        <w:rPr>
          <w:rFonts w:ascii="Times New Roman" w:eastAsia="Times New Roman" w:hAnsi="Times New Roman"/>
          <w:kern w:val="1"/>
          <w:sz w:val="24"/>
          <w:szCs w:val="24"/>
          <w:lang w:val="en-US" w:eastAsia="ar-SA"/>
        </w:rPr>
        <w:t xml:space="preserve"> is for the abnormal return (0;0) on 4</w:t>
      </w:r>
      <w:r w:rsidR="003A5108" w:rsidRPr="00617096">
        <w:rPr>
          <w:rFonts w:ascii="Times New Roman" w:eastAsia="Times New Roman" w:hAnsi="Times New Roman"/>
          <w:kern w:val="24"/>
          <w:sz w:val="24"/>
          <w:szCs w:val="24"/>
          <w:vertAlign w:val="superscript"/>
          <w:lang w:val="en-US" w:eastAsia="ar-SA"/>
        </w:rPr>
        <w:t>th</w:t>
      </w:r>
      <w:r w:rsidR="00AD1DB7" w:rsidRPr="008C28EB">
        <w:rPr>
          <w:rFonts w:ascii="Times New Roman" w:eastAsia="Times New Roman" w:hAnsi="Times New Roman"/>
          <w:kern w:val="1"/>
          <w:sz w:val="24"/>
          <w:szCs w:val="24"/>
          <w:lang w:val="en-US" w:eastAsia="ar-SA"/>
        </w:rPr>
        <w:t xml:space="preserve"> November 2014. </w:t>
      </w:r>
      <w:r w:rsidR="00B66751" w:rsidRPr="008C28EB">
        <w:rPr>
          <w:rFonts w:ascii="Times New Roman" w:eastAsia="Times New Roman" w:hAnsi="Times New Roman"/>
          <w:kern w:val="1"/>
          <w:sz w:val="24"/>
          <w:szCs w:val="24"/>
          <w:lang w:val="en-US" w:eastAsia="ar-SA"/>
        </w:rPr>
        <w:t xml:space="preserve">We choose the shortest event window since it is the only </w:t>
      </w:r>
      <w:r w:rsidR="00A12961" w:rsidRPr="008C28EB">
        <w:rPr>
          <w:rFonts w:ascii="Times New Roman" w:eastAsia="Times New Roman" w:hAnsi="Times New Roman"/>
          <w:kern w:val="1"/>
          <w:sz w:val="24"/>
          <w:szCs w:val="24"/>
          <w:lang w:val="en-US" w:eastAsia="ar-SA"/>
        </w:rPr>
        <w:t xml:space="preserve">one </w:t>
      </w:r>
      <w:r w:rsidR="00B66751" w:rsidRPr="008C28EB">
        <w:rPr>
          <w:rFonts w:ascii="Times New Roman" w:eastAsia="Times New Roman" w:hAnsi="Times New Roman"/>
          <w:kern w:val="1"/>
          <w:sz w:val="24"/>
          <w:szCs w:val="24"/>
          <w:lang w:val="en-US" w:eastAsia="ar-SA"/>
        </w:rPr>
        <w:t>showing a significant difference in mean between the groups of treated and untreated</w:t>
      </w:r>
      <w:r w:rsidR="00A12961" w:rsidRPr="008C28EB">
        <w:rPr>
          <w:rFonts w:ascii="Times New Roman" w:eastAsia="Times New Roman" w:hAnsi="Times New Roman"/>
          <w:kern w:val="1"/>
          <w:sz w:val="24"/>
          <w:szCs w:val="24"/>
          <w:lang w:val="en-US" w:eastAsia="ar-SA"/>
        </w:rPr>
        <w:t xml:space="preserve"> banks</w:t>
      </w:r>
      <w:r w:rsidR="00B66751" w:rsidRPr="008C28EB">
        <w:rPr>
          <w:rFonts w:ascii="Times New Roman" w:eastAsia="Times New Roman" w:hAnsi="Times New Roman"/>
          <w:kern w:val="1"/>
          <w:sz w:val="24"/>
          <w:szCs w:val="24"/>
          <w:lang w:val="en-US" w:eastAsia="ar-SA"/>
        </w:rPr>
        <w:t xml:space="preserve"> in the event study (see Table 4). </w:t>
      </w:r>
      <w:r w:rsidR="00AD1DB7" w:rsidRPr="008C28EB">
        <w:rPr>
          <w:rFonts w:ascii="Times New Roman" w:eastAsia="Times New Roman" w:hAnsi="Times New Roman"/>
          <w:kern w:val="1"/>
          <w:sz w:val="24"/>
          <w:szCs w:val="24"/>
          <w:lang w:val="en-US" w:eastAsia="ar-SA"/>
        </w:rPr>
        <w:t>A second specification analyze</w:t>
      </w:r>
      <w:r w:rsidR="00C543F1" w:rsidRPr="008C28EB">
        <w:rPr>
          <w:rFonts w:ascii="Times New Roman" w:eastAsia="Times New Roman" w:hAnsi="Times New Roman"/>
          <w:kern w:val="1"/>
          <w:sz w:val="24"/>
          <w:szCs w:val="24"/>
          <w:lang w:val="en-US" w:eastAsia="ar-SA"/>
        </w:rPr>
        <w:t>s</w:t>
      </w:r>
      <w:r w:rsidR="00AD1DB7" w:rsidRPr="008C28EB">
        <w:rPr>
          <w:rFonts w:ascii="Times New Roman" w:eastAsia="Times New Roman" w:hAnsi="Times New Roman"/>
          <w:kern w:val="1"/>
          <w:sz w:val="24"/>
          <w:szCs w:val="24"/>
          <w:lang w:val="en-US" w:eastAsia="ar-SA"/>
        </w:rPr>
        <w:t xml:space="preserve"> the same event window for the results date</w:t>
      </w:r>
      <w:r w:rsidR="000964A5" w:rsidRPr="008C28EB">
        <w:rPr>
          <w:rFonts w:ascii="Times New Roman" w:eastAsia="Times New Roman" w:hAnsi="Times New Roman"/>
          <w:kern w:val="1"/>
          <w:sz w:val="24"/>
          <w:szCs w:val="24"/>
          <w:lang w:val="en-US" w:eastAsia="ar-SA"/>
        </w:rPr>
        <w:t xml:space="preserve"> (26</w:t>
      </w:r>
      <w:r w:rsidR="003A5108" w:rsidRPr="008C28EB">
        <w:rPr>
          <w:rFonts w:ascii="Times New Roman" w:eastAsia="Times New Roman" w:hAnsi="Times New Roman"/>
          <w:kern w:val="1"/>
          <w:sz w:val="24"/>
          <w:szCs w:val="24"/>
          <w:vertAlign w:val="superscript"/>
          <w:lang w:val="en-US" w:eastAsia="ar-SA"/>
        </w:rPr>
        <w:t>th</w:t>
      </w:r>
      <w:r w:rsidR="003A5108" w:rsidRPr="008C28EB">
        <w:rPr>
          <w:rFonts w:ascii="Times New Roman" w:eastAsia="Times New Roman" w:hAnsi="Times New Roman"/>
          <w:kern w:val="1"/>
          <w:sz w:val="24"/>
          <w:szCs w:val="24"/>
          <w:lang w:val="en-US" w:eastAsia="ar-SA"/>
        </w:rPr>
        <w:t xml:space="preserve"> </w:t>
      </w:r>
      <w:r w:rsidR="000964A5" w:rsidRPr="008C28EB">
        <w:rPr>
          <w:rFonts w:ascii="Times New Roman" w:eastAsia="Times New Roman" w:hAnsi="Times New Roman"/>
          <w:kern w:val="1"/>
          <w:sz w:val="24"/>
          <w:szCs w:val="24"/>
          <w:lang w:val="en-US" w:eastAsia="ar-SA"/>
        </w:rPr>
        <w:t>October 2014)</w:t>
      </w:r>
      <w:r w:rsidR="009710A8" w:rsidRPr="008C28EB">
        <w:rPr>
          <w:rFonts w:ascii="Times New Roman" w:eastAsia="Times New Roman" w:hAnsi="Times New Roman"/>
          <w:kern w:val="1"/>
          <w:sz w:val="24"/>
          <w:szCs w:val="24"/>
          <w:lang w:val="en-US" w:eastAsia="ar-SA"/>
        </w:rPr>
        <w:t xml:space="preserve">. </w:t>
      </w:r>
      <w:r w:rsidR="00AD1DB7" w:rsidRPr="008C28EB">
        <w:rPr>
          <w:rFonts w:ascii="Times New Roman" w:eastAsia="Times New Roman" w:hAnsi="Times New Roman"/>
          <w:kern w:val="1"/>
          <w:sz w:val="24"/>
          <w:szCs w:val="24"/>
          <w:lang w:val="en-US" w:eastAsia="ar-SA"/>
        </w:rPr>
        <w:t xml:space="preserve">The first specification is our </w:t>
      </w:r>
      <w:r w:rsidR="003A1F73" w:rsidRPr="008C28EB">
        <w:rPr>
          <w:rFonts w:ascii="Times New Roman" w:eastAsia="Times New Roman" w:hAnsi="Times New Roman"/>
          <w:kern w:val="1"/>
          <w:sz w:val="24"/>
          <w:szCs w:val="24"/>
          <w:lang w:val="en-US" w:eastAsia="ar-SA"/>
        </w:rPr>
        <w:t>favorite</w:t>
      </w:r>
      <w:r w:rsidR="00C543F1" w:rsidRPr="008C28EB">
        <w:rPr>
          <w:rFonts w:ascii="Times New Roman" w:eastAsia="Times New Roman" w:hAnsi="Times New Roman"/>
          <w:kern w:val="1"/>
          <w:sz w:val="24"/>
          <w:szCs w:val="24"/>
          <w:lang w:val="en-US" w:eastAsia="ar-SA"/>
        </w:rPr>
        <w:t>,</w:t>
      </w:r>
      <w:r w:rsidR="00AD1DB7" w:rsidRPr="008C28EB">
        <w:rPr>
          <w:rFonts w:ascii="Times New Roman" w:eastAsia="Times New Roman" w:hAnsi="Times New Roman"/>
          <w:kern w:val="1"/>
          <w:sz w:val="24"/>
          <w:szCs w:val="24"/>
          <w:lang w:val="en-US" w:eastAsia="ar-SA"/>
        </w:rPr>
        <w:t xml:space="preserve"> since results from the CA have already been </w:t>
      </w:r>
      <w:r w:rsidR="00C543F1" w:rsidRPr="008C28EB">
        <w:rPr>
          <w:rFonts w:ascii="Times New Roman" w:eastAsia="Times New Roman" w:hAnsi="Times New Roman"/>
          <w:kern w:val="1"/>
          <w:sz w:val="24"/>
          <w:szCs w:val="24"/>
          <w:lang w:val="en-US" w:eastAsia="ar-SA"/>
        </w:rPr>
        <w:t xml:space="preserve">announced and </w:t>
      </w:r>
      <w:r w:rsidR="00AD1DB7" w:rsidRPr="008C28EB">
        <w:rPr>
          <w:rFonts w:ascii="Times New Roman" w:eastAsia="Times New Roman" w:hAnsi="Times New Roman"/>
          <w:kern w:val="1"/>
          <w:sz w:val="24"/>
          <w:szCs w:val="24"/>
          <w:lang w:val="en-US" w:eastAsia="ar-SA"/>
        </w:rPr>
        <w:t>incorporated in stock market prices. However</w:t>
      </w:r>
      <w:r w:rsidR="00A12961" w:rsidRPr="008C28EB">
        <w:rPr>
          <w:rFonts w:ascii="Times New Roman" w:eastAsia="Times New Roman" w:hAnsi="Times New Roman"/>
          <w:kern w:val="1"/>
          <w:sz w:val="24"/>
          <w:szCs w:val="24"/>
          <w:lang w:val="en-US" w:eastAsia="ar-SA"/>
        </w:rPr>
        <w:t>,</w:t>
      </w:r>
      <w:r w:rsidR="00AD1DB7" w:rsidRPr="008C28EB">
        <w:rPr>
          <w:rFonts w:ascii="Times New Roman" w:eastAsia="Times New Roman" w:hAnsi="Times New Roman"/>
          <w:kern w:val="1"/>
          <w:sz w:val="24"/>
          <w:szCs w:val="24"/>
          <w:lang w:val="en-US" w:eastAsia="ar-SA"/>
        </w:rPr>
        <w:t xml:space="preserve"> f</w:t>
      </w:r>
      <w:r w:rsidR="009710A8" w:rsidRPr="008C28EB">
        <w:rPr>
          <w:rFonts w:ascii="Times New Roman" w:eastAsia="Times New Roman" w:hAnsi="Times New Roman"/>
          <w:kern w:val="1"/>
          <w:sz w:val="24"/>
          <w:szCs w:val="24"/>
          <w:lang w:val="en-US" w:eastAsia="ar-SA"/>
        </w:rPr>
        <w:t xml:space="preserve">indings are </w:t>
      </w:r>
      <w:r w:rsidR="00AD1DB7" w:rsidRPr="008C28EB">
        <w:rPr>
          <w:rFonts w:ascii="Times New Roman" w:eastAsia="Times New Roman" w:hAnsi="Times New Roman"/>
          <w:kern w:val="1"/>
          <w:sz w:val="24"/>
          <w:szCs w:val="24"/>
          <w:lang w:val="en-US" w:eastAsia="ar-SA"/>
        </w:rPr>
        <w:t>quite</w:t>
      </w:r>
      <w:r w:rsidR="009710A8" w:rsidRPr="008C28EB">
        <w:rPr>
          <w:rFonts w:ascii="Times New Roman" w:eastAsia="Times New Roman" w:hAnsi="Times New Roman"/>
          <w:kern w:val="1"/>
          <w:sz w:val="24"/>
          <w:szCs w:val="24"/>
          <w:lang w:val="en-US" w:eastAsia="ar-SA"/>
        </w:rPr>
        <w:t xml:space="preserve"> similar</w:t>
      </w:r>
      <w:r w:rsidR="00AD1DB7" w:rsidRPr="008C28EB">
        <w:rPr>
          <w:rFonts w:ascii="Times New Roman" w:eastAsia="Times New Roman" w:hAnsi="Times New Roman"/>
          <w:kern w:val="1"/>
          <w:sz w:val="24"/>
          <w:szCs w:val="24"/>
          <w:lang w:val="en-US" w:eastAsia="ar-SA"/>
        </w:rPr>
        <w:t>, and the following comments refer to the main specification</w:t>
      </w:r>
      <w:r w:rsidR="009710A8" w:rsidRPr="008C28EB">
        <w:rPr>
          <w:rFonts w:ascii="Times New Roman" w:eastAsia="Times New Roman" w:hAnsi="Times New Roman"/>
          <w:kern w:val="1"/>
          <w:sz w:val="24"/>
          <w:szCs w:val="24"/>
          <w:lang w:val="en-US" w:eastAsia="ar-SA"/>
        </w:rPr>
        <w:t xml:space="preserve">. </w:t>
      </w:r>
      <w:r w:rsidR="004C5280" w:rsidRPr="008C28EB">
        <w:rPr>
          <w:rFonts w:ascii="Times New Roman" w:eastAsia="Times New Roman" w:hAnsi="Times New Roman"/>
          <w:kern w:val="1"/>
          <w:sz w:val="24"/>
          <w:szCs w:val="24"/>
          <w:lang w:val="en-US" w:eastAsia="ar-SA"/>
        </w:rPr>
        <w:t>T</w:t>
      </w:r>
      <w:r w:rsidR="0024537F" w:rsidRPr="008C28EB">
        <w:rPr>
          <w:rFonts w:ascii="Times New Roman" w:eastAsia="Times New Roman" w:hAnsi="Times New Roman"/>
          <w:kern w:val="1"/>
          <w:sz w:val="24"/>
          <w:szCs w:val="24"/>
          <w:lang w:val="en-US" w:eastAsia="ar-SA"/>
        </w:rPr>
        <w:t>he investors’ reaction display</w:t>
      </w:r>
      <w:r w:rsidR="003414F3" w:rsidRPr="008C28EB">
        <w:rPr>
          <w:rFonts w:ascii="Times New Roman" w:eastAsia="Times New Roman" w:hAnsi="Times New Roman"/>
          <w:kern w:val="1"/>
          <w:sz w:val="24"/>
          <w:szCs w:val="24"/>
          <w:lang w:val="en-US" w:eastAsia="ar-SA"/>
        </w:rPr>
        <w:t>s</w:t>
      </w:r>
      <w:r w:rsidR="0024537F" w:rsidRPr="008C28EB">
        <w:rPr>
          <w:rFonts w:ascii="Times New Roman" w:eastAsia="Times New Roman" w:hAnsi="Times New Roman"/>
          <w:kern w:val="1"/>
          <w:sz w:val="24"/>
          <w:szCs w:val="24"/>
          <w:lang w:val="en-US" w:eastAsia="ar-SA"/>
        </w:rPr>
        <w:t xml:space="preserve"> a negative statistically significant link with the treatment variable</w:t>
      </w:r>
      <w:r w:rsidR="009710A8" w:rsidRPr="008C28EB">
        <w:rPr>
          <w:rFonts w:ascii="Times New Roman" w:eastAsia="Times New Roman" w:hAnsi="Times New Roman"/>
          <w:kern w:val="1"/>
          <w:sz w:val="24"/>
          <w:szCs w:val="24"/>
          <w:lang w:val="en-US" w:eastAsia="ar-SA"/>
        </w:rPr>
        <w:t xml:space="preserve"> (</w:t>
      </w:r>
      <w:r w:rsidR="009710A8" w:rsidRPr="008C28EB">
        <w:rPr>
          <w:rFonts w:ascii="Times New Roman" w:eastAsia="Times New Roman" w:hAnsi="Times New Roman"/>
          <w:i/>
          <w:kern w:val="1"/>
          <w:sz w:val="24"/>
          <w:szCs w:val="24"/>
          <w:lang w:val="en-US" w:eastAsia="ar-SA"/>
        </w:rPr>
        <w:t>w</w:t>
      </w:r>
      <w:r w:rsidR="009710A8" w:rsidRPr="008C28EB">
        <w:rPr>
          <w:rFonts w:ascii="Times New Roman" w:eastAsia="Times New Roman" w:hAnsi="Times New Roman"/>
          <w:kern w:val="1"/>
          <w:sz w:val="24"/>
          <w:szCs w:val="24"/>
          <w:lang w:val="en-US" w:eastAsia="ar-SA"/>
        </w:rPr>
        <w:t>)</w:t>
      </w:r>
      <w:r w:rsidR="0024537F" w:rsidRPr="008C28EB">
        <w:rPr>
          <w:rFonts w:ascii="Times New Roman" w:eastAsia="Times New Roman" w:hAnsi="Times New Roman"/>
          <w:kern w:val="1"/>
          <w:sz w:val="24"/>
          <w:szCs w:val="24"/>
          <w:lang w:val="en-US" w:eastAsia="ar-SA"/>
        </w:rPr>
        <w:t xml:space="preserve">. </w:t>
      </w:r>
      <w:r w:rsidR="009710A8" w:rsidRPr="008C28EB">
        <w:rPr>
          <w:rFonts w:ascii="Times New Roman" w:eastAsia="Times New Roman" w:hAnsi="Times New Roman"/>
          <w:kern w:val="1"/>
          <w:sz w:val="24"/>
          <w:szCs w:val="24"/>
          <w:lang w:val="en-US" w:eastAsia="ar-SA"/>
        </w:rPr>
        <w:t xml:space="preserve">This means that considering the bank characteristics </w:t>
      </w:r>
      <w:r w:rsidR="00A12961" w:rsidRPr="008C28EB">
        <w:rPr>
          <w:rFonts w:ascii="Times New Roman" w:eastAsia="Times New Roman" w:hAnsi="Times New Roman"/>
          <w:kern w:val="1"/>
          <w:sz w:val="24"/>
          <w:szCs w:val="24"/>
          <w:lang w:val="en-US" w:eastAsia="ar-SA"/>
        </w:rPr>
        <w:t xml:space="preserve">that </w:t>
      </w:r>
      <w:r w:rsidR="009710A8" w:rsidRPr="008C28EB">
        <w:rPr>
          <w:rFonts w:ascii="Times New Roman" w:eastAsia="Times New Roman" w:hAnsi="Times New Roman"/>
          <w:kern w:val="1"/>
          <w:sz w:val="24"/>
          <w:szCs w:val="24"/>
          <w:lang w:val="en-US" w:eastAsia="ar-SA"/>
        </w:rPr>
        <w:t>determin</w:t>
      </w:r>
      <w:r w:rsidR="00A12961" w:rsidRPr="008C28EB">
        <w:rPr>
          <w:rFonts w:ascii="Times New Roman" w:eastAsia="Times New Roman" w:hAnsi="Times New Roman"/>
          <w:kern w:val="1"/>
          <w:sz w:val="24"/>
          <w:szCs w:val="24"/>
          <w:lang w:val="en-US" w:eastAsia="ar-SA"/>
        </w:rPr>
        <w:t xml:space="preserve">e </w:t>
      </w:r>
      <w:r w:rsidR="009710A8" w:rsidRPr="008C28EB">
        <w:rPr>
          <w:rFonts w:ascii="Times New Roman" w:eastAsia="Times New Roman" w:hAnsi="Times New Roman"/>
          <w:kern w:val="1"/>
          <w:sz w:val="24"/>
          <w:szCs w:val="24"/>
          <w:lang w:val="en-US" w:eastAsia="ar-SA"/>
        </w:rPr>
        <w:t xml:space="preserve">the treatment and other possible features generating heterogeneity in the treatment effect, banks subject to the direct supervision of the ECB were penalized by the market. It is also interesting to comment </w:t>
      </w:r>
      <w:r w:rsidR="003A5108" w:rsidRPr="008C28EB">
        <w:rPr>
          <w:rFonts w:ascii="Times New Roman" w:eastAsia="Times New Roman" w:hAnsi="Times New Roman"/>
          <w:kern w:val="1"/>
          <w:sz w:val="24"/>
          <w:szCs w:val="24"/>
          <w:lang w:val="en-US" w:eastAsia="ar-SA"/>
        </w:rPr>
        <w:t xml:space="preserve">on </w:t>
      </w:r>
      <w:r w:rsidR="009710A8" w:rsidRPr="008C28EB">
        <w:rPr>
          <w:rFonts w:ascii="Times New Roman" w:eastAsia="Times New Roman" w:hAnsi="Times New Roman"/>
          <w:kern w:val="1"/>
          <w:sz w:val="24"/>
          <w:szCs w:val="24"/>
          <w:lang w:val="en-US" w:eastAsia="ar-SA"/>
        </w:rPr>
        <w:t>the coefficient</w:t>
      </w:r>
      <w:r w:rsidR="00B66751" w:rsidRPr="008C28EB">
        <w:rPr>
          <w:rFonts w:ascii="Times New Roman" w:eastAsia="Times New Roman" w:hAnsi="Times New Roman"/>
          <w:kern w:val="1"/>
          <w:sz w:val="24"/>
          <w:szCs w:val="24"/>
          <w:lang w:val="en-US" w:eastAsia="ar-SA"/>
        </w:rPr>
        <w:t>s</w:t>
      </w:r>
      <w:r w:rsidR="009710A8" w:rsidRPr="008C28EB">
        <w:rPr>
          <w:rFonts w:ascii="Times New Roman" w:eastAsia="Times New Roman" w:hAnsi="Times New Roman"/>
          <w:kern w:val="1"/>
          <w:sz w:val="24"/>
          <w:szCs w:val="24"/>
          <w:lang w:val="en-US" w:eastAsia="ar-SA"/>
        </w:rPr>
        <w:t xml:space="preserve"> assumed by the interaction between the treatment </w:t>
      </w:r>
      <w:r w:rsidR="009710A8" w:rsidRPr="008C28EB">
        <w:rPr>
          <w:rFonts w:ascii="Times New Roman" w:eastAsia="Times New Roman" w:hAnsi="Times New Roman"/>
          <w:kern w:val="1"/>
          <w:sz w:val="24"/>
          <w:szCs w:val="24"/>
          <w:lang w:val="en-US" w:eastAsia="ar-SA"/>
        </w:rPr>
        <w:lastRenderedPageBreak/>
        <w:t>variable and some macro or micro variable</w:t>
      </w:r>
      <w:r w:rsidR="00C543F1" w:rsidRPr="008C28EB">
        <w:rPr>
          <w:rFonts w:ascii="Times New Roman" w:eastAsia="Times New Roman" w:hAnsi="Times New Roman"/>
          <w:kern w:val="1"/>
          <w:sz w:val="24"/>
          <w:szCs w:val="24"/>
          <w:lang w:val="en-US" w:eastAsia="ar-SA"/>
        </w:rPr>
        <w:t>s</w:t>
      </w:r>
      <w:r w:rsidR="009710A8" w:rsidRPr="008C28EB">
        <w:rPr>
          <w:rFonts w:ascii="Times New Roman" w:eastAsia="Times New Roman" w:hAnsi="Times New Roman"/>
          <w:kern w:val="1"/>
          <w:sz w:val="24"/>
          <w:szCs w:val="24"/>
          <w:lang w:val="en-US" w:eastAsia="ar-SA"/>
        </w:rPr>
        <w:t>. More in details, there is some evidence that the treatment effect is more negative for institutions located in countries where the banks received more state aids</w:t>
      </w:r>
      <w:r w:rsidR="00C543F1" w:rsidRPr="008C28EB">
        <w:rPr>
          <w:rFonts w:ascii="Times New Roman" w:eastAsia="Times New Roman" w:hAnsi="Times New Roman"/>
          <w:kern w:val="1"/>
          <w:sz w:val="24"/>
          <w:szCs w:val="24"/>
          <w:lang w:val="en-US" w:eastAsia="ar-SA"/>
        </w:rPr>
        <w:t xml:space="preserve"> as a response to the global financial crisis</w:t>
      </w:r>
      <w:r w:rsidR="009710A8" w:rsidRPr="008C28EB">
        <w:rPr>
          <w:rFonts w:ascii="Times New Roman" w:eastAsia="Times New Roman" w:hAnsi="Times New Roman"/>
          <w:kern w:val="1"/>
          <w:sz w:val="24"/>
          <w:szCs w:val="24"/>
          <w:lang w:val="en-US" w:eastAsia="ar-SA"/>
        </w:rPr>
        <w:t xml:space="preserve">, probably </w:t>
      </w:r>
      <w:r w:rsidR="00F67588" w:rsidRPr="008C28EB">
        <w:rPr>
          <w:rFonts w:ascii="Times New Roman" w:eastAsia="Times New Roman" w:hAnsi="Times New Roman"/>
          <w:kern w:val="1"/>
          <w:sz w:val="24"/>
          <w:szCs w:val="24"/>
          <w:lang w:val="en-US" w:eastAsia="ar-SA"/>
        </w:rPr>
        <w:t>because the</w:t>
      </w:r>
      <w:r w:rsidR="005B151E" w:rsidRPr="008C28EB">
        <w:rPr>
          <w:rFonts w:ascii="Times New Roman" w:eastAsia="Times New Roman" w:hAnsi="Times New Roman"/>
          <w:kern w:val="1"/>
          <w:sz w:val="24"/>
          <w:szCs w:val="24"/>
          <w:lang w:val="en-US" w:eastAsia="ar-SA"/>
        </w:rPr>
        <w:t>se</w:t>
      </w:r>
      <w:r w:rsidR="00F67588" w:rsidRPr="008C28EB">
        <w:rPr>
          <w:rFonts w:ascii="Times New Roman" w:eastAsia="Times New Roman" w:hAnsi="Times New Roman"/>
          <w:kern w:val="1"/>
          <w:sz w:val="24"/>
          <w:szCs w:val="24"/>
          <w:lang w:val="en-US" w:eastAsia="ar-SA"/>
        </w:rPr>
        <w:t xml:space="preserve"> banks were </w:t>
      </w:r>
      <w:r w:rsidR="009710A8" w:rsidRPr="008C28EB">
        <w:rPr>
          <w:rFonts w:ascii="Times New Roman" w:eastAsia="Times New Roman" w:hAnsi="Times New Roman"/>
          <w:kern w:val="1"/>
          <w:sz w:val="24"/>
          <w:szCs w:val="24"/>
          <w:lang w:val="en-US" w:eastAsia="ar-SA"/>
        </w:rPr>
        <w:t>perceived as weake</w:t>
      </w:r>
      <w:r w:rsidR="00A51856" w:rsidRPr="008C28EB">
        <w:rPr>
          <w:rFonts w:ascii="Times New Roman" w:eastAsia="Times New Roman" w:hAnsi="Times New Roman"/>
          <w:kern w:val="1"/>
          <w:sz w:val="24"/>
          <w:szCs w:val="24"/>
          <w:lang w:val="en-US" w:eastAsia="ar-SA"/>
        </w:rPr>
        <w:t xml:space="preserve">r and then more susceptible with respect to </w:t>
      </w:r>
      <w:r w:rsidR="00F67588" w:rsidRPr="008C28EB">
        <w:rPr>
          <w:rFonts w:ascii="Times New Roman" w:eastAsia="Times New Roman" w:hAnsi="Times New Roman"/>
          <w:kern w:val="1"/>
          <w:sz w:val="24"/>
          <w:szCs w:val="24"/>
          <w:lang w:val="en-US" w:eastAsia="ar-SA"/>
        </w:rPr>
        <w:t>potentially</w:t>
      </w:r>
      <w:r w:rsidR="00A51856" w:rsidRPr="008C28EB">
        <w:rPr>
          <w:rFonts w:ascii="Times New Roman" w:eastAsia="Times New Roman" w:hAnsi="Times New Roman"/>
          <w:kern w:val="1"/>
          <w:sz w:val="24"/>
          <w:szCs w:val="24"/>
          <w:lang w:val="en-US" w:eastAsia="ar-SA"/>
        </w:rPr>
        <w:t xml:space="preserve"> stricter supervision</w:t>
      </w:r>
      <w:r w:rsidR="009710A8" w:rsidRPr="008C28EB">
        <w:rPr>
          <w:rFonts w:ascii="Times New Roman" w:eastAsia="Times New Roman" w:hAnsi="Times New Roman"/>
          <w:kern w:val="1"/>
          <w:sz w:val="24"/>
          <w:szCs w:val="24"/>
          <w:lang w:val="en-US" w:eastAsia="ar-SA"/>
        </w:rPr>
        <w:t xml:space="preserve">. </w:t>
      </w:r>
      <w:r w:rsidR="00F67588" w:rsidRPr="008C28EB">
        <w:rPr>
          <w:rFonts w:ascii="Times New Roman" w:eastAsia="Times New Roman" w:hAnsi="Times New Roman"/>
          <w:kern w:val="1"/>
          <w:sz w:val="24"/>
          <w:szCs w:val="24"/>
          <w:lang w:val="en-US" w:eastAsia="ar-SA"/>
        </w:rPr>
        <w:t>Conversely,</w:t>
      </w:r>
      <w:r w:rsidR="003A5108" w:rsidRPr="008C28EB">
        <w:rPr>
          <w:rFonts w:ascii="Times New Roman" w:eastAsia="Times New Roman" w:hAnsi="Times New Roman"/>
          <w:kern w:val="1"/>
          <w:sz w:val="24"/>
          <w:szCs w:val="24"/>
          <w:lang w:val="en-US" w:eastAsia="ar-SA"/>
        </w:rPr>
        <w:t xml:space="preserve"> </w:t>
      </w:r>
      <w:r w:rsidR="00A51856" w:rsidRPr="008C28EB">
        <w:rPr>
          <w:rFonts w:ascii="Times New Roman" w:eastAsia="Times New Roman" w:hAnsi="Times New Roman"/>
          <w:kern w:val="1"/>
          <w:sz w:val="24"/>
          <w:szCs w:val="24"/>
          <w:lang w:val="en-US" w:eastAsia="ar-SA"/>
        </w:rPr>
        <w:t>investors seem to be less worried about the change in banking supervision when the banking system presents a higher level of concentration</w:t>
      </w:r>
      <w:r w:rsidR="00C543F1" w:rsidRPr="008C28EB">
        <w:rPr>
          <w:rFonts w:ascii="Times New Roman" w:eastAsia="Times New Roman" w:hAnsi="Times New Roman"/>
          <w:kern w:val="1"/>
          <w:sz w:val="24"/>
          <w:szCs w:val="24"/>
          <w:lang w:val="en-US" w:eastAsia="ar-SA"/>
        </w:rPr>
        <w:t>, reducing competition and then market pressures</w:t>
      </w:r>
      <w:r w:rsidR="00A51856" w:rsidRPr="008C28EB">
        <w:rPr>
          <w:rFonts w:ascii="Times New Roman" w:eastAsia="Times New Roman" w:hAnsi="Times New Roman"/>
          <w:kern w:val="1"/>
          <w:sz w:val="24"/>
          <w:szCs w:val="24"/>
          <w:lang w:val="en-US" w:eastAsia="ar-SA"/>
        </w:rPr>
        <w:t xml:space="preserve">. Looking at micro-variables, the treatment effect </w:t>
      </w:r>
      <w:r w:rsidR="00F67588" w:rsidRPr="008C28EB">
        <w:rPr>
          <w:rFonts w:ascii="Times New Roman" w:eastAsia="Times New Roman" w:hAnsi="Times New Roman"/>
          <w:kern w:val="1"/>
          <w:sz w:val="24"/>
          <w:szCs w:val="24"/>
          <w:lang w:val="en-US" w:eastAsia="ar-SA"/>
        </w:rPr>
        <w:t xml:space="preserve">appears to be </w:t>
      </w:r>
      <w:r w:rsidR="00A51856" w:rsidRPr="008C28EB">
        <w:rPr>
          <w:rFonts w:ascii="Times New Roman" w:eastAsia="Times New Roman" w:hAnsi="Times New Roman"/>
          <w:kern w:val="1"/>
          <w:sz w:val="24"/>
          <w:szCs w:val="24"/>
          <w:lang w:val="en-US" w:eastAsia="ar-SA"/>
        </w:rPr>
        <w:t xml:space="preserve">more negative for banks with </w:t>
      </w:r>
      <w:r w:rsidR="00272292" w:rsidRPr="008C28EB">
        <w:rPr>
          <w:rFonts w:ascii="Times New Roman" w:eastAsia="Times New Roman" w:hAnsi="Times New Roman"/>
          <w:kern w:val="1"/>
          <w:sz w:val="24"/>
          <w:szCs w:val="24"/>
          <w:lang w:val="en-US" w:eastAsia="ar-SA"/>
        </w:rPr>
        <w:t>higher</w:t>
      </w:r>
      <w:r w:rsidR="00A51856" w:rsidRPr="008C28EB">
        <w:rPr>
          <w:rFonts w:ascii="Times New Roman" w:eastAsia="Times New Roman" w:hAnsi="Times New Roman"/>
          <w:kern w:val="1"/>
          <w:sz w:val="24"/>
          <w:szCs w:val="24"/>
          <w:lang w:val="en-US" w:eastAsia="ar-SA"/>
        </w:rPr>
        <w:t xml:space="preserve"> level of profitability</w:t>
      </w:r>
      <w:r w:rsidR="00272292" w:rsidRPr="008C28EB">
        <w:rPr>
          <w:rFonts w:ascii="Times New Roman" w:eastAsia="Times New Roman" w:hAnsi="Times New Roman"/>
          <w:kern w:val="1"/>
          <w:sz w:val="24"/>
          <w:szCs w:val="24"/>
          <w:lang w:val="en-US" w:eastAsia="ar-SA"/>
        </w:rPr>
        <w:t>, possibly corresponding to a high level of risk</w:t>
      </w:r>
      <w:r w:rsidR="00A51856" w:rsidRPr="008C28EB">
        <w:rPr>
          <w:rFonts w:ascii="Times New Roman" w:eastAsia="Times New Roman" w:hAnsi="Times New Roman"/>
          <w:kern w:val="1"/>
          <w:sz w:val="24"/>
          <w:szCs w:val="24"/>
          <w:lang w:val="en-US" w:eastAsia="ar-SA"/>
        </w:rPr>
        <w:t>.</w:t>
      </w:r>
      <w:r w:rsidR="00297B1A" w:rsidRPr="008C28EB">
        <w:rPr>
          <w:rFonts w:ascii="Times New Roman" w:eastAsia="Times New Roman" w:hAnsi="Times New Roman"/>
          <w:kern w:val="1"/>
          <w:sz w:val="24"/>
          <w:szCs w:val="24"/>
          <w:lang w:val="en-US" w:eastAsia="ar-SA"/>
        </w:rPr>
        <w:t xml:space="preserve"> Colum</w:t>
      </w:r>
      <w:r w:rsidR="00EC00DB" w:rsidRPr="008C28EB">
        <w:rPr>
          <w:rFonts w:ascii="Times New Roman" w:eastAsia="Times New Roman" w:hAnsi="Times New Roman"/>
          <w:kern w:val="1"/>
          <w:sz w:val="24"/>
          <w:szCs w:val="24"/>
          <w:lang w:val="en-US" w:eastAsia="ar-SA"/>
        </w:rPr>
        <w:t>n</w:t>
      </w:r>
      <w:r w:rsidR="00297B1A" w:rsidRPr="008C28EB">
        <w:rPr>
          <w:rFonts w:ascii="Times New Roman" w:eastAsia="Times New Roman" w:hAnsi="Times New Roman"/>
          <w:kern w:val="1"/>
          <w:sz w:val="24"/>
          <w:szCs w:val="24"/>
          <w:lang w:val="en-US" w:eastAsia="ar-SA"/>
        </w:rPr>
        <w:t>s (3) and (4) report models in which we include squared terms, in order to investigate potential non-linear effects. The treatment variable remains negative and statistically significant, at least at the 10% confidence level</w:t>
      </w:r>
      <w:r w:rsidR="00297B1A" w:rsidRPr="008C28EB">
        <w:rPr>
          <w:rStyle w:val="Rimandonotaapidipagina"/>
          <w:rFonts w:ascii="Times New Roman" w:eastAsia="Times New Roman" w:hAnsi="Times New Roman"/>
          <w:kern w:val="1"/>
          <w:sz w:val="24"/>
          <w:szCs w:val="24"/>
          <w:lang w:eastAsia="ar-SA"/>
        </w:rPr>
        <w:footnoteReference w:id="7"/>
      </w:r>
      <w:r w:rsidR="00297B1A" w:rsidRPr="008C28EB">
        <w:rPr>
          <w:rFonts w:ascii="Times New Roman" w:eastAsia="Times New Roman" w:hAnsi="Times New Roman"/>
          <w:kern w:val="1"/>
          <w:sz w:val="24"/>
          <w:szCs w:val="24"/>
          <w:lang w:val="en-US" w:eastAsia="ar-SA"/>
        </w:rPr>
        <w:t xml:space="preserve">. </w:t>
      </w:r>
    </w:p>
    <w:p w14:paraId="28E86640" w14:textId="77777777" w:rsidR="0024537F" w:rsidRPr="008C28EB" w:rsidRDefault="004C5280" w:rsidP="00C25996">
      <w:pPr>
        <w:pStyle w:val="NormaleWeb"/>
        <w:spacing w:before="0" w:beforeAutospacing="0" w:after="120" w:afterAutospacing="0" w:line="480" w:lineRule="auto"/>
        <w:jc w:val="center"/>
        <w:rPr>
          <w:rFonts w:ascii="Times New Roman" w:hAnsi="Times New Roman"/>
          <w:sz w:val="24"/>
          <w:szCs w:val="24"/>
          <w:lang w:val="en-US"/>
        </w:rPr>
      </w:pPr>
      <w:r w:rsidRPr="008C28EB">
        <w:rPr>
          <w:rFonts w:ascii="Times New Roman" w:hAnsi="Times New Roman"/>
          <w:sz w:val="24"/>
          <w:szCs w:val="24"/>
          <w:lang w:val="en-US"/>
        </w:rPr>
        <w:t xml:space="preserve">&lt;&lt; INSERT TABLE </w:t>
      </w:r>
      <w:r w:rsidR="00AD1DB7" w:rsidRPr="008C28EB">
        <w:rPr>
          <w:rFonts w:ascii="Times New Roman" w:hAnsi="Times New Roman"/>
          <w:sz w:val="24"/>
          <w:szCs w:val="24"/>
          <w:lang w:val="en-US"/>
        </w:rPr>
        <w:t>7</w:t>
      </w:r>
      <w:r w:rsidR="0024537F" w:rsidRPr="008C28EB">
        <w:rPr>
          <w:rFonts w:ascii="Times New Roman" w:hAnsi="Times New Roman"/>
          <w:sz w:val="24"/>
          <w:szCs w:val="24"/>
          <w:lang w:val="en-US"/>
        </w:rPr>
        <w:t>&gt;&gt;</w:t>
      </w:r>
    </w:p>
    <w:p w14:paraId="76A767A2" w14:textId="77777777" w:rsidR="003A1F73" w:rsidRPr="008C28EB" w:rsidRDefault="003A1F73" w:rsidP="00C25996">
      <w:pPr>
        <w:spacing w:after="120" w:line="480" w:lineRule="auto"/>
        <w:ind w:firstLine="737"/>
        <w:jc w:val="both"/>
        <w:rPr>
          <w:rFonts w:ascii="Times New Roman" w:eastAsia="Times New Roman" w:hAnsi="Times New Roman"/>
          <w:kern w:val="1"/>
          <w:sz w:val="24"/>
          <w:szCs w:val="24"/>
          <w:lang w:val="en-US" w:eastAsia="ar-SA"/>
        </w:rPr>
      </w:pPr>
    </w:p>
    <w:p w14:paraId="0F3FAF82" w14:textId="5E7022DC" w:rsidR="002608E1" w:rsidRPr="008C28EB" w:rsidRDefault="00B72B90" w:rsidP="00C25996">
      <w:pPr>
        <w:spacing w:after="120" w:line="480" w:lineRule="auto"/>
        <w:ind w:firstLine="737"/>
        <w:jc w:val="both"/>
        <w:rPr>
          <w:rFonts w:ascii="Times New Roman" w:eastAsia="Times New Roman" w:hAnsi="Times New Roman"/>
          <w:kern w:val="1"/>
          <w:sz w:val="24"/>
          <w:szCs w:val="24"/>
          <w:lang w:val="en-US" w:eastAsia="ar-SA"/>
        </w:rPr>
      </w:pPr>
      <w:r w:rsidRPr="008C28EB">
        <w:rPr>
          <w:rFonts w:ascii="Times New Roman" w:eastAsia="Times New Roman" w:hAnsi="Times New Roman"/>
          <w:kern w:val="1"/>
          <w:sz w:val="24"/>
          <w:szCs w:val="24"/>
          <w:lang w:val="en-US" w:eastAsia="ar-SA"/>
        </w:rPr>
        <w:t>By a</w:t>
      </w:r>
      <w:r w:rsidR="002608E1" w:rsidRPr="008C28EB">
        <w:rPr>
          <w:rFonts w:ascii="Times New Roman" w:eastAsia="Times New Roman" w:hAnsi="Times New Roman"/>
          <w:kern w:val="1"/>
          <w:sz w:val="24"/>
          <w:szCs w:val="24"/>
          <w:lang w:val="en-US" w:eastAsia="ar-SA"/>
        </w:rPr>
        <w:t>nalyzing summary statistics about ATE(X), ATET(X), and ATENT(X),</w:t>
      </w:r>
      <w:r w:rsidR="00675EB8" w:rsidRPr="008C28EB">
        <w:rPr>
          <w:rFonts w:ascii="Times New Roman" w:eastAsia="Times New Roman" w:hAnsi="Times New Roman"/>
          <w:kern w:val="1"/>
          <w:sz w:val="24"/>
          <w:szCs w:val="24"/>
          <w:lang w:val="en-US" w:eastAsia="ar-SA"/>
        </w:rPr>
        <w:t xml:space="preserve"> </w:t>
      </w:r>
      <w:r w:rsidR="00C543F1" w:rsidRPr="008C28EB">
        <w:rPr>
          <w:rFonts w:ascii="Times New Roman" w:eastAsia="Times New Roman" w:hAnsi="Times New Roman"/>
          <w:kern w:val="1"/>
          <w:sz w:val="24"/>
          <w:szCs w:val="24"/>
          <w:lang w:val="en-US" w:eastAsia="ar-SA"/>
        </w:rPr>
        <w:t xml:space="preserve">reported in Panel B, </w:t>
      </w:r>
      <w:r w:rsidRPr="008C28EB">
        <w:rPr>
          <w:rFonts w:ascii="Times New Roman" w:eastAsia="Times New Roman" w:hAnsi="Times New Roman"/>
          <w:kern w:val="1"/>
          <w:sz w:val="24"/>
          <w:szCs w:val="24"/>
          <w:lang w:val="en-US" w:eastAsia="ar-SA"/>
        </w:rPr>
        <w:t>we observe that</w:t>
      </w:r>
      <w:r w:rsidR="003A5108" w:rsidRPr="008C28EB">
        <w:rPr>
          <w:rFonts w:ascii="Times New Roman" w:eastAsia="Times New Roman" w:hAnsi="Times New Roman"/>
          <w:kern w:val="1"/>
          <w:sz w:val="24"/>
          <w:szCs w:val="24"/>
          <w:lang w:val="en-US" w:eastAsia="ar-SA"/>
        </w:rPr>
        <w:t xml:space="preserve"> </w:t>
      </w:r>
      <w:r w:rsidR="002608E1" w:rsidRPr="008C28EB">
        <w:rPr>
          <w:rFonts w:ascii="Times New Roman" w:eastAsia="Times New Roman" w:hAnsi="Times New Roman"/>
          <w:kern w:val="1"/>
          <w:sz w:val="24"/>
          <w:szCs w:val="24"/>
          <w:lang w:val="en-US" w:eastAsia="ar-SA"/>
        </w:rPr>
        <w:t xml:space="preserve">the average ATENT(X) is </w:t>
      </w:r>
      <w:r w:rsidR="00DF281B" w:rsidRPr="008C28EB">
        <w:rPr>
          <w:rFonts w:ascii="Times New Roman" w:eastAsia="Times New Roman" w:hAnsi="Times New Roman"/>
          <w:kern w:val="1"/>
          <w:sz w:val="24"/>
          <w:szCs w:val="24"/>
          <w:lang w:val="en-US" w:eastAsia="ar-SA"/>
        </w:rPr>
        <w:t xml:space="preserve">always </w:t>
      </w:r>
      <w:r w:rsidR="002608E1" w:rsidRPr="008C28EB">
        <w:rPr>
          <w:rFonts w:ascii="Times New Roman" w:eastAsia="Times New Roman" w:hAnsi="Times New Roman"/>
          <w:kern w:val="1"/>
          <w:sz w:val="24"/>
          <w:szCs w:val="24"/>
          <w:lang w:val="en-US" w:eastAsia="ar-SA"/>
        </w:rPr>
        <w:t>n</w:t>
      </w:r>
      <w:r w:rsidR="00DF281B" w:rsidRPr="008C28EB">
        <w:rPr>
          <w:rFonts w:ascii="Times New Roman" w:eastAsia="Times New Roman" w:hAnsi="Times New Roman"/>
          <w:kern w:val="1"/>
          <w:sz w:val="24"/>
          <w:szCs w:val="24"/>
          <w:lang w:val="en-US" w:eastAsia="ar-SA"/>
        </w:rPr>
        <w:t>egative as</w:t>
      </w:r>
      <w:r w:rsidRPr="008C28EB">
        <w:rPr>
          <w:rFonts w:ascii="Times New Roman" w:eastAsia="Times New Roman" w:hAnsi="Times New Roman"/>
          <w:kern w:val="1"/>
          <w:sz w:val="24"/>
          <w:szCs w:val="24"/>
          <w:lang w:val="en-US" w:eastAsia="ar-SA"/>
        </w:rPr>
        <w:t xml:space="preserve"> is</w:t>
      </w:r>
      <w:r w:rsidR="00DF281B" w:rsidRPr="008C28EB">
        <w:rPr>
          <w:rFonts w:ascii="Times New Roman" w:eastAsia="Times New Roman" w:hAnsi="Times New Roman"/>
          <w:kern w:val="1"/>
          <w:sz w:val="24"/>
          <w:szCs w:val="24"/>
          <w:lang w:val="en-US" w:eastAsia="ar-SA"/>
        </w:rPr>
        <w:t xml:space="preserve"> the average ATET(X).</w:t>
      </w:r>
      <w:r w:rsidR="002608E1" w:rsidRPr="008C28EB">
        <w:rPr>
          <w:rFonts w:ascii="Times New Roman" w:eastAsia="Times New Roman" w:hAnsi="Times New Roman"/>
          <w:kern w:val="1"/>
          <w:sz w:val="24"/>
          <w:szCs w:val="24"/>
          <w:lang w:val="en-US" w:eastAsia="ar-SA"/>
        </w:rPr>
        <w:t xml:space="preserve"> This </w:t>
      </w:r>
      <w:r w:rsidR="00C543F1" w:rsidRPr="008C28EB">
        <w:rPr>
          <w:rFonts w:ascii="Times New Roman" w:eastAsia="Times New Roman" w:hAnsi="Times New Roman"/>
          <w:kern w:val="1"/>
          <w:sz w:val="24"/>
          <w:szCs w:val="24"/>
          <w:lang w:val="en-US" w:eastAsia="ar-SA"/>
        </w:rPr>
        <w:t>indicates</w:t>
      </w:r>
      <w:r w:rsidR="002608E1" w:rsidRPr="008C28EB">
        <w:rPr>
          <w:rFonts w:ascii="Times New Roman" w:eastAsia="Times New Roman" w:hAnsi="Times New Roman"/>
          <w:kern w:val="1"/>
          <w:sz w:val="24"/>
          <w:szCs w:val="24"/>
          <w:lang w:val="en-US" w:eastAsia="ar-SA"/>
        </w:rPr>
        <w:t xml:space="preserve"> that, considering the effect of several possible confounders, untreated</w:t>
      </w:r>
      <w:r w:rsidR="00AD1DB7" w:rsidRPr="008C28EB">
        <w:rPr>
          <w:rFonts w:ascii="Times New Roman" w:eastAsia="Times New Roman" w:hAnsi="Times New Roman"/>
          <w:kern w:val="1"/>
          <w:sz w:val="24"/>
          <w:szCs w:val="24"/>
          <w:lang w:val="en-US" w:eastAsia="ar-SA"/>
        </w:rPr>
        <w:t xml:space="preserve"> banks would have experienced a</w:t>
      </w:r>
      <w:r w:rsidR="003A5108" w:rsidRPr="008C28EB">
        <w:rPr>
          <w:rFonts w:ascii="Times New Roman" w:eastAsia="Times New Roman" w:hAnsi="Times New Roman"/>
          <w:kern w:val="1"/>
          <w:sz w:val="24"/>
          <w:szCs w:val="24"/>
          <w:lang w:val="en-US" w:eastAsia="ar-SA"/>
        </w:rPr>
        <w:t xml:space="preserve"> </w:t>
      </w:r>
      <w:r w:rsidR="00A51856" w:rsidRPr="008C28EB">
        <w:rPr>
          <w:rFonts w:ascii="Times New Roman" w:eastAsia="Times New Roman" w:hAnsi="Times New Roman"/>
          <w:kern w:val="1"/>
          <w:sz w:val="24"/>
          <w:szCs w:val="24"/>
          <w:lang w:val="en-US" w:eastAsia="ar-SA"/>
        </w:rPr>
        <w:t>very similar</w:t>
      </w:r>
      <w:r w:rsidR="002608E1" w:rsidRPr="008C28EB">
        <w:rPr>
          <w:rFonts w:ascii="Times New Roman" w:eastAsia="Times New Roman" w:hAnsi="Times New Roman"/>
          <w:kern w:val="1"/>
          <w:sz w:val="24"/>
          <w:szCs w:val="24"/>
          <w:lang w:val="en-US" w:eastAsia="ar-SA"/>
        </w:rPr>
        <w:t xml:space="preserve"> negative reaction with respect to treated banks if they had been subject to the same treatment. This reinfor</w:t>
      </w:r>
      <w:r w:rsidR="00371664" w:rsidRPr="008C28EB">
        <w:rPr>
          <w:rFonts w:ascii="Times New Roman" w:eastAsia="Times New Roman" w:hAnsi="Times New Roman"/>
          <w:kern w:val="1"/>
          <w:sz w:val="24"/>
          <w:szCs w:val="24"/>
          <w:lang w:val="en-US" w:eastAsia="ar-SA"/>
        </w:rPr>
        <w:t xml:space="preserve">ces the idea that the negative </w:t>
      </w:r>
      <w:r w:rsidR="002608E1" w:rsidRPr="008C28EB">
        <w:rPr>
          <w:rFonts w:ascii="Times New Roman" w:eastAsia="Times New Roman" w:hAnsi="Times New Roman"/>
          <w:kern w:val="1"/>
          <w:sz w:val="24"/>
          <w:szCs w:val="24"/>
          <w:lang w:val="en-US" w:eastAsia="ar-SA"/>
        </w:rPr>
        <w:t>reaction</w:t>
      </w:r>
      <w:r w:rsidRPr="008C28EB">
        <w:rPr>
          <w:rFonts w:ascii="Times New Roman" w:eastAsia="Times New Roman" w:hAnsi="Times New Roman"/>
          <w:kern w:val="1"/>
          <w:sz w:val="24"/>
          <w:szCs w:val="24"/>
          <w:lang w:val="en-US" w:eastAsia="ar-SA"/>
        </w:rPr>
        <w:t xml:space="preserve"> of investors </w:t>
      </w:r>
      <w:r w:rsidR="002608E1" w:rsidRPr="008C28EB">
        <w:rPr>
          <w:rFonts w:ascii="Times New Roman" w:eastAsia="Times New Roman" w:hAnsi="Times New Roman"/>
          <w:kern w:val="1"/>
          <w:sz w:val="24"/>
          <w:szCs w:val="24"/>
          <w:lang w:val="en-US" w:eastAsia="ar-SA"/>
        </w:rPr>
        <w:t xml:space="preserve">is not mainly due to </w:t>
      </w:r>
      <w:r w:rsidR="002608E1" w:rsidRPr="008C28EB">
        <w:rPr>
          <w:rFonts w:ascii="Times New Roman" w:eastAsia="Times New Roman" w:hAnsi="Times New Roman"/>
          <w:kern w:val="1"/>
          <w:sz w:val="24"/>
          <w:szCs w:val="24"/>
          <w:lang w:val="en-US" w:eastAsia="ar-SA"/>
        </w:rPr>
        <w:lastRenderedPageBreak/>
        <w:t xml:space="preserve">some specific features of </w:t>
      </w:r>
      <w:r w:rsidR="00B30625" w:rsidRPr="008C28EB">
        <w:rPr>
          <w:rFonts w:ascii="Times New Roman" w:eastAsia="Times New Roman" w:hAnsi="Times New Roman"/>
          <w:kern w:val="1"/>
          <w:sz w:val="24"/>
          <w:szCs w:val="24"/>
          <w:lang w:val="en-US" w:eastAsia="ar-SA"/>
        </w:rPr>
        <w:t xml:space="preserve">the group of </w:t>
      </w:r>
      <w:r w:rsidR="002608E1" w:rsidRPr="008C28EB">
        <w:rPr>
          <w:rFonts w:ascii="Times New Roman" w:eastAsia="Times New Roman" w:hAnsi="Times New Roman"/>
          <w:kern w:val="1"/>
          <w:sz w:val="24"/>
          <w:szCs w:val="24"/>
          <w:lang w:val="en-US" w:eastAsia="ar-SA"/>
        </w:rPr>
        <w:t>treated banks,</w:t>
      </w:r>
      <w:r w:rsidR="00AD1DB7" w:rsidRPr="008C28EB">
        <w:rPr>
          <w:rFonts w:ascii="Times New Roman" w:eastAsia="Times New Roman" w:hAnsi="Times New Roman"/>
          <w:kern w:val="1"/>
          <w:sz w:val="24"/>
          <w:szCs w:val="24"/>
          <w:lang w:val="en-US" w:eastAsia="ar-SA"/>
        </w:rPr>
        <w:t xml:space="preserve"> but to the treatment in itself, supporting H</w:t>
      </w:r>
      <w:r w:rsidR="00AD1DB7" w:rsidRPr="008C28EB">
        <w:rPr>
          <w:rFonts w:ascii="Times New Roman" w:eastAsia="Times New Roman" w:hAnsi="Times New Roman"/>
          <w:kern w:val="1"/>
          <w:sz w:val="24"/>
          <w:szCs w:val="24"/>
          <w:vertAlign w:val="subscript"/>
          <w:lang w:val="en-US" w:eastAsia="ar-SA"/>
        </w:rPr>
        <w:t>2</w:t>
      </w:r>
      <w:r w:rsidR="00AD1DB7" w:rsidRPr="008C28EB">
        <w:rPr>
          <w:rFonts w:ascii="Times New Roman" w:eastAsia="Times New Roman" w:hAnsi="Times New Roman"/>
          <w:kern w:val="1"/>
          <w:sz w:val="24"/>
          <w:szCs w:val="24"/>
          <w:lang w:val="en-US" w:eastAsia="ar-SA"/>
        </w:rPr>
        <w:t>.</w:t>
      </w:r>
    </w:p>
    <w:p w14:paraId="193CD93C" w14:textId="77777777" w:rsidR="00A9659C" w:rsidRPr="008C28EB" w:rsidRDefault="00A9659C" w:rsidP="00C25996">
      <w:pPr>
        <w:spacing w:after="120" w:line="480" w:lineRule="auto"/>
        <w:ind w:firstLine="737"/>
        <w:jc w:val="both"/>
        <w:rPr>
          <w:rFonts w:ascii="Times New Roman" w:hAnsi="Times New Roman"/>
          <w:sz w:val="24"/>
          <w:szCs w:val="24"/>
          <w:lang w:val="en-US"/>
        </w:rPr>
      </w:pPr>
    </w:p>
    <w:p w14:paraId="4E667F74" w14:textId="77777777" w:rsidR="00A9659C" w:rsidRPr="008C28EB" w:rsidRDefault="008628A6" w:rsidP="00C25996">
      <w:pPr>
        <w:spacing w:after="120" w:line="480" w:lineRule="auto"/>
        <w:rPr>
          <w:rFonts w:ascii="Times New Roman" w:hAnsi="Times New Roman"/>
          <w:b/>
          <w:sz w:val="24"/>
          <w:szCs w:val="24"/>
          <w:lang w:val="en-US"/>
        </w:rPr>
      </w:pPr>
      <w:r w:rsidRPr="008C28EB">
        <w:rPr>
          <w:rFonts w:ascii="Times New Roman" w:hAnsi="Times New Roman"/>
          <w:b/>
          <w:sz w:val="24"/>
          <w:szCs w:val="24"/>
          <w:lang w:val="en-US"/>
        </w:rPr>
        <w:t>6</w:t>
      </w:r>
      <w:r w:rsidR="009D228E" w:rsidRPr="008C28EB">
        <w:rPr>
          <w:rFonts w:ascii="Times New Roman" w:hAnsi="Times New Roman"/>
          <w:b/>
          <w:sz w:val="24"/>
          <w:szCs w:val="24"/>
          <w:lang w:val="en-US"/>
        </w:rPr>
        <w:t xml:space="preserve">. </w:t>
      </w:r>
      <w:r w:rsidR="00A9659C" w:rsidRPr="008C28EB">
        <w:rPr>
          <w:rFonts w:ascii="Times New Roman" w:hAnsi="Times New Roman"/>
          <w:b/>
          <w:sz w:val="24"/>
          <w:szCs w:val="24"/>
          <w:lang w:val="en-US"/>
        </w:rPr>
        <w:t>Robustness checks</w:t>
      </w:r>
    </w:p>
    <w:p w14:paraId="4D3468DF" w14:textId="7F9C10AF" w:rsidR="008C6D0D" w:rsidRPr="008C28EB" w:rsidRDefault="00A9659C" w:rsidP="00A9659C">
      <w:pPr>
        <w:spacing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In this section, we provide some robustness checks to test the reliability of results from </w:t>
      </w:r>
      <w:r w:rsidR="008C6D0D" w:rsidRPr="008C28EB">
        <w:rPr>
          <w:rFonts w:ascii="Times New Roman" w:hAnsi="Times New Roman"/>
          <w:sz w:val="24"/>
          <w:szCs w:val="24"/>
          <w:lang w:val="en-US"/>
        </w:rPr>
        <w:t>our</w:t>
      </w:r>
      <w:r w:rsidRPr="008C28EB">
        <w:rPr>
          <w:rFonts w:ascii="Times New Roman" w:hAnsi="Times New Roman"/>
          <w:sz w:val="24"/>
          <w:szCs w:val="24"/>
          <w:lang w:val="en-US"/>
        </w:rPr>
        <w:t xml:space="preserve"> main models</w:t>
      </w:r>
      <w:r w:rsidR="00B40023" w:rsidRPr="008C28EB">
        <w:rPr>
          <w:rFonts w:ascii="Times New Roman" w:hAnsi="Times New Roman"/>
          <w:sz w:val="24"/>
          <w:szCs w:val="24"/>
          <w:lang w:val="en-US"/>
        </w:rPr>
        <w:t xml:space="preserve"> shown in Table 7</w:t>
      </w:r>
      <w:r w:rsidRPr="008C28EB">
        <w:rPr>
          <w:rFonts w:ascii="Times New Roman" w:hAnsi="Times New Roman"/>
          <w:sz w:val="24"/>
          <w:szCs w:val="24"/>
          <w:lang w:val="en-US"/>
        </w:rPr>
        <w:t xml:space="preserve">. </w:t>
      </w:r>
      <w:r w:rsidR="00B679F1" w:rsidRPr="008C28EB">
        <w:rPr>
          <w:rFonts w:ascii="Times New Roman" w:hAnsi="Times New Roman"/>
          <w:sz w:val="24"/>
          <w:szCs w:val="24"/>
          <w:lang w:val="en-US"/>
        </w:rPr>
        <w:t>First, we restrict the sample in order to have a comparable average bank size in the subsample</w:t>
      </w:r>
      <w:r w:rsidR="00B40023" w:rsidRPr="008C28EB">
        <w:rPr>
          <w:rFonts w:ascii="Times New Roman" w:hAnsi="Times New Roman"/>
          <w:sz w:val="24"/>
          <w:szCs w:val="24"/>
          <w:lang w:val="en-US"/>
        </w:rPr>
        <w:t>s</w:t>
      </w:r>
      <w:r w:rsidR="00B679F1" w:rsidRPr="008C28EB">
        <w:rPr>
          <w:rFonts w:ascii="Times New Roman" w:hAnsi="Times New Roman"/>
          <w:sz w:val="24"/>
          <w:szCs w:val="24"/>
          <w:lang w:val="en-US"/>
        </w:rPr>
        <w:t xml:space="preserve"> of treated and controls. As suggested by Imbens an</w:t>
      </w:r>
      <w:r w:rsidR="0059363F" w:rsidRPr="008C28EB">
        <w:rPr>
          <w:rFonts w:ascii="Times New Roman" w:hAnsi="Times New Roman"/>
          <w:sz w:val="24"/>
          <w:szCs w:val="24"/>
          <w:lang w:val="en-US"/>
        </w:rPr>
        <w:t>d</w:t>
      </w:r>
      <w:r w:rsidR="00B679F1" w:rsidRPr="008C28EB">
        <w:rPr>
          <w:rFonts w:ascii="Times New Roman" w:hAnsi="Times New Roman"/>
          <w:sz w:val="24"/>
          <w:szCs w:val="24"/>
          <w:lang w:val="en-US"/>
        </w:rPr>
        <w:t xml:space="preserve"> Woolridge (2009), the simple linear regression model is reliable when the variables determining the treatment</w:t>
      </w:r>
      <w:r w:rsidR="003A5108" w:rsidRPr="008C28EB">
        <w:rPr>
          <w:rFonts w:ascii="Times New Roman" w:hAnsi="Times New Roman"/>
          <w:sz w:val="24"/>
          <w:szCs w:val="24"/>
          <w:lang w:val="en-US"/>
        </w:rPr>
        <w:t xml:space="preserve"> are known</w:t>
      </w:r>
      <w:r w:rsidR="008C6D0D" w:rsidRPr="008C28EB">
        <w:rPr>
          <w:rFonts w:ascii="Times New Roman" w:hAnsi="Times New Roman"/>
          <w:sz w:val="24"/>
          <w:szCs w:val="24"/>
          <w:lang w:val="en-US"/>
        </w:rPr>
        <w:t xml:space="preserve">, </w:t>
      </w:r>
      <w:r w:rsidR="003A5108" w:rsidRPr="008C28EB">
        <w:rPr>
          <w:rFonts w:ascii="Times New Roman" w:hAnsi="Times New Roman"/>
          <w:sz w:val="24"/>
          <w:szCs w:val="24"/>
          <w:lang w:val="en-US"/>
        </w:rPr>
        <w:t xml:space="preserve">and </w:t>
      </w:r>
      <w:r w:rsidR="00B679F1" w:rsidRPr="008C28EB">
        <w:rPr>
          <w:rFonts w:ascii="Times New Roman" w:hAnsi="Times New Roman"/>
          <w:sz w:val="24"/>
          <w:szCs w:val="24"/>
          <w:lang w:val="en-US"/>
        </w:rPr>
        <w:t xml:space="preserve">the normalized difference of these variables between treated and controls </w:t>
      </w:r>
      <w:r w:rsidR="00DB6F4E" w:rsidRPr="008C28EB">
        <w:rPr>
          <w:rFonts w:ascii="Times New Roman" w:hAnsi="Times New Roman"/>
          <w:sz w:val="24"/>
          <w:szCs w:val="24"/>
          <w:lang w:val="en-US"/>
        </w:rPr>
        <w:t>is not too large</w:t>
      </w:r>
      <w:r w:rsidR="00B679F1" w:rsidRPr="008C28EB">
        <w:rPr>
          <w:rFonts w:ascii="Times New Roman" w:hAnsi="Times New Roman"/>
          <w:sz w:val="24"/>
          <w:szCs w:val="24"/>
          <w:lang w:val="en-US"/>
        </w:rPr>
        <w:t xml:space="preserve">. As it is possible to </w:t>
      </w:r>
      <w:r w:rsidR="00E9527E" w:rsidRPr="008C28EB">
        <w:rPr>
          <w:rFonts w:ascii="Times New Roman" w:hAnsi="Times New Roman"/>
          <w:sz w:val="24"/>
          <w:szCs w:val="24"/>
          <w:lang w:val="en-US"/>
        </w:rPr>
        <w:t xml:space="preserve">observe </w:t>
      </w:r>
      <w:r w:rsidR="00B679F1" w:rsidRPr="008C28EB">
        <w:rPr>
          <w:rFonts w:ascii="Times New Roman" w:hAnsi="Times New Roman"/>
          <w:sz w:val="24"/>
          <w:szCs w:val="24"/>
          <w:lang w:val="en-US"/>
        </w:rPr>
        <w:t xml:space="preserve">from Table 5, Panel B, the size </w:t>
      </w:r>
      <w:r w:rsidR="00675EB8" w:rsidRPr="008C28EB">
        <w:rPr>
          <w:rFonts w:ascii="Times New Roman" w:hAnsi="Times New Roman"/>
          <w:sz w:val="24"/>
          <w:szCs w:val="24"/>
          <w:lang w:val="en-US"/>
        </w:rPr>
        <w:t>relative to GDP</w:t>
      </w:r>
      <w:r w:rsidR="00B679F1" w:rsidRPr="008C28EB">
        <w:rPr>
          <w:rFonts w:ascii="Times New Roman" w:hAnsi="Times New Roman"/>
          <w:sz w:val="24"/>
          <w:szCs w:val="24"/>
          <w:lang w:val="en-US"/>
        </w:rPr>
        <w:t xml:space="preserve"> is significantly larger for treated banks than for controls. In order to remove this </w:t>
      </w:r>
      <w:r w:rsidR="008C6D0D" w:rsidRPr="008C28EB">
        <w:rPr>
          <w:rFonts w:ascii="Times New Roman" w:hAnsi="Times New Roman"/>
          <w:sz w:val="24"/>
          <w:szCs w:val="24"/>
          <w:lang w:val="en-US"/>
        </w:rPr>
        <w:t xml:space="preserve">significant </w:t>
      </w:r>
      <w:r w:rsidR="00B679F1" w:rsidRPr="008C28EB">
        <w:rPr>
          <w:rFonts w:ascii="Times New Roman" w:hAnsi="Times New Roman"/>
          <w:sz w:val="24"/>
          <w:szCs w:val="24"/>
          <w:lang w:val="en-US"/>
        </w:rPr>
        <w:t xml:space="preserve">difference, we drop from our analysis all controls for which the relative size is below the minimum value registered for treated banks. </w:t>
      </w:r>
      <w:r w:rsidR="00BB330C" w:rsidRPr="008C28EB">
        <w:rPr>
          <w:rFonts w:ascii="Times New Roman" w:hAnsi="Times New Roman"/>
          <w:sz w:val="24"/>
          <w:szCs w:val="24"/>
          <w:lang w:val="en-US"/>
        </w:rPr>
        <w:t>As reported in Table 8, Models (1) and (2), t</w:t>
      </w:r>
      <w:r w:rsidR="008C6D0D" w:rsidRPr="008C28EB">
        <w:rPr>
          <w:rFonts w:ascii="Times New Roman" w:hAnsi="Times New Roman"/>
          <w:sz w:val="24"/>
          <w:szCs w:val="24"/>
          <w:lang w:val="en-US"/>
        </w:rPr>
        <w:t>he number of observations drop from 118 to 89, but results remain qualitatively unaltered: our treatment variable remains negative and statistically significant</w:t>
      </w:r>
      <w:r w:rsidR="00BB330C" w:rsidRPr="008C28EB">
        <w:rPr>
          <w:rFonts w:ascii="Times New Roman" w:hAnsi="Times New Roman"/>
          <w:sz w:val="24"/>
          <w:szCs w:val="24"/>
          <w:lang w:val="en-US"/>
        </w:rPr>
        <w:t xml:space="preserve"> at least at the 5% confidence level</w:t>
      </w:r>
      <w:r w:rsidR="008C6D0D" w:rsidRPr="008C28EB">
        <w:rPr>
          <w:rFonts w:ascii="Times New Roman" w:hAnsi="Times New Roman"/>
          <w:sz w:val="24"/>
          <w:szCs w:val="24"/>
          <w:lang w:val="en-US"/>
        </w:rPr>
        <w:t>.</w:t>
      </w:r>
    </w:p>
    <w:p w14:paraId="6EA803C8" w14:textId="6D3CAFF6" w:rsidR="00A9659C" w:rsidRPr="008C28EB" w:rsidRDefault="000964A5" w:rsidP="00BB330C">
      <w:pPr>
        <w:spacing w:after="12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Second</w:t>
      </w:r>
      <w:r w:rsidR="00CC1BE1" w:rsidRPr="008C28EB">
        <w:rPr>
          <w:rFonts w:ascii="Times New Roman" w:hAnsi="Times New Roman"/>
          <w:sz w:val="24"/>
          <w:szCs w:val="24"/>
          <w:lang w:val="en-US"/>
        </w:rPr>
        <w:t xml:space="preserve">, </w:t>
      </w:r>
      <w:r w:rsidR="008C6D0D" w:rsidRPr="008C28EB">
        <w:rPr>
          <w:rFonts w:ascii="Times New Roman" w:hAnsi="Times New Roman"/>
          <w:sz w:val="24"/>
          <w:szCs w:val="24"/>
          <w:lang w:val="en-US"/>
        </w:rPr>
        <w:t xml:space="preserve">we have to consider the possibility that some relevant confounding events happened around the considered announcement dates. </w:t>
      </w:r>
      <w:r w:rsidR="00E9527E" w:rsidRPr="008C28EB">
        <w:rPr>
          <w:rFonts w:ascii="Times New Roman" w:hAnsi="Times New Roman"/>
          <w:sz w:val="24"/>
          <w:szCs w:val="24"/>
          <w:lang w:val="en-US"/>
        </w:rPr>
        <w:t>We search</w:t>
      </w:r>
      <w:r w:rsidR="008C6D0D" w:rsidRPr="008C28EB">
        <w:rPr>
          <w:rFonts w:ascii="Times New Roman" w:hAnsi="Times New Roman"/>
          <w:sz w:val="24"/>
          <w:szCs w:val="24"/>
          <w:lang w:val="en-US"/>
        </w:rPr>
        <w:t xml:space="preserve"> Lexis Nexis for </w:t>
      </w:r>
      <w:r w:rsidR="00DB6F4E" w:rsidRPr="008C28EB">
        <w:rPr>
          <w:rFonts w:ascii="Times New Roman" w:hAnsi="Times New Roman"/>
          <w:sz w:val="24"/>
          <w:szCs w:val="24"/>
          <w:lang w:val="en-US"/>
        </w:rPr>
        <w:t xml:space="preserve">relevant news in a (-5;+5) window around both the announcement of CA results (26 October 2014) and the official launch of the SSM (4 November 2014). </w:t>
      </w:r>
      <w:r w:rsidR="001E5E24" w:rsidRPr="008C28EB">
        <w:rPr>
          <w:rFonts w:ascii="Times New Roman" w:hAnsi="Times New Roman"/>
          <w:sz w:val="24"/>
          <w:szCs w:val="24"/>
          <w:lang w:val="en-US"/>
        </w:rPr>
        <w:t>We also draw information from the press rel</w:t>
      </w:r>
      <w:r w:rsidRPr="008C28EB">
        <w:rPr>
          <w:rFonts w:ascii="Times New Roman" w:hAnsi="Times New Roman"/>
          <w:sz w:val="24"/>
          <w:szCs w:val="24"/>
          <w:lang w:val="en-US"/>
        </w:rPr>
        <w:t>ease</w:t>
      </w:r>
      <w:r w:rsidR="001E5E24" w:rsidRPr="008C28EB">
        <w:rPr>
          <w:rFonts w:ascii="Times New Roman" w:hAnsi="Times New Roman"/>
          <w:sz w:val="24"/>
          <w:szCs w:val="24"/>
          <w:lang w:val="en-US"/>
        </w:rPr>
        <w:t xml:space="preserve"> section of all sample banks’ institutional websites. </w:t>
      </w:r>
      <w:r w:rsidR="00DB6F4E" w:rsidRPr="008C28EB">
        <w:rPr>
          <w:rFonts w:ascii="Times New Roman" w:hAnsi="Times New Roman"/>
          <w:sz w:val="24"/>
          <w:szCs w:val="24"/>
          <w:lang w:val="en-US"/>
        </w:rPr>
        <w:t>We include news related to change in top management (C</w:t>
      </w:r>
      <w:r w:rsidRPr="008C28EB">
        <w:rPr>
          <w:rFonts w:ascii="Times New Roman" w:hAnsi="Times New Roman"/>
          <w:sz w:val="24"/>
          <w:szCs w:val="24"/>
          <w:lang w:val="en-US"/>
        </w:rPr>
        <w:t xml:space="preserve">hief </w:t>
      </w:r>
      <w:r w:rsidR="00DB6F4E" w:rsidRPr="008C28EB">
        <w:rPr>
          <w:rFonts w:ascii="Times New Roman" w:hAnsi="Times New Roman"/>
          <w:sz w:val="24"/>
          <w:szCs w:val="24"/>
          <w:lang w:val="en-US"/>
        </w:rPr>
        <w:t>E</w:t>
      </w:r>
      <w:r w:rsidRPr="008C28EB">
        <w:rPr>
          <w:rFonts w:ascii="Times New Roman" w:hAnsi="Times New Roman"/>
          <w:sz w:val="24"/>
          <w:szCs w:val="24"/>
          <w:lang w:val="en-US"/>
        </w:rPr>
        <w:t xml:space="preserve">xecutive </w:t>
      </w:r>
      <w:r w:rsidR="00DB6F4E" w:rsidRPr="008C28EB">
        <w:rPr>
          <w:rFonts w:ascii="Times New Roman" w:hAnsi="Times New Roman"/>
          <w:sz w:val="24"/>
          <w:szCs w:val="24"/>
          <w:lang w:val="en-US"/>
        </w:rPr>
        <w:lastRenderedPageBreak/>
        <w:t>O</w:t>
      </w:r>
      <w:r w:rsidRPr="008C28EB">
        <w:rPr>
          <w:rFonts w:ascii="Times New Roman" w:hAnsi="Times New Roman"/>
          <w:sz w:val="24"/>
          <w:szCs w:val="24"/>
          <w:lang w:val="en-US"/>
        </w:rPr>
        <w:t>fficer</w:t>
      </w:r>
      <w:r w:rsidR="00DB6F4E" w:rsidRPr="008C28EB">
        <w:rPr>
          <w:rFonts w:ascii="Times New Roman" w:hAnsi="Times New Roman"/>
          <w:sz w:val="24"/>
          <w:szCs w:val="24"/>
          <w:lang w:val="en-US"/>
        </w:rPr>
        <w:t>, C</w:t>
      </w:r>
      <w:r w:rsidRPr="008C28EB">
        <w:rPr>
          <w:rFonts w:ascii="Times New Roman" w:hAnsi="Times New Roman"/>
          <w:sz w:val="24"/>
          <w:szCs w:val="24"/>
          <w:lang w:val="en-US"/>
        </w:rPr>
        <w:t xml:space="preserve">hief </w:t>
      </w:r>
      <w:r w:rsidR="00DB6F4E" w:rsidRPr="008C28EB">
        <w:rPr>
          <w:rFonts w:ascii="Times New Roman" w:hAnsi="Times New Roman"/>
          <w:sz w:val="24"/>
          <w:szCs w:val="24"/>
          <w:lang w:val="en-US"/>
        </w:rPr>
        <w:t>F</w:t>
      </w:r>
      <w:r w:rsidRPr="008C28EB">
        <w:rPr>
          <w:rFonts w:ascii="Times New Roman" w:hAnsi="Times New Roman"/>
          <w:sz w:val="24"/>
          <w:szCs w:val="24"/>
          <w:lang w:val="en-US"/>
        </w:rPr>
        <w:t xml:space="preserve">inancial </w:t>
      </w:r>
      <w:r w:rsidR="00DB6F4E" w:rsidRPr="008C28EB">
        <w:rPr>
          <w:rFonts w:ascii="Times New Roman" w:hAnsi="Times New Roman"/>
          <w:sz w:val="24"/>
          <w:szCs w:val="24"/>
          <w:lang w:val="en-US"/>
        </w:rPr>
        <w:t>O</w:t>
      </w:r>
      <w:r w:rsidRPr="008C28EB">
        <w:rPr>
          <w:rFonts w:ascii="Times New Roman" w:hAnsi="Times New Roman"/>
          <w:sz w:val="24"/>
          <w:szCs w:val="24"/>
          <w:lang w:val="en-US"/>
        </w:rPr>
        <w:t>fficer</w:t>
      </w:r>
      <w:r w:rsidR="00DB6F4E" w:rsidRPr="008C28EB">
        <w:rPr>
          <w:rFonts w:ascii="Times New Roman" w:hAnsi="Times New Roman"/>
          <w:sz w:val="24"/>
          <w:szCs w:val="24"/>
          <w:lang w:val="en-US"/>
        </w:rPr>
        <w:t>, or C</w:t>
      </w:r>
      <w:r w:rsidRPr="008C28EB">
        <w:rPr>
          <w:rFonts w:ascii="Times New Roman" w:hAnsi="Times New Roman"/>
          <w:sz w:val="24"/>
          <w:szCs w:val="24"/>
          <w:lang w:val="en-US"/>
        </w:rPr>
        <w:t xml:space="preserve">hief </w:t>
      </w:r>
      <w:r w:rsidR="00DB6F4E" w:rsidRPr="008C28EB">
        <w:rPr>
          <w:rFonts w:ascii="Times New Roman" w:hAnsi="Times New Roman"/>
          <w:sz w:val="24"/>
          <w:szCs w:val="24"/>
          <w:lang w:val="en-US"/>
        </w:rPr>
        <w:t>O</w:t>
      </w:r>
      <w:r w:rsidRPr="008C28EB">
        <w:rPr>
          <w:rFonts w:ascii="Times New Roman" w:hAnsi="Times New Roman"/>
          <w:sz w:val="24"/>
          <w:szCs w:val="24"/>
          <w:lang w:val="en-US"/>
        </w:rPr>
        <w:t xml:space="preserve">perational </w:t>
      </w:r>
      <w:r w:rsidR="00DB6F4E" w:rsidRPr="008C28EB">
        <w:rPr>
          <w:rFonts w:ascii="Times New Roman" w:hAnsi="Times New Roman"/>
          <w:sz w:val="24"/>
          <w:szCs w:val="24"/>
          <w:lang w:val="en-US"/>
        </w:rPr>
        <w:t>O</w:t>
      </w:r>
      <w:r w:rsidRPr="008C28EB">
        <w:rPr>
          <w:rFonts w:ascii="Times New Roman" w:hAnsi="Times New Roman"/>
          <w:sz w:val="24"/>
          <w:szCs w:val="24"/>
          <w:lang w:val="en-US"/>
        </w:rPr>
        <w:t>fficer</w:t>
      </w:r>
      <w:r w:rsidR="00BB330C" w:rsidRPr="008C28EB">
        <w:rPr>
          <w:rFonts w:ascii="Times New Roman" w:hAnsi="Times New Roman"/>
          <w:sz w:val="24"/>
          <w:szCs w:val="24"/>
          <w:lang w:val="en-US"/>
        </w:rPr>
        <w:t xml:space="preserve"> turnover), </w:t>
      </w:r>
      <w:r w:rsidR="00DB6F4E" w:rsidRPr="008C28EB">
        <w:rPr>
          <w:rFonts w:ascii="Times New Roman" w:hAnsi="Times New Roman"/>
          <w:sz w:val="24"/>
          <w:szCs w:val="24"/>
          <w:lang w:val="en-US"/>
        </w:rPr>
        <w:t>M&amp;A deals</w:t>
      </w:r>
      <w:r w:rsidR="00BB330C" w:rsidRPr="008C28EB">
        <w:rPr>
          <w:rFonts w:ascii="Times New Roman" w:hAnsi="Times New Roman"/>
          <w:sz w:val="24"/>
          <w:szCs w:val="24"/>
          <w:lang w:val="en-US"/>
        </w:rPr>
        <w:t xml:space="preserve">, </w:t>
      </w:r>
      <w:r w:rsidR="001E5E24" w:rsidRPr="008C28EB">
        <w:rPr>
          <w:rFonts w:ascii="Times New Roman" w:hAnsi="Times New Roman"/>
          <w:sz w:val="24"/>
          <w:szCs w:val="24"/>
          <w:lang w:val="en-US"/>
        </w:rPr>
        <w:t>rating changes</w:t>
      </w:r>
      <w:r w:rsidR="00BB330C" w:rsidRPr="008C28EB">
        <w:rPr>
          <w:rFonts w:ascii="Times New Roman" w:hAnsi="Times New Roman"/>
          <w:sz w:val="24"/>
          <w:szCs w:val="24"/>
          <w:lang w:val="en-US"/>
        </w:rPr>
        <w:t>,</w:t>
      </w:r>
      <w:r w:rsidR="001E5E24" w:rsidRPr="008C28EB">
        <w:rPr>
          <w:rFonts w:ascii="Times New Roman" w:hAnsi="Times New Roman"/>
          <w:sz w:val="24"/>
          <w:szCs w:val="24"/>
          <w:lang w:val="en-US"/>
        </w:rPr>
        <w:t xml:space="preserve"> and</w:t>
      </w:r>
      <w:r w:rsidR="00DB6F4E" w:rsidRPr="008C28EB">
        <w:rPr>
          <w:rFonts w:ascii="Times New Roman" w:hAnsi="Times New Roman"/>
          <w:sz w:val="24"/>
          <w:szCs w:val="24"/>
          <w:lang w:val="en-US"/>
        </w:rPr>
        <w:t xml:space="preserve"> shares or bonds</w:t>
      </w:r>
      <w:r w:rsidR="001E5E24" w:rsidRPr="008C28EB">
        <w:rPr>
          <w:rFonts w:ascii="Times New Roman" w:hAnsi="Times New Roman"/>
          <w:sz w:val="24"/>
          <w:szCs w:val="24"/>
          <w:lang w:val="en-US"/>
        </w:rPr>
        <w:t xml:space="preserve"> issuance</w:t>
      </w:r>
      <w:r w:rsidR="00033FD9" w:rsidRPr="008C28EB">
        <w:rPr>
          <w:rFonts w:ascii="Times New Roman" w:hAnsi="Times New Roman"/>
          <w:sz w:val="24"/>
          <w:szCs w:val="24"/>
          <w:lang w:val="en-US"/>
        </w:rPr>
        <w:t>.</w:t>
      </w:r>
      <w:r w:rsidR="00395FB4" w:rsidRPr="008C28EB">
        <w:rPr>
          <w:rFonts w:ascii="Times New Roman" w:hAnsi="Times New Roman"/>
          <w:sz w:val="24"/>
          <w:szCs w:val="24"/>
          <w:lang w:val="en-US"/>
        </w:rPr>
        <w:t xml:space="preserve"> </w:t>
      </w:r>
      <w:r w:rsidRPr="008C28EB">
        <w:rPr>
          <w:rFonts w:ascii="Times New Roman" w:hAnsi="Times New Roman"/>
          <w:sz w:val="24"/>
          <w:szCs w:val="24"/>
          <w:lang w:val="en-US"/>
        </w:rPr>
        <w:t>As we can see from Models (3) and (4) of</w:t>
      </w:r>
      <w:r w:rsidR="00033FD9" w:rsidRPr="008C28EB">
        <w:rPr>
          <w:rFonts w:ascii="Times New Roman" w:hAnsi="Times New Roman"/>
          <w:sz w:val="24"/>
          <w:szCs w:val="24"/>
          <w:lang w:val="en-US"/>
        </w:rPr>
        <w:t xml:space="preserve"> Table 8, our main results </w:t>
      </w:r>
      <w:r w:rsidRPr="008C28EB">
        <w:rPr>
          <w:rFonts w:ascii="Times New Roman" w:hAnsi="Times New Roman"/>
          <w:sz w:val="24"/>
          <w:szCs w:val="24"/>
          <w:lang w:val="en-US"/>
        </w:rPr>
        <w:t xml:space="preserve">remain qualitatively unaltered, with the coefficient for our treatment variable </w:t>
      </w:r>
      <w:r w:rsidR="00395FB4" w:rsidRPr="008C28EB">
        <w:rPr>
          <w:rFonts w:ascii="Times New Roman" w:hAnsi="Times New Roman"/>
          <w:sz w:val="24"/>
          <w:szCs w:val="24"/>
          <w:lang w:val="en-US"/>
        </w:rPr>
        <w:t xml:space="preserve">being </w:t>
      </w:r>
      <w:r w:rsidRPr="008C28EB">
        <w:rPr>
          <w:rFonts w:ascii="Times New Roman" w:hAnsi="Times New Roman"/>
          <w:sz w:val="24"/>
          <w:szCs w:val="24"/>
          <w:lang w:val="en-US"/>
        </w:rPr>
        <w:t>negative and statistically significant at least at the 5% confidence level</w:t>
      </w:r>
      <w:r w:rsidR="007F7F58" w:rsidRPr="008C28EB">
        <w:rPr>
          <w:rStyle w:val="Rimandonotaapidipagina"/>
          <w:rFonts w:ascii="Times New Roman" w:hAnsi="Times New Roman"/>
          <w:sz w:val="24"/>
          <w:szCs w:val="24"/>
        </w:rPr>
        <w:footnoteReference w:id="8"/>
      </w:r>
      <w:r w:rsidRPr="008C28EB">
        <w:rPr>
          <w:rFonts w:ascii="Times New Roman" w:hAnsi="Times New Roman"/>
          <w:sz w:val="24"/>
          <w:szCs w:val="24"/>
          <w:lang w:val="en-US"/>
        </w:rPr>
        <w:t>.</w:t>
      </w:r>
    </w:p>
    <w:p w14:paraId="3EA60884" w14:textId="77777777" w:rsidR="00033FD9" w:rsidRPr="008C28EB" w:rsidRDefault="00033FD9" w:rsidP="00C25996">
      <w:pPr>
        <w:spacing w:after="120" w:line="480" w:lineRule="auto"/>
        <w:rPr>
          <w:rFonts w:ascii="Times New Roman" w:hAnsi="Times New Roman"/>
          <w:b/>
          <w:sz w:val="24"/>
          <w:szCs w:val="24"/>
          <w:lang w:val="en-US"/>
        </w:rPr>
      </w:pPr>
    </w:p>
    <w:p w14:paraId="02A18959" w14:textId="77777777" w:rsidR="009D228E" w:rsidRPr="008C28EB" w:rsidRDefault="00A9659C" w:rsidP="00C25996">
      <w:pPr>
        <w:spacing w:after="120" w:line="480" w:lineRule="auto"/>
        <w:rPr>
          <w:rFonts w:ascii="Times New Roman" w:hAnsi="Times New Roman"/>
          <w:b/>
          <w:sz w:val="24"/>
          <w:szCs w:val="24"/>
          <w:lang w:val="en-US"/>
        </w:rPr>
      </w:pPr>
      <w:r w:rsidRPr="008C28EB">
        <w:rPr>
          <w:rFonts w:ascii="Times New Roman" w:hAnsi="Times New Roman"/>
          <w:b/>
          <w:sz w:val="24"/>
          <w:szCs w:val="24"/>
          <w:lang w:val="en-US"/>
        </w:rPr>
        <w:t>7.</w:t>
      </w:r>
      <w:r w:rsidR="009D228E" w:rsidRPr="008C28EB">
        <w:rPr>
          <w:rFonts w:ascii="Times New Roman" w:hAnsi="Times New Roman"/>
          <w:b/>
          <w:sz w:val="24"/>
          <w:szCs w:val="24"/>
          <w:lang w:val="en-US"/>
        </w:rPr>
        <w:t>Conclusion</w:t>
      </w:r>
      <w:r w:rsidR="00591470" w:rsidRPr="008C28EB">
        <w:rPr>
          <w:rFonts w:ascii="Times New Roman" w:hAnsi="Times New Roman"/>
          <w:b/>
          <w:sz w:val="24"/>
          <w:szCs w:val="24"/>
          <w:lang w:val="en-US"/>
        </w:rPr>
        <w:t>s</w:t>
      </w:r>
    </w:p>
    <w:p w14:paraId="0A1EC333" w14:textId="5E1E1987" w:rsidR="00CF7D7A" w:rsidRPr="008C28EB" w:rsidRDefault="00CF7D7A" w:rsidP="00C25996">
      <w:pPr>
        <w:widowControl w:val="0"/>
        <w:autoSpaceDE w:val="0"/>
        <w:autoSpaceDN w:val="0"/>
        <w:adjustRightInd w:val="0"/>
        <w:spacing w:after="0" w:line="480" w:lineRule="auto"/>
        <w:jc w:val="both"/>
        <w:rPr>
          <w:rFonts w:ascii="Times New Roman" w:hAnsi="Times New Roman"/>
          <w:sz w:val="24"/>
          <w:szCs w:val="24"/>
          <w:lang w:val="en-US"/>
        </w:rPr>
      </w:pPr>
      <w:r w:rsidRPr="008C28EB">
        <w:rPr>
          <w:rFonts w:ascii="Times New Roman" w:hAnsi="Times New Roman"/>
          <w:sz w:val="24"/>
          <w:szCs w:val="24"/>
          <w:lang w:val="en-US"/>
        </w:rPr>
        <w:t>In autumn 2012 the European Commission went through an epochal change in the European Banking supervisory system by creating a Single Supervisory Mechanism (SSM) led by the European Central Bank (ECB). Since November 4</w:t>
      </w:r>
      <w:r w:rsidR="00395FB4" w:rsidRPr="008C28EB">
        <w:rPr>
          <w:rFonts w:ascii="Times New Roman" w:hAnsi="Times New Roman"/>
          <w:sz w:val="24"/>
          <w:szCs w:val="24"/>
          <w:vertAlign w:val="superscript"/>
          <w:lang w:val="en-US"/>
        </w:rPr>
        <w:t>th</w:t>
      </w:r>
      <w:r w:rsidRPr="008C28EB">
        <w:rPr>
          <w:rFonts w:ascii="Times New Roman" w:hAnsi="Times New Roman"/>
          <w:sz w:val="24"/>
          <w:szCs w:val="24"/>
          <w:lang w:val="en-US"/>
        </w:rPr>
        <w:t xml:space="preserve"> 2014, the most significant banks in </w:t>
      </w:r>
      <w:r w:rsidRPr="008C28EB">
        <w:rPr>
          <w:rFonts w:ascii="Times New Roman" w:eastAsia="Times New Roman" w:hAnsi="Times New Roman"/>
          <w:sz w:val="24"/>
          <w:szCs w:val="24"/>
          <w:lang w:val="en-US"/>
        </w:rPr>
        <w:t>the Eurozone</w:t>
      </w:r>
      <w:r w:rsidR="00395FB4" w:rsidRPr="008C28EB">
        <w:rPr>
          <w:rFonts w:ascii="Times New Roman" w:eastAsia="Times New Roman" w:hAnsi="Times New Roman"/>
          <w:sz w:val="24"/>
          <w:szCs w:val="24"/>
          <w:lang w:val="en-US"/>
        </w:rPr>
        <w:t xml:space="preserve"> </w:t>
      </w:r>
      <w:r w:rsidR="00F67588" w:rsidRPr="008C28EB">
        <w:rPr>
          <w:rFonts w:ascii="Times New Roman" w:hAnsi="Times New Roman"/>
          <w:sz w:val="24"/>
          <w:szCs w:val="24"/>
          <w:lang w:val="en-US"/>
        </w:rPr>
        <w:t xml:space="preserve">have </w:t>
      </w:r>
      <w:r w:rsidRPr="008C28EB">
        <w:rPr>
          <w:rFonts w:ascii="Times New Roman" w:hAnsi="Times New Roman"/>
          <w:sz w:val="24"/>
          <w:szCs w:val="24"/>
          <w:lang w:val="en-US"/>
        </w:rPr>
        <w:t>fall</w:t>
      </w:r>
      <w:r w:rsidR="00F67588" w:rsidRPr="008C28EB">
        <w:rPr>
          <w:rFonts w:ascii="Times New Roman" w:hAnsi="Times New Roman"/>
          <w:sz w:val="24"/>
          <w:szCs w:val="24"/>
          <w:lang w:val="en-US"/>
        </w:rPr>
        <w:t>en</w:t>
      </w:r>
      <w:r w:rsidRPr="008C28EB">
        <w:rPr>
          <w:rFonts w:ascii="Times New Roman" w:hAnsi="Times New Roman"/>
          <w:sz w:val="24"/>
          <w:szCs w:val="24"/>
          <w:lang w:val="en-US"/>
        </w:rPr>
        <w:t xml:space="preserve"> under the direct supervision of the ECB, while National Supervisory Authorities (NSAs) maintain the direct supervision of the remaining banks. </w:t>
      </w:r>
    </w:p>
    <w:p w14:paraId="593320EB" w14:textId="77777777" w:rsidR="00CF7D7A" w:rsidRPr="008C28EB" w:rsidRDefault="00CF7D7A" w:rsidP="00C25996">
      <w:pPr>
        <w:widowControl w:val="0"/>
        <w:autoSpaceDE w:val="0"/>
        <w:autoSpaceDN w:val="0"/>
        <w:adjustRightInd w:val="0"/>
        <w:spacing w:after="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t xml:space="preserve">The preliminary step </w:t>
      </w:r>
      <w:r w:rsidR="00F67588" w:rsidRPr="008C28EB">
        <w:rPr>
          <w:rFonts w:ascii="Times New Roman" w:hAnsi="Times New Roman"/>
          <w:sz w:val="24"/>
          <w:szCs w:val="24"/>
          <w:lang w:val="en-US"/>
        </w:rPr>
        <w:t xml:space="preserve">to </w:t>
      </w:r>
      <w:r w:rsidRPr="008C28EB">
        <w:rPr>
          <w:rFonts w:ascii="Times New Roman" w:hAnsi="Times New Roman"/>
          <w:sz w:val="24"/>
          <w:szCs w:val="24"/>
          <w:lang w:val="en-US"/>
        </w:rPr>
        <w:t>the launch</w:t>
      </w:r>
      <w:r w:rsidR="00F67588" w:rsidRPr="008C28EB">
        <w:rPr>
          <w:rFonts w:ascii="Times New Roman" w:hAnsi="Times New Roman"/>
          <w:sz w:val="24"/>
          <w:szCs w:val="24"/>
          <w:lang w:val="en-US"/>
        </w:rPr>
        <w:t>ing</w:t>
      </w:r>
      <w:r w:rsidRPr="008C28EB">
        <w:rPr>
          <w:rFonts w:ascii="Times New Roman" w:hAnsi="Times New Roman"/>
          <w:sz w:val="24"/>
          <w:szCs w:val="24"/>
          <w:lang w:val="en-US"/>
        </w:rPr>
        <w:t xml:space="preserve"> of the SSM was a Comprehensive Assessment</w:t>
      </w:r>
      <w:r w:rsidR="00661A6A" w:rsidRPr="008C28EB">
        <w:rPr>
          <w:rFonts w:ascii="Times New Roman" w:hAnsi="Times New Roman"/>
          <w:sz w:val="24"/>
          <w:szCs w:val="24"/>
          <w:lang w:val="en-US"/>
        </w:rPr>
        <w:t xml:space="preserve"> </w:t>
      </w:r>
      <w:r w:rsidRPr="008C28EB">
        <w:rPr>
          <w:rFonts w:ascii="Times New Roman" w:hAnsi="Times New Roman"/>
          <w:sz w:val="24"/>
          <w:szCs w:val="24"/>
          <w:lang w:val="en-US"/>
        </w:rPr>
        <w:t xml:space="preserve">consisting of a supervisory risk assessment, an asset quality review, and a stress test for all the significant institutions under direct ECB supervision. This complex exercise aimed at increasing transparency on the condition of banks, </w:t>
      </w:r>
      <w:r w:rsidR="00F67588" w:rsidRPr="008C28EB">
        <w:rPr>
          <w:rFonts w:ascii="Times New Roman" w:hAnsi="Times New Roman"/>
          <w:sz w:val="24"/>
          <w:szCs w:val="24"/>
          <w:lang w:val="en-US"/>
        </w:rPr>
        <w:t xml:space="preserve">applying the necessary corrective actions to </w:t>
      </w:r>
      <w:r w:rsidRPr="008C28EB">
        <w:rPr>
          <w:rFonts w:ascii="Times New Roman" w:hAnsi="Times New Roman"/>
          <w:sz w:val="24"/>
          <w:szCs w:val="24"/>
          <w:lang w:val="en-US"/>
        </w:rPr>
        <w:t>their balance</w:t>
      </w:r>
      <w:r w:rsidR="00661A6A" w:rsidRPr="008C28EB">
        <w:rPr>
          <w:rFonts w:ascii="Times New Roman" w:hAnsi="Times New Roman"/>
          <w:sz w:val="24"/>
          <w:szCs w:val="24"/>
          <w:lang w:val="en-US"/>
        </w:rPr>
        <w:t xml:space="preserve"> </w:t>
      </w:r>
      <w:r w:rsidRPr="008C28EB">
        <w:rPr>
          <w:rFonts w:ascii="Times New Roman" w:hAnsi="Times New Roman"/>
          <w:sz w:val="24"/>
          <w:szCs w:val="24"/>
          <w:lang w:val="en-US"/>
        </w:rPr>
        <w:t xml:space="preserve">sheet, and building confidence among stakeholders. The </w:t>
      </w:r>
      <w:r w:rsidR="00F67588" w:rsidRPr="008C28EB">
        <w:rPr>
          <w:rFonts w:ascii="Times New Roman" w:hAnsi="Times New Roman"/>
          <w:sz w:val="24"/>
          <w:szCs w:val="24"/>
          <w:lang w:val="en-US"/>
        </w:rPr>
        <w:t xml:space="preserve">purpose </w:t>
      </w:r>
      <w:r w:rsidRPr="008C28EB">
        <w:rPr>
          <w:rFonts w:ascii="Times New Roman" w:hAnsi="Times New Roman"/>
          <w:sz w:val="24"/>
          <w:szCs w:val="24"/>
          <w:lang w:val="en-US"/>
        </w:rPr>
        <w:t xml:space="preserve">of this paper is to understand whether the CA reached its transparency and </w:t>
      </w:r>
      <w:r w:rsidR="00CC0C35" w:rsidRPr="008C28EB">
        <w:rPr>
          <w:rFonts w:ascii="Times New Roman" w:hAnsi="Times New Roman"/>
          <w:sz w:val="24"/>
          <w:szCs w:val="24"/>
          <w:lang w:val="en-US"/>
        </w:rPr>
        <w:t xml:space="preserve">confidence building objectives, contributing to both the literature on regulatory stress tests and </w:t>
      </w:r>
      <w:r w:rsidR="007B4FE4" w:rsidRPr="008C28EB">
        <w:rPr>
          <w:rFonts w:ascii="Times New Roman" w:hAnsi="Times New Roman"/>
          <w:sz w:val="24"/>
          <w:szCs w:val="24"/>
          <w:lang w:val="en-US"/>
        </w:rPr>
        <w:t>on the design of the supervisory architecture in Europe.</w:t>
      </w:r>
    </w:p>
    <w:p w14:paraId="1982BA58" w14:textId="798F35C3" w:rsidR="00CF7D7A" w:rsidRPr="008C28EB" w:rsidRDefault="00CF7D7A" w:rsidP="00C25996">
      <w:pPr>
        <w:widowControl w:val="0"/>
        <w:autoSpaceDE w:val="0"/>
        <w:autoSpaceDN w:val="0"/>
        <w:adjustRightInd w:val="0"/>
        <w:spacing w:after="0" w:line="480" w:lineRule="auto"/>
        <w:ind w:firstLine="709"/>
        <w:jc w:val="both"/>
        <w:rPr>
          <w:rFonts w:ascii="Times New Roman" w:hAnsi="Times New Roman"/>
          <w:sz w:val="24"/>
          <w:szCs w:val="24"/>
          <w:lang w:val="en-US"/>
        </w:rPr>
      </w:pPr>
      <w:r w:rsidRPr="008C28EB">
        <w:rPr>
          <w:rFonts w:ascii="Times New Roman" w:hAnsi="Times New Roman"/>
          <w:sz w:val="24"/>
          <w:szCs w:val="24"/>
          <w:lang w:val="en-US"/>
        </w:rPr>
        <w:lastRenderedPageBreak/>
        <w:t xml:space="preserve">The first step </w:t>
      </w:r>
      <w:r w:rsidR="0084308D" w:rsidRPr="008C28EB">
        <w:rPr>
          <w:rFonts w:ascii="Times New Roman" w:hAnsi="Times New Roman"/>
          <w:sz w:val="24"/>
          <w:szCs w:val="24"/>
          <w:lang w:val="en-US"/>
        </w:rPr>
        <w:t>of</w:t>
      </w:r>
      <w:r w:rsidRPr="008C28EB">
        <w:rPr>
          <w:rFonts w:ascii="Times New Roman" w:hAnsi="Times New Roman"/>
          <w:sz w:val="24"/>
          <w:szCs w:val="24"/>
          <w:lang w:val="en-US"/>
        </w:rPr>
        <w:t xml:space="preserve"> our empirical analysis focuse</w:t>
      </w:r>
      <w:r w:rsidR="00F05F94" w:rsidRPr="008C28EB">
        <w:rPr>
          <w:rFonts w:ascii="Times New Roman" w:hAnsi="Times New Roman"/>
          <w:sz w:val="24"/>
          <w:szCs w:val="24"/>
          <w:lang w:val="en-US"/>
        </w:rPr>
        <w:t>s</w:t>
      </w:r>
      <w:r w:rsidRPr="008C28EB">
        <w:rPr>
          <w:rFonts w:ascii="Times New Roman" w:hAnsi="Times New Roman"/>
          <w:sz w:val="24"/>
          <w:szCs w:val="24"/>
          <w:lang w:val="en-US"/>
        </w:rPr>
        <w:t xml:space="preserve"> on </w:t>
      </w:r>
      <w:r w:rsidR="00661A6A" w:rsidRPr="008C28EB">
        <w:rPr>
          <w:rFonts w:ascii="Times New Roman" w:hAnsi="Times New Roman"/>
          <w:sz w:val="24"/>
          <w:szCs w:val="24"/>
          <w:lang w:val="en-US"/>
        </w:rPr>
        <w:t xml:space="preserve">the </w:t>
      </w:r>
      <w:r w:rsidRPr="008C28EB">
        <w:rPr>
          <w:rFonts w:ascii="Times New Roman" w:hAnsi="Times New Roman"/>
          <w:sz w:val="24"/>
          <w:szCs w:val="24"/>
          <w:lang w:val="en-US"/>
        </w:rPr>
        <w:t xml:space="preserve">market reaction at the announcement of the CA and at the disclosure of results, examining the difference between banks </w:t>
      </w:r>
      <w:r w:rsidR="00F05F94" w:rsidRPr="008C28EB">
        <w:rPr>
          <w:rFonts w:ascii="Times New Roman" w:hAnsi="Times New Roman"/>
          <w:sz w:val="24"/>
          <w:szCs w:val="24"/>
          <w:lang w:val="en-US"/>
        </w:rPr>
        <w:t xml:space="preserve">that </w:t>
      </w:r>
      <w:r w:rsidRPr="008C28EB">
        <w:rPr>
          <w:rFonts w:ascii="Times New Roman" w:hAnsi="Times New Roman"/>
          <w:sz w:val="24"/>
          <w:szCs w:val="24"/>
          <w:lang w:val="en-US"/>
        </w:rPr>
        <w:t>register</w:t>
      </w:r>
      <w:r w:rsidR="00661A6A" w:rsidRPr="008C28EB">
        <w:rPr>
          <w:rFonts w:ascii="Times New Roman" w:hAnsi="Times New Roman"/>
          <w:sz w:val="24"/>
          <w:szCs w:val="24"/>
          <w:lang w:val="en-US"/>
        </w:rPr>
        <w:t xml:space="preserve"> </w:t>
      </w:r>
      <w:r w:rsidRPr="008C28EB">
        <w:rPr>
          <w:rFonts w:ascii="Times New Roman" w:hAnsi="Times New Roman"/>
          <w:sz w:val="24"/>
          <w:szCs w:val="24"/>
          <w:lang w:val="en-US"/>
        </w:rPr>
        <w:t xml:space="preserve">a capital shortfall </w:t>
      </w:r>
      <w:r w:rsidR="00991261" w:rsidRPr="008C28EB">
        <w:rPr>
          <w:rFonts w:ascii="Times New Roman" w:hAnsi="Times New Roman"/>
          <w:sz w:val="24"/>
          <w:szCs w:val="24"/>
          <w:lang w:val="en-US"/>
        </w:rPr>
        <w:t xml:space="preserve">and </w:t>
      </w:r>
      <w:r w:rsidR="00F05F94" w:rsidRPr="008C28EB">
        <w:rPr>
          <w:rFonts w:ascii="Times New Roman" w:hAnsi="Times New Roman"/>
          <w:sz w:val="24"/>
          <w:szCs w:val="24"/>
          <w:lang w:val="en-US"/>
        </w:rPr>
        <w:t xml:space="preserve">those that do </w:t>
      </w:r>
      <w:r w:rsidRPr="008C28EB">
        <w:rPr>
          <w:rFonts w:ascii="Times New Roman" w:hAnsi="Times New Roman"/>
          <w:sz w:val="24"/>
          <w:szCs w:val="24"/>
          <w:lang w:val="en-US"/>
        </w:rPr>
        <w:t xml:space="preserve">not. </w:t>
      </w:r>
      <w:r w:rsidR="0084308D" w:rsidRPr="008C28EB">
        <w:rPr>
          <w:rFonts w:ascii="Times New Roman" w:hAnsi="Times New Roman"/>
          <w:sz w:val="24"/>
          <w:szCs w:val="24"/>
          <w:lang w:val="en-US"/>
        </w:rPr>
        <w:t>Following the methodology applied by Morgan et al. (2014), w</w:t>
      </w:r>
      <w:r w:rsidRPr="008C28EB">
        <w:rPr>
          <w:rFonts w:ascii="Times New Roman" w:hAnsi="Times New Roman"/>
          <w:sz w:val="24"/>
          <w:szCs w:val="24"/>
          <w:lang w:val="en-US"/>
        </w:rPr>
        <w:t xml:space="preserve">e show </w:t>
      </w:r>
      <w:r w:rsidR="00116760" w:rsidRPr="008C28EB">
        <w:rPr>
          <w:rFonts w:ascii="Times New Roman" w:hAnsi="Times New Roman"/>
          <w:sz w:val="24"/>
          <w:szCs w:val="24"/>
          <w:lang w:val="en-US"/>
        </w:rPr>
        <w:t>that investors were already able to identify weak banks at the announcement of the procedure, but the CA exercise was able to produce new valuable information.</w:t>
      </w:r>
      <w:r w:rsidRPr="008C28EB">
        <w:rPr>
          <w:rFonts w:ascii="Times New Roman" w:hAnsi="Times New Roman"/>
          <w:sz w:val="24"/>
          <w:szCs w:val="24"/>
          <w:lang w:val="en-US"/>
        </w:rPr>
        <w:t xml:space="preserve"> This </w:t>
      </w:r>
      <w:r w:rsidR="0084308D" w:rsidRPr="008C28EB">
        <w:rPr>
          <w:rFonts w:ascii="Times New Roman" w:hAnsi="Times New Roman"/>
          <w:sz w:val="24"/>
          <w:szCs w:val="24"/>
          <w:lang w:val="en-US"/>
        </w:rPr>
        <w:t>indicates</w:t>
      </w:r>
      <w:r w:rsidR="00661A6A" w:rsidRPr="008C28EB">
        <w:rPr>
          <w:rFonts w:ascii="Times New Roman" w:hAnsi="Times New Roman"/>
          <w:sz w:val="24"/>
          <w:szCs w:val="24"/>
          <w:lang w:val="en-US"/>
        </w:rPr>
        <w:t xml:space="preserve"> </w:t>
      </w:r>
      <w:r w:rsidR="0084308D" w:rsidRPr="008C28EB">
        <w:rPr>
          <w:rFonts w:ascii="Times New Roman" w:hAnsi="Times New Roman"/>
          <w:sz w:val="24"/>
          <w:szCs w:val="24"/>
          <w:lang w:val="en-US"/>
        </w:rPr>
        <w:t xml:space="preserve">that the CA was successful </w:t>
      </w:r>
      <w:r w:rsidR="00661A6A" w:rsidRPr="008C28EB">
        <w:rPr>
          <w:rFonts w:ascii="Times New Roman" w:hAnsi="Times New Roman"/>
          <w:sz w:val="24"/>
          <w:szCs w:val="24"/>
          <w:lang w:val="en-US"/>
        </w:rPr>
        <w:t>with respect to the</w:t>
      </w:r>
      <w:r w:rsidR="0084308D" w:rsidRPr="008C28EB">
        <w:rPr>
          <w:rFonts w:ascii="Times New Roman" w:hAnsi="Times New Roman"/>
          <w:sz w:val="24"/>
          <w:szCs w:val="24"/>
          <w:lang w:val="en-US"/>
        </w:rPr>
        <w:t xml:space="preserve"> aim of increasing</w:t>
      </w:r>
      <w:r w:rsidR="00141A86" w:rsidRPr="008C28EB">
        <w:rPr>
          <w:rFonts w:ascii="Times New Roman" w:hAnsi="Times New Roman"/>
          <w:sz w:val="24"/>
          <w:szCs w:val="24"/>
          <w:lang w:val="en-US"/>
        </w:rPr>
        <w:t xml:space="preserve"> transparency</w:t>
      </w:r>
      <w:r w:rsidR="0084308D" w:rsidRPr="008C28EB">
        <w:rPr>
          <w:rFonts w:ascii="Times New Roman" w:hAnsi="Times New Roman"/>
          <w:sz w:val="24"/>
          <w:szCs w:val="24"/>
          <w:lang w:val="en-US"/>
        </w:rPr>
        <w:t xml:space="preserve">, confirming </w:t>
      </w:r>
      <w:r w:rsidRPr="008C28EB">
        <w:rPr>
          <w:rFonts w:ascii="Times New Roman" w:hAnsi="Times New Roman"/>
          <w:sz w:val="24"/>
          <w:szCs w:val="24"/>
          <w:lang w:val="en-US"/>
        </w:rPr>
        <w:t xml:space="preserve">our first research hypothesis, </w:t>
      </w:r>
      <w:r w:rsidR="0084308D" w:rsidRPr="008C28EB">
        <w:rPr>
          <w:rFonts w:ascii="Times New Roman" w:hAnsi="Times New Roman"/>
          <w:sz w:val="24"/>
          <w:szCs w:val="24"/>
          <w:lang w:val="en-US"/>
        </w:rPr>
        <w:t>(</w:t>
      </w:r>
      <w:r w:rsidRPr="008C28EB">
        <w:rPr>
          <w:rFonts w:ascii="Times New Roman" w:hAnsi="Times New Roman"/>
          <w:sz w:val="24"/>
          <w:szCs w:val="24"/>
          <w:lang w:val="en-US"/>
        </w:rPr>
        <w:t>H</w:t>
      </w:r>
      <w:r w:rsidRPr="008C28EB">
        <w:rPr>
          <w:rFonts w:ascii="Times New Roman" w:hAnsi="Times New Roman"/>
          <w:sz w:val="24"/>
          <w:szCs w:val="24"/>
          <w:vertAlign w:val="subscript"/>
          <w:lang w:val="en-US"/>
        </w:rPr>
        <w:t>1</w:t>
      </w:r>
      <w:r w:rsidRPr="008C28EB">
        <w:rPr>
          <w:rFonts w:ascii="Times New Roman" w:hAnsi="Times New Roman"/>
          <w:sz w:val="24"/>
          <w:szCs w:val="24"/>
          <w:lang w:val="en-US"/>
        </w:rPr>
        <w:t>:</w:t>
      </w:r>
      <w:r w:rsidR="00675EB8" w:rsidRPr="008C28EB">
        <w:rPr>
          <w:rFonts w:ascii="Times New Roman" w:hAnsi="Times New Roman"/>
          <w:sz w:val="24"/>
          <w:szCs w:val="24"/>
          <w:lang w:val="en-US"/>
        </w:rPr>
        <w:t xml:space="preserve"> </w:t>
      </w:r>
      <w:r w:rsidRPr="008C28EB">
        <w:rPr>
          <w:rFonts w:ascii="Times New Roman" w:hAnsi="Times New Roman"/>
          <w:i/>
          <w:sz w:val="24"/>
          <w:szCs w:val="24"/>
          <w:lang w:val="en-US"/>
        </w:rPr>
        <w:t>At the announcement of the procedure</w:t>
      </w:r>
      <w:r w:rsidRPr="008C28EB">
        <w:rPr>
          <w:rFonts w:ascii="Times New Roman" w:hAnsi="Times New Roman"/>
          <w:sz w:val="24"/>
          <w:szCs w:val="24"/>
          <w:lang w:val="en-US"/>
        </w:rPr>
        <w:t xml:space="preserve">, </w:t>
      </w:r>
      <w:r w:rsidRPr="008C28EB">
        <w:rPr>
          <w:rFonts w:ascii="Times New Roman" w:hAnsi="Times New Roman"/>
          <w:i/>
          <w:sz w:val="24"/>
          <w:szCs w:val="24"/>
          <w:lang w:val="en-US"/>
        </w:rPr>
        <w:t>investors were not able to predict the magnitude of the capital shortfall revealed at the results date, i.e., the exercise produced valuable information f</w:t>
      </w:r>
      <w:r w:rsidR="00BB330C" w:rsidRPr="008C28EB">
        <w:rPr>
          <w:rFonts w:ascii="Times New Roman" w:hAnsi="Times New Roman"/>
          <w:i/>
          <w:sz w:val="24"/>
          <w:szCs w:val="24"/>
          <w:lang w:val="en-US"/>
        </w:rPr>
        <w:t>or</w:t>
      </w:r>
      <w:r w:rsidRPr="008C28EB">
        <w:rPr>
          <w:rFonts w:ascii="Times New Roman" w:hAnsi="Times New Roman"/>
          <w:i/>
          <w:sz w:val="24"/>
          <w:szCs w:val="24"/>
          <w:lang w:val="en-US"/>
        </w:rPr>
        <w:t xml:space="preserve"> the market and reached the goal of increase</w:t>
      </w:r>
      <w:r w:rsidR="00F05F94" w:rsidRPr="008C28EB">
        <w:rPr>
          <w:rFonts w:ascii="Times New Roman" w:hAnsi="Times New Roman"/>
          <w:i/>
          <w:sz w:val="24"/>
          <w:szCs w:val="24"/>
          <w:lang w:val="en-US"/>
        </w:rPr>
        <w:t>d</w:t>
      </w:r>
      <w:r w:rsidRPr="008C28EB">
        <w:rPr>
          <w:rFonts w:ascii="Times New Roman" w:hAnsi="Times New Roman"/>
          <w:i/>
          <w:sz w:val="24"/>
          <w:szCs w:val="24"/>
          <w:lang w:val="en-US"/>
        </w:rPr>
        <w:t xml:space="preserve"> transparency</w:t>
      </w:r>
      <w:r w:rsidR="0084308D" w:rsidRPr="008C28EB">
        <w:rPr>
          <w:rFonts w:ascii="Times New Roman" w:hAnsi="Times New Roman"/>
          <w:i/>
          <w:sz w:val="24"/>
          <w:szCs w:val="24"/>
          <w:lang w:val="en-US"/>
        </w:rPr>
        <w:t xml:space="preserve">). </w:t>
      </w:r>
      <w:r w:rsidR="0084308D" w:rsidRPr="008C28EB">
        <w:rPr>
          <w:rFonts w:ascii="Times New Roman" w:hAnsi="Times New Roman"/>
          <w:sz w:val="24"/>
          <w:szCs w:val="24"/>
          <w:lang w:val="en-US"/>
        </w:rPr>
        <w:t xml:space="preserve">Our results have important policy implications, since they confirm </w:t>
      </w:r>
      <w:r w:rsidR="00661A6A" w:rsidRPr="008C28EB">
        <w:rPr>
          <w:rFonts w:ascii="Times New Roman" w:hAnsi="Times New Roman"/>
          <w:sz w:val="24"/>
          <w:szCs w:val="24"/>
          <w:lang w:val="en-US"/>
        </w:rPr>
        <w:t xml:space="preserve">previous findings for the U.S also </w:t>
      </w:r>
      <w:r w:rsidR="0084308D" w:rsidRPr="008C28EB">
        <w:rPr>
          <w:rFonts w:ascii="Times New Roman" w:hAnsi="Times New Roman"/>
          <w:sz w:val="24"/>
          <w:szCs w:val="24"/>
          <w:lang w:val="en-US"/>
        </w:rPr>
        <w:t xml:space="preserve">for the Euro area. (Morgan et al., 2014). </w:t>
      </w:r>
      <w:r w:rsidR="002D0CE8" w:rsidRPr="008C28EB">
        <w:rPr>
          <w:rFonts w:ascii="Times New Roman" w:hAnsi="Times New Roman"/>
          <w:sz w:val="24"/>
          <w:szCs w:val="24"/>
          <w:lang w:val="en-US"/>
        </w:rPr>
        <w:t>Specifically</w:t>
      </w:r>
      <w:r w:rsidR="0084308D" w:rsidRPr="008C28EB">
        <w:rPr>
          <w:rFonts w:ascii="Times New Roman" w:hAnsi="Times New Roman"/>
          <w:sz w:val="24"/>
          <w:szCs w:val="24"/>
          <w:lang w:val="en-US"/>
        </w:rPr>
        <w:t xml:space="preserve">, we </w:t>
      </w:r>
      <w:r w:rsidR="002D0CE8" w:rsidRPr="008C28EB">
        <w:rPr>
          <w:rFonts w:ascii="Times New Roman" w:hAnsi="Times New Roman"/>
          <w:sz w:val="24"/>
          <w:szCs w:val="24"/>
          <w:lang w:val="en-US"/>
        </w:rPr>
        <w:t xml:space="preserve">show </w:t>
      </w:r>
      <w:r w:rsidR="0084308D" w:rsidRPr="008C28EB">
        <w:rPr>
          <w:rFonts w:ascii="Times New Roman" w:hAnsi="Times New Roman"/>
          <w:sz w:val="24"/>
          <w:szCs w:val="24"/>
          <w:lang w:val="en-US"/>
        </w:rPr>
        <w:t xml:space="preserve">that the implementation of regulatory stress tests and the disclosure of results were able to produce new </w:t>
      </w:r>
      <w:r w:rsidR="007B4FE4" w:rsidRPr="008C28EB">
        <w:rPr>
          <w:rFonts w:ascii="Times New Roman" w:hAnsi="Times New Roman"/>
          <w:sz w:val="24"/>
          <w:szCs w:val="24"/>
          <w:lang w:val="en-US"/>
        </w:rPr>
        <w:t xml:space="preserve">valuable </w:t>
      </w:r>
      <w:r w:rsidR="0084308D" w:rsidRPr="008C28EB">
        <w:rPr>
          <w:rFonts w:ascii="Times New Roman" w:hAnsi="Times New Roman"/>
          <w:sz w:val="24"/>
          <w:szCs w:val="24"/>
          <w:lang w:val="en-US"/>
        </w:rPr>
        <w:t xml:space="preserve">information for investors. </w:t>
      </w:r>
      <w:r w:rsidR="00661A6A" w:rsidRPr="008C28EB">
        <w:rPr>
          <w:rFonts w:ascii="Times New Roman" w:hAnsi="Times New Roman"/>
          <w:sz w:val="24"/>
          <w:szCs w:val="24"/>
          <w:lang w:val="en-US"/>
        </w:rPr>
        <w:t>I</w:t>
      </w:r>
      <w:r w:rsidR="0084308D" w:rsidRPr="008C28EB">
        <w:rPr>
          <w:rFonts w:ascii="Times New Roman" w:hAnsi="Times New Roman"/>
          <w:sz w:val="24"/>
          <w:szCs w:val="24"/>
          <w:lang w:val="en-US"/>
        </w:rPr>
        <w:t xml:space="preserve">n a period of severe crisis, </w:t>
      </w:r>
      <w:r w:rsidR="00661A6A" w:rsidRPr="008C28EB">
        <w:rPr>
          <w:rFonts w:ascii="Times New Roman" w:hAnsi="Times New Roman"/>
          <w:sz w:val="24"/>
          <w:szCs w:val="24"/>
          <w:lang w:val="en-US"/>
        </w:rPr>
        <w:t xml:space="preserve">this new information </w:t>
      </w:r>
      <w:r w:rsidR="007B4FE4" w:rsidRPr="008C28EB">
        <w:rPr>
          <w:rFonts w:ascii="Times New Roman" w:hAnsi="Times New Roman"/>
          <w:sz w:val="24"/>
          <w:szCs w:val="24"/>
          <w:lang w:val="en-US"/>
        </w:rPr>
        <w:t>is</w:t>
      </w:r>
      <w:r w:rsidR="0084308D" w:rsidRPr="008C28EB">
        <w:rPr>
          <w:rFonts w:ascii="Times New Roman" w:hAnsi="Times New Roman"/>
          <w:sz w:val="24"/>
          <w:szCs w:val="24"/>
          <w:lang w:val="en-US"/>
        </w:rPr>
        <w:t xml:space="preserve"> essential to reduce uncertainty and restore transactions among financial institutions (Bernanke, 2013). </w:t>
      </w:r>
    </w:p>
    <w:p w14:paraId="47338A80" w14:textId="2EE4468F" w:rsidR="00CF7D7A" w:rsidRPr="008C28EB" w:rsidRDefault="00CF7D7A" w:rsidP="00C25996">
      <w:pPr>
        <w:spacing w:after="120" w:line="480" w:lineRule="auto"/>
        <w:ind w:firstLine="737"/>
        <w:jc w:val="both"/>
        <w:rPr>
          <w:rFonts w:ascii="Times New Roman" w:hAnsi="Times New Roman"/>
          <w:i/>
          <w:sz w:val="24"/>
          <w:szCs w:val="24"/>
          <w:lang w:val="en-US"/>
        </w:rPr>
      </w:pPr>
      <w:r w:rsidRPr="008C28EB">
        <w:rPr>
          <w:rFonts w:ascii="Times New Roman" w:hAnsi="Times New Roman"/>
          <w:sz w:val="24"/>
          <w:szCs w:val="24"/>
          <w:lang w:val="en-US"/>
        </w:rPr>
        <w:t xml:space="preserve">The second step of our empirical analysis </w:t>
      </w:r>
      <w:r w:rsidR="00F05F94" w:rsidRPr="008C28EB">
        <w:rPr>
          <w:rFonts w:ascii="Times New Roman" w:hAnsi="Times New Roman"/>
          <w:sz w:val="24"/>
          <w:szCs w:val="24"/>
          <w:lang w:val="en-US"/>
        </w:rPr>
        <w:t>focuses</w:t>
      </w:r>
      <w:r w:rsidRPr="008C28EB">
        <w:rPr>
          <w:rFonts w:ascii="Times New Roman" w:hAnsi="Times New Roman"/>
          <w:sz w:val="24"/>
          <w:szCs w:val="24"/>
          <w:lang w:val="en-US"/>
        </w:rPr>
        <w:t xml:space="preserve"> on a treatment effect </w:t>
      </w:r>
      <w:r w:rsidR="0084308D" w:rsidRPr="008C28EB">
        <w:rPr>
          <w:rFonts w:ascii="Times New Roman" w:hAnsi="Times New Roman"/>
          <w:sz w:val="24"/>
          <w:szCs w:val="24"/>
          <w:lang w:val="en-US"/>
        </w:rPr>
        <w:t>model</w:t>
      </w:r>
      <w:r w:rsidRPr="008C28EB">
        <w:rPr>
          <w:rFonts w:ascii="Times New Roman" w:hAnsi="Times New Roman"/>
          <w:sz w:val="24"/>
          <w:szCs w:val="24"/>
          <w:lang w:val="en-US"/>
        </w:rPr>
        <w:t xml:space="preserve"> comparing banks subject to direct ECB supervision and a control sample of banks maintaining their national supervisors. Using a regression model including possible confounders and allowing for treatment effect heterogeneity, we find a negative treatment effect for banks subject to direct ECB supervision, </w:t>
      </w:r>
      <w:r w:rsidR="00F05F94" w:rsidRPr="008C28EB">
        <w:rPr>
          <w:rFonts w:ascii="Times New Roman" w:hAnsi="Times New Roman"/>
          <w:sz w:val="24"/>
          <w:szCs w:val="24"/>
          <w:lang w:val="en-US"/>
        </w:rPr>
        <w:t xml:space="preserve">which were </w:t>
      </w:r>
      <w:r w:rsidRPr="008C28EB">
        <w:rPr>
          <w:rFonts w:ascii="Times New Roman" w:hAnsi="Times New Roman"/>
          <w:sz w:val="24"/>
          <w:szCs w:val="24"/>
          <w:lang w:val="en-US"/>
        </w:rPr>
        <w:t xml:space="preserve">penalized both at the disclosure of CA results </w:t>
      </w:r>
      <w:r w:rsidR="00141A86" w:rsidRPr="008C28EB">
        <w:rPr>
          <w:rFonts w:ascii="Times New Roman" w:hAnsi="Times New Roman"/>
          <w:sz w:val="24"/>
          <w:szCs w:val="24"/>
          <w:lang w:val="en-US"/>
        </w:rPr>
        <w:t>(26</w:t>
      </w:r>
      <w:r w:rsidR="00661A6A" w:rsidRPr="008C28EB">
        <w:rPr>
          <w:rFonts w:ascii="Times New Roman" w:hAnsi="Times New Roman"/>
          <w:sz w:val="24"/>
          <w:szCs w:val="24"/>
          <w:vertAlign w:val="superscript"/>
          <w:lang w:val="en-US"/>
        </w:rPr>
        <w:t>th</w:t>
      </w:r>
      <w:r w:rsidR="00141A86" w:rsidRPr="008C28EB">
        <w:rPr>
          <w:rFonts w:ascii="Times New Roman" w:hAnsi="Times New Roman"/>
          <w:sz w:val="24"/>
          <w:szCs w:val="24"/>
          <w:lang w:val="en-US"/>
        </w:rPr>
        <w:t xml:space="preserve"> October 2014) </w:t>
      </w:r>
      <w:r w:rsidRPr="008C28EB">
        <w:rPr>
          <w:rFonts w:ascii="Times New Roman" w:hAnsi="Times New Roman"/>
          <w:sz w:val="24"/>
          <w:szCs w:val="24"/>
          <w:lang w:val="en-US"/>
        </w:rPr>
        <w:t>and at the official launch of the SSM</w:t>
      </w:r>
      <w:r w:rsidR="00141A86" w:rsidRPr="008C28EB">
        <w:rPr>
          <w:rFonts w:ascii="Times New Roman" w:hAnsi="Times New Roman"/>
          <w:sz w:val="24"/>
          <w:szCs w:val="24"/>
          <w:lang w:val="en-US"/>
        </w:rPr>
        <w:t xml:space="preserve"> (4</w:t>
      </w:r>
      <w:r w:rsidR="00617096" w:rsidRPr="00617096">
        <w:rPr>
          <w:rFonts w:ascii="Times New Roman" w:hAnsi="Times New Roman"/>
          <w:sz w:val="24"/>
          <w:szCs w:val="24"/>
          <w:vertAlign w:val="superscript"/>
          <w:lang w:val="en-US"/>
        </w:rPr>
        <w:t>th</w:t>
      </w:r>
      <w:r w:rsidR="00141A86" w:rsidRPr="008C28EB">
        <w:rPr>
          <w:rFonts w:ascii="Times New Roman" w:hAnsi="Times New Roman"/>
          <w:sz w:val="24"/>
          <w:szCs w:val="24"/>
          <w:lang w:val="en-US"/>
        </w:rPr>
        <w:t xml:space="preserve"> November 2014)</w:t>
      </w:r>
      <w:r w:rsidRPr="008C28EB">
        <w:rPr>
          <w:rFonts w:ascii="Times New Roman" w:hAnsi="Times New Roman"/>
          <w:sz w:val="24"/>
          <w:szCs w:val="24"/>
          <w:lang w:val="en-US"/>
        </w:rPr>
        <w:t xml:space="preserve">. Findings are in support of our second </w:t>
      </w:r>
      <w:r w:rsidRPr="008C28EB">
        <w:rPr>
          <w:rFonts w:ascii="Times New Roman" w:hAnsi="Times New Roman"/>
          <w:sz w:val="24"/>
          <w:szCs w:val="24"/>
          <w:lang w:val="en-US"/>
        </w:rPr>
        <w:lastRenderedPageBreak/>
        <w:t>hypothesis: H</w:t>
      </w:r>
      <w:r w:rsidRPr="008C28EB">
        <w:rPr>
          <w:rFonts w:ascii="Times New Roman" w:hAnsi="Times New Roman"/>
          <w:sz w:val="24"/>
          <w:szCs w:val="24"/>
          <w:vertAlign w:val="subscript"/>
          <w:lang w:val="en-US"/>
        </w:rPr>
        <w:t>2</w:t>
      </w:r>
      <w:r w:rsidRPr="008C28EB">
        <w:rPr>
          <w:rFonts w:ascii="Times New Roman" w:hAnsi="Times New Roman"/>
          <w:sz w:val="24"/>
          <w:szCs w:val="24"/>
          <w:lang w:val="en-US"/>
        </w:rPr>
        <w:t xml:space="preserve">: </w:t>
      </w:r>
      <w:r w:rsidRPr="008C28EB">
        <w:rPr>
          <w:rFonts w:ascii="Times New Roman" w:hAnsi="Times New Roman"/>
          <w:i/>
          <w:sz w:val="24"/>
          <w:szCs w:val="24"/>
          <w:lang w:val="en-US"/>
        </w:rPr>
        <w:t xml:space="preserve">When the SSM was launched, investors penalized banks subject to the direct ECB supervision with respect to banks maintaining national supervisors.     </w:t>
      </w:r>
    </w:p>
    <w:p w14:paraId="1F5523BF" w14:textId="0C6D950A" w:rsidR="008C6D0D" w:rsidRPr="008C28EB" w:rsidRDefault="00141A86" w:rsidP="008C6D0D">
      <w:pPr>
        <w:spacing w:after="120" w:line="480" w:lineRule="auto"/>
        <w:ind w:firstLine="737"/>
        <w:jc w:val="both"/>
        <w:rPr>
          <w:rFonts w:ascii="Times New Roman" w:hAnsi="Times New Roman"/>
          <w:sz w:val="24"/>
          <w:szCs w:val="24"/>
          <w:lang w:val="en-US"/>
        </w:rPr>
      </w:pPr>
      <w:r w:rsidRPr="008C28EB">
        <w:rPr>
          <w:rFonts w:ascii="Times New Roman" w:hAnsi="Times New Roman"/>
          <w:sz w:val="24"/>
          <w:szCs w:val="24"/>
          <w:lang w:val="en-US"/>
        </w:rPr>
        <w:t>T</w:t>
      </w:r>
      <w:r w:rsidR="008C6D0D" w:rsidRPr="008C28EB">
        <w:rPr>
          <w:rFonts w:ascii="Times New Roman" w:hAnsi="Times New Roman"/>
          <w:sz w:val="24"/>
          <w:szCs w:val="24"/>
          <w:lang w:val="en-US"/>
        </w:rPr>
        <w:t>his adverse effect may be due to various reasons: this is unlikely to be a dilution effect due to expected recapitalizations following the CA results, which had been already incorporated in stock prices at the time of the CA disclosure (26</w:t>
      </w:r>
      <w:r w:rsidR="00661A6A" w:rsidRPr="008C28EB">
        <w:rPr>
          <w:rFonts w:ascii="Times New Roman" w:hAnsi="Times New Roman"/>
          <w:sz w:val="24"/>
          <w:szCs w:val="24"/>
          <w:vertAlign w:val="superscript"/>
          <w:lang w:val="en-US"/>
        </w:rPr>
        <w:t>th</w:t>
      </w:r>
      <w:r w:rsidR="00661A6A" w:rsidRPr="008C28EB">
        <w:rPr>
          <w:rFonts w:ascii="Times New Roman" w:hAnsi="Times New Roman"/>
          <w:sz w:val="24"/>
          <w:szCs w:val="24"/>
          <w:lang w:val="en-US"/>
        </w:rPr>
        <w:t xml:space="preserve"> </w:t>
      </w:r>
      <w:r w:rsidR="008C6D0D" w:rsidRPr="008C28EB">
        <w:rPr>
          <w:rFonts w:ascii="Times New Roman" w:hAnsi="Times New Roman"/>
          <w:sz w:val="24"/>
          <w:szCs w:val="24"/>
          <w:lang w:val="en-US"/>
        </w:rPr>
        <w:t>October 2014). It is more likely the effect of the investors’ expectation for a different supervision of ban</w:t>
      </w:r>
      <w:r w:rsidRPr="008C28EB">
        <w:rPr>
          <w:rFonts w:ascii="Times New Roman" w:hAnsi="Times New Roman"/>
          <w:sz w:val="24"/>
          <w:szCs w:val="24"/>
          <w:lang w:val="en-US"/>
        </w:rPr>
        <w:t>ks under the ECB direct control with respect to banks remaining with their national supervisory authorities.</w:t>
      </w:r>
      <w:r w:rsidR="00661A6A" w:rsidRPr="008C28EB">
        <w:rPr>
          <w:rFonts w:ascii="Times New Roman" w:hAnsi="Times New Roman"/>
          <w:sz w:val="24"/>
          <w:szCs w:val="24"/>
          <w:lang w:val="en-US"/>
        </w:rPr>
        <w:t xml:space="preserve"> </w:t>
      </w:r>
      <w:r w:rsidRPr="008C28EB">
        <w:rPr>
          <w:rFonts w:ascii="Times New Roman" w:hAnsi="Times New Roman"/>
          <w:sz w:val="24"/>
          <w:szCs w:val="24"/>
          <w:lang w:val="en-US"/>
        </w:rPr>
        <w:t xml:space="preserve">More specifically, this suggests that investors expect a more intrusive approach by the ECB, or at least are worried about </w:t>
      </w:r>
      <w:r w:rsidR="007B4FE4" w:rsidRPr="008C28EB">
        <w:rPr>
          <w:rFonts w:ascii="Times New Roman" w:hAnsi="Times New Roman"/>
          <w:sz w:val="24"/>
          <w:szCs w:val="24"/>
          <w:lang w:val="en-US"/>
        </w:rPr>
        <w:t>a</w:t>
      </w:r>
      <w:r w:rsidR="00661A6A" w:rsidRPr="008C28EB">
        <w:rPr>
          <w:rFonts w:ascii="Times New Roman" w:hAnsi="Times New Roman"/>
          <w:sz w:val="24"/>
          <w:szCs w:val="24"/>
          <w:lang w:val="en-US"/>
        </w:rPr>
        <w:t xml:space="preserve"> </w:t>
      </w:r>
      <w:r w:rsidR="007B4FE4" w:rsidRPr="008C28EB">
        <w:rPr>
          <w:rFonts w:ascii="Times New Roman" w:hAnsi="Times New Roman"/>
          <w:sz w:val="24"/>
          <w:szCs w:val="24"/>
          <w:lang w:val="en-US"/>
        </w:rPr>
        <w:t xml:space="preserve">possibly </w:t>
      </w:r>
      <w:r w:rsidRPr="008C28EB">
        <w:rPr>
          <w:rFonts w:ascii="Times New Roman" w:hAnsi="Times New Roman"/>
          <w:sz w:val="24"/>
          <w:szCs w:val="24"/>
          <w:lang w:val="en-US"/>
        </w:rPr>
        <w:t>heterogeneous application of supervision rules for treated and control banks. For these reasons, a</w:t>
      </w:r>
      <w:r w:rsidR="008C6D0D" w:rsidRPr="008C28EB">
        <w:rPr>
          <w:rFonts w:ascii="Times New Roman" w:hAnsi="Times New Roman"/>
          <w:sz w:val="24"/>
          <w:szCs w:val="24"/>
          <w:lang w:val="en-US"/>
        </w:rPr>
        <w:t>t least in the short run, investors were not</w:t>
      </w:r>
      <w:r w:rsidR="007B4FE4" w:rsidRPr="008C28EB">
        <w:rPr>
          <w:rFonts w:ascii="Times New Roman" w:hAnsi="Times New Roman"/>
          <w:sz w:val="24"/>
          <w:szCs w:val="24"/>
          <w:lang w:val="en-US"/>
        </w:rPr>
        <w:t xml:space="preserve"> completely</w:t>
      </w:r>
      <w:r w:rsidR="008C6D0D" w:rsidRPr="008C28EB">
        <w:rPr>
          <w:rFonts w:ascii="Times New Roman" w:hAnsi="Times New Roman"/>
          <w:sz w:val="24"/>
          <w:szCs w:val="24"/>
          <w:lang w:val="en-US"/>
        </w:rPr>
        <w:t xml:space="preserve"> reassured by the CA and the launch of the SSM, so the </w:t>
      </w:r>
      <w:r w:rsidR="00C213DA" w:rsidRPr="008C28EB">
        <w:rPr>
          <w:rFonts w:ascii="Times New Roman" w:hAnsi="Times New Roman"/>
          <w:sz w:val="24"/>
          <w:szCs w:val="24"/>
          <w:lang w:val="en-US"/>
        </w:rPr>
        <w:t xml:space="preserve">CA </w:t>
      </w:r>
      <w:r w:rsidR="008C6D0D" w:rsidRPr="008C28EB">
        <w:rPr>
          <w:rFonts w:ascii="Times New Roman" w:hAnsi="Times New Roman"/>
          <w:sz w:val="24"/>
          <w:szCs w:val="24"/>
          <w:lang w:val="en-US"/>
        </w:rPr>
        <w:t xml:space="preserve">declared goal of </w:t>
      </w:r>
      <w:r w:rsidR="00C213DA" w:rsidRPr="008C28EB">
        <w:rPr>
          <w:rFonts w:ascii="Times New Roman" w:hAnsi="Times New Roman"/>
          <w:sz w:val="24"/>
          <w:szCs w:val="24"/>
          <w:lang w:val="en-US"/>
        </w:rPr>
        <w:t>“</w:t>
      </w:r>
      <w:r w:rsidR="008C6D0D" w:rsidRPr="008C28EB">
        <w:rPr>
          <w:rFonts w:ascii="Times New Roman" w:hAnsi="Times New Roman"/>
          <w:sz w:val="24"/>
          <w:szCs w:val="24"/>
          <w:lang w:val="en-US"/>
        </w:rPr>
        <w:t>building confidence</w:t>
      </w:r>
      <w:r w:rsidR="00C213DA" w:rsidRPr="008C28EB">
        <w:rPr>
          <w:rFonts w:ascii="Times New Roman" w:hAnsi="Times New Roman"/>
          <w:sz w:val="24"/>
          <w:szCs w:val="24"/>
          <w:lang w:val="en-US"/>
        </w:rPr>
        <w:t>”</w:t>
      </w:r>
      <w:r w:rsidR="008C6D0D" w:rsidRPr="008C28EB">
        <w:rPr>
          <w:rFonts w:ascii="Times New Roman" w:hAnsi="Times New Roman"/>
          <w:sz w:val="24"/>
          <w:szCs w:val="24"/>
          <w:lang w:val="en-US"/>
        </w:rPr>
        <w:t xml:space="preserve"> appears to have been limited by uncertainty about the future of supervision.</w:t>
      </w:r>
    </w:p>
    <w:p w14:paraId="62FB541B" w14:textId="77777777" w:rsidR="00675EB8" w:rsidRPr="008C28EB" w:rsidRDefault="00675EB8" w:rsidP="008C6D0D">
      <w:pPr>
        <w:spacing w:after="120" w:line="480" w:lineRule="auto"/>
        <w:ind w:firstLine="737"/>
        <w:jc w:val="both"/>
        <w:rPr>
          <w:rFonts w:ascii="Times New Roman" w:hAnsi="Times New Roman"/>
          <w:sz w:val="24"/>
          <w:szCs w:val="24"/>
          <w:lang w:val="en-US"/>
        </w:rPr>
      </w:pPr>
    </w:p>
    <w:p w14:paraId="204928A9" w14:textId="77777777" w:rsidR="00BC6EB2" w:rsidRPr="008C28EB" w:rsidRDefault="00BC6EB2" w:rsidP="00C25996">
      <w:pPr>
        <w:widowControl w:val="0"/>
        <w:autoSpaceDE w:val="0"/>
        <w:autoSpaceDN w:val="0"/>
        <w:adjustRightInd w:val="0"/>
        <w:spacing w:after="0" w:line="480" w:lineRule="auto"/>
        <w:rPr>
          <w:rFonts w:ascii="Times New Roman" w:hAnsi="Times New Roman"/>
          <w:b/>
          <w:sz w:val="24"/>
          <w:szCs w:val="24"/>
          <w:lang w:val="en-US"/>
        </w:rPr>
      </w:pPr>
      <w:r w:rsidRPr="008C28EB">
        <w:rPr>
          <w:rFonts w:ascii="Times New Roman" w:hAnsi="Times New Roman"/>
          <w:b/>
          <w:sz w:val="24"/>
          <w:szCs w:val="24"/>
          <w:lang w:val="en-US"/>
        </w:rPr>
        <w:t>Acknowledgments</w:t>
      </w:r>
    </w:p>
    <w:p w14:paraId="31A99FCE" w14:textId="77777777" w:rsidR="00BC6EB2" w:rsidRPr="008C28EB" w:rsidRDefault="00BC6EB2" w:rsidP="00C25996">
      <w:pPr>
        <w:widowControl w:val="0"/>
        <w:autoSpaceDE w:val="0"/>
        <w:autoSpaceDN w:val="0"/>
        <w:adjustRightInd w:val="0"/>
        <w:spacing w:after="0" w:line="480" w:lineRule="auto"/>
        <w:jc w:val="both"/>
        <w:rPr>
          <w:rFonts w:ascii="Times New Roman" w:hAnsi="Times New Roman"/>
          <w:sz w:val="24"/>
          <w:szCs w:val="24"/>
          <w:lang w:val="en-US"/>
        </w:rPr>
      </w:pPr>
      <w:r w:rsidRPr="008C28EB">
        <w:rPr>
          <w:rFonts w:ascii="Times New Roman" w:hAnsi="Times New Roman"/>
          <w:sz w:val="24"/>
          <w:szCs w:val="24"/>
          <w:lang w:val="en-US"/>
        </w:rPr>
        <w:t>We would like to thank Thorsten Beck, Emilia Bonaccorsi di Patti, Santiago Carbo, Federico Cecconi, Giovanni Cerulli, Roy Cerqueti, Vincenzo Chiorazzo, Giorgio Di Giorgio, Olivier de Jonghe, Mauro Grande, John Kose, Iftekhar Hasan, Marco Pagano, Bianca Potì, Klaus Schaeck, Enrico Sette, Gaetano Spartà, Amine Tarazi, Anjan Thakor, and conference and seminar participants at Financial Intermediation Network of European Studies, LAPE meeting, Banca d’Italia, CNR-GRAPE, Durham Business School, University of Rome Tor Vergata for helpful comments.</w:t>
      </w:r>
    </w:p>
    <w:p w14:paraId="4FFAD841" w14:textId="77777777" w:rsidR="007F6BC9" w:rsidRPr="008C28EB" w:rsidRDefault="007F6BC9" w:rsidP="00C25996">
      <w:pPr>
        <w:spacing w:after="0" w:line="480" w:lineRule="auto"/>
        <w:rPr>
          <w:rFonts w:ascii="Times New Roman" w:hAnsi="Times New Roman"/>
          <w:b/>
          <w:sz w:val="24"/>
          <w:szCs w:val="24"/>
          <w:lang w:val="en-US"/>
        </w:rPr>
      </w:pPr>
      <w:r w:rsidRPr="008C28EB">
        <w:rPr>
          <w:rFonts w:ascii="Times New Roman" w:hAnsi="Times New Roman"/>
          <w:b/>
          <w:sz w:val="24"/>
          <w:szCs w:val="24"/>
          <w:lang w:val="en-US"/>
        </w:rPr>
        <w:lastRenderedPageBreak/>
        <w:t>References</w:t>
      </w:r>
    </w:p>
    <w:p w14:paraId="65470BC7" w14:textId="77777777" w:rsidR="00063137" w:rsidRPr="008C28EB" w:rsidRDefault="00906B8E" w:rsidP="00C25996">
      <w:pPr>
        <w:spacing w:before="120" w:after="120" w:line="480" w:lineRule="auto"/>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Acharya V.</w:t>
      </w:r>
      <w:r w:rsidR="00063137" w:rsidRPr="008C28EB">
        <w:rPr>
          <w:rFonts w:ascii="Times New Roman" w:eastAsia="Times New Roman" w:hAnsi="Times New Roman"/>
          <w:sz w:val="24"/>
          <w:szCs w:val="24"/>
          <w:lang w:val="en-US"/>
        </w:rPr>
        <w:t xml:space="preserve">V., </w:t>
      </w:r>
      <w:r w:rsidRPr="008C28EB">
        <w:rPr>
          <w:rFonts w:ascii="Times New Roman" w:eastAsia="Times New Roman" w:hAnsi="Times New Roman"/>
          <w:sz w:val="24"/>
          <w:szCs w:val="24"/>
          <w:lang w:val="en-US"/>
        </w:rPr>
        <w:t>Engle R., Pierret D., 2014.</w:t>
      </w:r>
      <w:r w:rsidR="00063137" w:rsidRPr="008C28EB">
        <w:rPr>
          <w:rFonts w:ascii="Times New Roman" w:eastAsia="Times New Roman" w:hAnsi="Times New Roman"/>
          <w:sz w:val="24"/>
          <w:szCs w:val="24"/>
          <w:lang w:val="en-US"/>
        </w:rPr>
        <w:t xml:space="preserve"> Testing macroprudential stress tests: The risk of regulatory risk weights. Journal of Monetary Economics</w:t>
      </w:r>
      <w:r w:rsidRPr="008C28EB">
        <w:rPr>
          <w:rFonts w:ascii="Times New Roman" w:eastAsia="Times New Roman" w:hAnsi="Times New Roman"/>
          <w:sz w:val="24"/>
          <w:szCs w:val="24"/>
          <w:lang w:val="en-US"/>
        </w:rPr>
        <w:t xml:space="preserve"> 65, 6-</w:t>
      </w:r>
      <w:r w:rsidR="00063137" w:rsidRPr="008C28EB">
        <w:rPr>
          <w:rFonts w:ascii="Times New Roman" w:eastAsia="Times New Roman" w:hAnsi="Times New Roman"/>
          <w:sz w:val="24"/>
          <w:szCs w:val="24"/>
          <w:lang w:val="en-US"/>
        </w:rPr>
        <w:t>53.</w:t>
      </w:r>
    </w:p>
    <w:p w14:paraId="719BCD26" w14:textId="77777777" w:rsidR="00063137" w:rsidRPr="008C28EB" w:rsidRDefault="00906B8E" w:rsidP="00C25996">
      <w:pPr>
        <w:spacing w:before="120" w:after="120" w:line="480" w:lineRule="auto"/>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t>Acharya V.</w:t>
      </w:r>
      <w:r w:rsidR="00063137" w:rsidRPr="008C28EB">
        <w:rPr>
          <w:rFonts w:ascii="Times New Roman" w:eastAsia="Times New Roman" w:hAnsi="Times New Roman"/>
          <w:sz w:val="24"/>
          <w:szCs w:val="24"/>
          <w:lang w:val="en-US"/>
        </w:rPr>
        <w:t>V., Engle</w:t>
      </w:r>
      <w:r w:rsidRPr="008C28EB">
        <w:rPr>
          <w:rFonts w:ascii="Times New Roman" w:eastAsia="Times New Roman" w:hAnsi="Times New Roman"/>
          <w:sz w:val="24"/>
          <w:szCs w:val="24"/>
          <w:lang w:val="en-US"/>
        </w:rPr>
        <w:t xml:space="preserve"> R.</w:t>
      </w:r>
      <w:r w:rsidR="00063137" w:rsidRPr="008C28EB">
        <w:rPr>
          <w:rFonts w:ascii="Times New Roman" w:eastAsia="Times New Roman" w:hAnsi="Times New Roman"/>
          <w:sz w:val="24"/>
          <w:szCs w:val="24"/>
          <w:lang w:val="en-US"/>
        </w:rPr>
        <w:t>, Richardson</w:t>
      </w:r>
      <w:r w:rsidRPr="008C28EB">
        <w:rPr>
          <w:rFonts w:ascii="Times New Roman" w:eastAsia="Times New Roman" w:hAnsi="Times New Roman"/>
          <w:sz w:val="24"/>
          <w:szCs w:val="24"/>
          <w:lang w:val="en-US"/>
        </w:rPr>
        <w:t xml:space="preserve"> M., 2012.</w:t>
      </w:r>
      <w:r w:rsidR="00063137" w:rsidRPr="008C28EB">
        <w:rPr>
          <w:rFonts w:ascii="Times New Roman" w:eastAsia="Times New Roman" w:hAnsi="Times New Roman"/>
          <w:sz w:val="24"/>
          <w:szCs w:val="24"/>
          <w:lang w:val="en-US"/>
        </w:rPr>
        <w:t xml:space="preserve"> Capital shortfall: A new approach to rankin</w:t>
      </w:r>
      <w:r w:rsidRPr="008C28EB">
        <w:rPr>
          <w:rFonts w:ascii="Times New Roman" w:eastAsia="Times New Roman" w:hAnsi="Times New Roman"/>
          <w:sz w:val="24"/>
          <w:szCs w:val="24"/>
          <w:lang w:val="en-US"/>
        </w:rPr>
        <w:t>g and regulating systemic risks.</w:t>
      </w:r>
      <w:r w:rsidR="00063137" w:rsidRPr="008C28EB">
        <w:rPr>
          <w:rFonts w:ascii="Times New Roman" w:eastAsia="Times New Roman" w:hAnsi="Times New Roman"/>
          <w:sz w:val="24"/>
          <w:szCs w:val="24"/>
          <w:lang w:val="en-US"/>
        </w:rPr>
        <w:t xml:space="preserve"> American Economic Review Papers and Proceedings</w:t>
      </w:r>
      <w:r w:rsidRPr="008C28EB">
        <w:rPr>
          <w:rFonts w:ascii="Times New Roman" w:eastAsia="Times New Roman" w:hAnsi="Times New Roman"/>
          <w:sz w:val="24"/>
          <w:szCs w:val="24"/>
          <w:lang w:val="en-US"/>
        </w:rPr>
        <w:t xml:space="preserve"> 102, 59-</w:t>
      </w:r>
      <w:r w:rsidR="00063137" w:rsidRPr="008C28EB">
        <w:rPr>
          <w:rFonts w:ascii="Times New Roman" w:eastAsia="Times New Roman" w:hAnsi="Times New Roman"/>
          <w:sz w:val="24"/>
          <w:szCs w:val="24"/>
          <w:lang w:val="en-US"/>
        </w:rPr>
        <w:t>64.</w:t>
      </w:r>
    </w:p>
    <w:p w14:paraId="011A0E50" w14:textId="48373407" w:rsidR="00063137" w:rsidRPr="008C28EB" w:rsidRDefault="00906B8E" w:rsidP="00C25996">
      <w:pPr>
        <w:spacing w:before="120" w:after="120" w:line="480" w:lineRule="auto"/>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GB"/>
        </w:rPr>
        <w:t>Agarwal</w:t>
      </w:r>
      <w:r w:rsidR="00063137" w:rsidRPr="008C28EB">
        <w:rPr>
          <w:rFonts w:ascii="Times New Roman" w:eastAsia="Times New Roman" w:hAnsi="Times New Roman"/>
          <w:sz w:val="24"/>
          <w:szCs w:val="24"/>
          <w:lang w:val="en-GB"/>
        </w:rPr>
        <w:t xml:space="preserve"> S</w:t>
      </w:r>
      <w:r w:rsidRPr="008C28EB">
        <w:rPr>
          <w:rFonts w:ascii="Times New Roman" w:eastAsia="Times New Roman" w:hAnsi="Times New Roman"/>
          <w:sz w:val="24"/>
          <w:szCs w:val="24"/>
          <w:lang w:val="en-GB"/>
        </w:rPr>
        <w:t>.</w:t>
      </w:r>
      <w:r w:rsidR="00063137" w:rsidRPr="008C28EB">
        <w:rPr>
          <w:rFonts w:ascii="Times New Roman" w:eastAsia="Times New Roman" w:hAnsi="Times New Roman"/>
          <w:sz w:val="24"/>
          <w:szCs w:val="24"/>
          <w:lang w:val="en-GB"/>
        </w:rPr>
        <w:t>, Lucca</w:t>
      </w:r>
      <w:r w:rsidRPr="008C28EB">
        <w:rPr>
          <w:rFonts w:ascii="Times New Roman" w:eastAsia="Times New Roman" w:hAnsi="Times New Roman"/>
          <w:sz w:val="24"/>
          <w:szCs w:val="24"/>
          <w:lang w:val="en-GB"/>
        </w:rPr>
        <w:t xml:space="preserve"> D.</w:t>
      </w:r>
      <w:r w:rsidR="00063137" w:rsidRPr="008C28EB">
        <w:rPr>
          <w:rFonts w:ascii="Times New Roman" w:eastAsia="Times New Roman" w:hAnsi="Times New Roman"/>
          <w:sz w:val="24"/>
          <w:szCs w:val="24"/>
          <w:lang w:val="en-GB"/>
        </w:rPr>
        <w:t>, Seru</w:t>
      </w:r>
      <w:r w:rsidRPr="008C28EB">
        <w:rPr>
          <w:rFonts w:ascii="Times New Roman" w:eastAsia="Times New Roman" w:hAnsi="Times New Roman"/>
          <w:sz w:val="24"/>
          <w:szCs w:val="24"/>
          <w:lang w:val="en-GB"/>
        </w:rPr>
        <w:t xml:space="preserve"> A.</w:t>
      </w:r>
      <w:r w:rsidR="00063137" w:rsidRPr="008C28EB">
        <w:rPr>
          <w:rFonts w:ascii="Times New Roman" w:eastAsia="Times New Roman" w:hAnsi="Times New Roman"/>
          <w:sz w:val="24"/>
          <w:szCs w:val="24"/>
          <w:lang w:val="en-GB"/>
        </w:rPr>
        <w:t>, Trebbi</w:t>
      </w:r>
      <w:r w:rsidRPr="008C28EB">
        <w:rPr>
          <w:rFonts w:ascii="Times New Roman" w:eastAsia="Times New Roman" w:hAnsi="Times New Roman"/>
          <w:sz w:val="24"/>
          <w:szCs w:val="24"/>
          <w:lang w:val="en-GB"/>
        </w:rPr>
        <w:t xml:space="preserve"> F., 2014.</w:t>
      </w:r>
      <w:r w:rsidR="00063137" w:rsidRPr="008C28EB">
        <w:rPr>
          <w:rFonts w:ascii="Times New Roman" w:eastAsia="Times New Roman" w:hAnsi="Times New Roman"/>
          <w:sz w:val="24"/>
          <w:szCs w:val="24"/>
          <w:lang w:val="en-US"/>
        </w:rPr>
        <w:t>Inconsistent re</w:t>
      </w:r>
      <w:r w:rsidRPr="008C28EB">
        <w:rPr>
          <w:rFonts w:ascii="Times New Roman" w:eastAsia="Times New Roman" w:hAnsi="Times New Roman"/>
          <w:sz w:val="24"/>
          <w:szCs w:val="24"/>
          <w:lang w:val="en-US"/>
        </w:rPr>
        <w:t>gulators: Evidence from banking.</w:t>
      </w:r>
      <w:r w:rsidR="008C28EB" w:rsidRPr="008C28EB">
        <w:rPr>
          <w:rFonts w:ascii="Times New Roman" w:eastAsia="Times New Roman" w:hAnsi="Times New Roman"/>
          <w:sz w:val="24"/>
          <w:szCs w:val="24"/>
          <w:lang w:val="en-US"/>
        </w:rPr>
        <w:t xml:space="preserve"> </w:t>
      </w:r>
      <w:r w:rsidR="00063137" w:rsidRPr="008C28EB">
        <w:rPr>
          <w:rFonts w:ascii="Times New Roman" w:hAnsi="Times New Roman"/>
          <w:sz w:val="24"/>
          <w:szCs w:val="24"/>
          <w:lang w:val="en-US"/>
        </w:rPr>
        <w:t>The Quarterly Journal of Economics</w:t>
      </w:r>
      <w:r w:rsidRPr="008C28EB">
        <w:rPr>
          <w:rFonts w:ascii="Times New Roman" w:hAnsi="Times New Roman"/>
          <w:sz w:val="24"/>
          <w:szCs w:val="24"/>
          <w:lang w:val="en-US"/>
        </w:rPr>
        <w:t xml:space="preserve"> 129, 889-</w:t>
      </w:r>
      <w:r w:rsidR="00063137" w:rsidRPr="008C28EB">
        <w:rPr>
          <w:rFonts w:ascii="Times New Roman" w:hAnsi="Times New Roman"/>
          <w:sz w:val="24"/>
          <w:szCs w:val="24"/>
          <w:lang w:val="en-US"/>
        </w:rPr>
        <w:t>938.</w:t>
      </w:r>
    </w:p>
    <w:p w14:paraId="5FA3CEEE" w14:textId="77777777" w:rsidR="00063137" w:rsidRPr="008C28EB" w:rsidRDefault="00063137" w:rsidP="00C25996">
      <w:pPr>
        <w:autoSpaceDE w:val="0"/>
        <w:autoSpaceDN w:val="0"/>
        <w:adjustRightInd w:val="0"/>
        <w:spacing w:before="120" w:after="120" w:line="480" w:lineRule="auto"/>
        <w:jc w:val="both"/>
        <w:rPr>
          <w:rFonts w:ascii="Times New Roman" w:hAnsi="Times New Roman"/>
          <w:bCs/>
          <w:sz w:val="24"/>
          <w:szCs w:val="24"/>
          <w:lang w:val="en-US"/>
        </w:rPr>
      </w:pPr>
      <w:r w:rsidRPr="008C28EB">
        <w:rPr>
          <w:rFonts w:ascii="Times New Roman" w:hAnsi="Times New Roman"/>
          <w:bCs/>
          <w:sz w:val="24"/>
          <w:szCs w:val="24"/>
          <w:lang w:val="en-US"/>
        </w:rPr>
        <w:t>Bank of Italy, 2014. Financial Stability Report, no. 2/2014</w:t>
      </w:r>
      <w:r w:rsidR="00906B8E" w:rsidRPr="008C28EB">
        <w:rPr>
          <w:rFonts w:ascii="Times New Roman" w:hAnsi="Times New Roman"/>
          <w:bCs/>
          <w:sz w:val="24"/>
          <w:szCs w:val="24"/>
          <w:lang w:val="en-US"/>
        </w:rPr>
        <w:t>.</w:t>
      </w:r>
    </w:p>
    <w:p w14:paraId="2A465F53" w14:textId="77777777" w:rsidR="00063137" w:rsidRPr="008C28EB" w:rsidRDefault="00906B8E"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eastAsia="Times New Roman" w:hAnsi="Times New Roman"/>
          <w:sz w:val="24"/>
          <w:szCs w:val="24"/>
          <w:lang w:val="en-US"/>
        </w:rPr>
        <w:t>Barth</w:t>
      </w:r>
      <w:r w:rsidR="00063137" w:rsidRPr="008C28EB">
        <w:rPr>
          <w:rFonts w:ascii="Times New Roman" w:eastAsia="Times New Roman" w:hAnsi="Times New Roman"/>
          <w:sz w:val="24"/>
          <w:szCs w:val="24"/>
          <w:lang w:val="en-US"/>
        </w:rPr>
        <w:t xml:space="preserve"> J</w:t>
      </w:r>
      <w:r w:rsidRPr="008C28EB">
        <w:rPr>
          <w:rFonts w:ascii="Times New Roman" w:eastAsia="Times New Roman" w:hAnsi="Times New Roman"/>
          <w:sz w:val="24"/>
          <w:szCs w:val="24"/>
          <w:lang w:val="en-US"/>
        </w:rPr>
        <w:t>.</w:t>
      </w:r>
      <w:r w:rsidR="00063137" w:rsidRPr="008C28EB">
        <w:rPr>
          <w:rFonts w:ascii="Times New Roman" w:eastAsia="Times New Roman" w:hAnsi="Times New Roman"/>
          <w:sz w:val="24"/>
          <w:szCs w:val="24"/>
          <w:lang w:val="en-US"/>
        </w:rPr>
        <w:t>R., Caprio</w:t>
      </w:r>
      <w:r w:rsidRPr="008C28EB">
        <w:rPr>
          <w:rFonts w:ascii="Times New Roman" w:eastAsia="Times New Roman" w:hAnsi="Times New Roman"/>
          <w:sz w:val="24"/>
          <w:szCs w:val="24"/>
          <w:lang w:val="en-US"/>
        </w:rPr>
        <w:t xml:space="preserve"> G.</w:t>
      </w:r>
      <w:r w:rsidR="00063137" w:rsidRPr="008C28EB">
        <w:rPr>
          <w:rFonts w:ascii="Times New Roman" w:eastAsia="Times New Roman" w:hAnsi="Times New Roman"/>
          <w:sz w:val="24"/>
          <w:szCs w:val="24"/>
          <w:lang w:val="en-US"/>
        </w:rPr>
        <w:t xml:space="preserve"> Jr, Levine</w:t>
      </w:r>
      <w:r w:rsidRPr="008C28EB">
        <w:rPr>
          <w:rFonts w:ascii="Times New Roman" w:eastAsia="Times New Roman" w:hAnsi="Times New Roman"/>
          <w:sz w:val="24"/>
          <w:szCs w:val="24"/>
          <w:lang w:val="en-US"/>
        </w:rPr>
        <w:t xml:space="preserve"> R., 2013.</w:t>
      </w:r>
      <w:r w:rsidR="00063137" w:rsidRPr="008C28EB">
        <w:rPr>
          <w:rFonts w:ascii="Times New Roman" w:eastAsia="Times New Roman" w:hAnsi="Times New Roman"/>
          <w:bCs/>
          <w:sz w:val="24"/>
          <w:szCs w:val="24"/>
          <w:lang w:val="en-US"/>
        </w:rPr>
        <w:t>Bank regulation and supervision in 180 countries from 1999 to 2011</w:t>
      </w:r>
      <w:r w:rsidRPr="008C28EB">
        <w:rPr>
          <w:rFonts w:ascii="Times New Roman" w:eastAsia="Times New Roman" w:hAnsi="Times New Roman"/>
          <w:sz w:val="24"/>
          <w:szCs w:val="24"/>
          <w:lang w:val="en-US"/>
        </w:rPr>
        <w:t>.</w:t>
      </w:r>
      <w:r w:rsidR="00063137" w:rsidRPr="008C28EB">
        <w:rPr>
          <w:rFonts w:ascii="Times New Roman" w:eastAsia="Times New Roman" w:hAnsi="Times New Roman"/>
          <w:sz w:val="24"/>
          <w:szCs w:val="24"/>
          <w:lang w:val="en-US"/>
        </w:rPr>
        <w:t xml:space="preserve"> Journal of Financial Economic Policy5, 111-219</w:t>
      </w:r>
      <w:r w:rsidRPr="008C28EB">
        <w:rPr>
          <w:rFonts w:ascii="Times New Roman" w:eastAsia="Times New Roman" w:hAnsi="Times New Roman"/>
          <w:sz w:val="24"/>
          <w:szCs w:val="24"/>
          <w:lang w:val="en-US"/>
        </w:rPr>
        <w:t>.</w:t>
      </w:r>
    </w:p>
    <w:p w14:paraId="68C3B071" w14:textId="77777777" w:rsidR="00B6173A" w:rsidRPr="008C28EB" w:rsidRDefault="00B6173A" w:rsidP="00B6173A">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Bernanke B., 2013. Remarks at “Maintaining </w:t>
      </w:r>
      <w:r w:rsidR="00F02DB6" w:rsidRPr="008C28EB">
        <w:rPr>
          <w:rFonts w:ascii="Times New Roman" w:hAnsi="Times New Roman"/>
          <w:sz w:val="24"/>
          <w:szCs w:val="24"/>
          <w:lang w:val="en-US"/>
        </w:rPr>
        <w:t>Financial Stability: Holding a t</w:t>
      </w:r>
      <w:r w:rsidRPr="008C28EB">
        <w:rPr>
          <w:rFonts w:ascii="Times New Roman" w:hAnsi="Times New Roman"/>
          <w:sz w:val="24"/>
          <w:szCs w:val="24"/>
          <w:lang w:val="en-US"/>
        </w:rPr>
        <w:t>iger by</w:t>
      </w:r>
      <w:r w:rsidR="00F02DB6" w:rsidRPr="008C28EB">
        <w:rPr>
          <w:rFonts w:ascii="Times New Roman" w:hAnsi="Times New Roman"/>
          <w:sz w:val="24"/>
          <w:szCs w:val="24"/>
          <w:lang w:val="en-US"/>
        </w:rPr>
        <w:t xml:space="preserve"> the t</w:t>
      </w:r>
      <w:r w:rsidRPr="008C28EB">
        <w:rPr>
          <w:rFonts w:ascii="Times New Roman" w:hAnsi="Times New Roman"/>
          <w:sz w:val="24"/>
          <w:szCs w:val="24"/>
          <w:lang w:val="en-US"/>
        </w:rPr>
        <w:t>ail”, Federal Reserve Bank of Atlanta Stone Mountain, Georgia.</w:t>
      </w:r>
    </w:p>
    <w:p w14:paraId="3654CF38" w14:textId="77777777" w:rsidR="00755BF0" w:rsidRPr="008C28EB" w:rsidRDefault="00755BF0"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Black L., Correa R., Huang X., Zhou H., 2016. The systemic risk of European banks during the financial and sovereign debt crises. Journal of Banking &amp; Finance 63, 107-125.</w:t>
      </w:r>
    </w:p>
    <w:p w14:paraId="6E9E6DF5" w14:textId="77777777" w:rsidR="00063137" w:rsidRPr="008C28EB" w:rsidRDefault="00906B8E"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Boehmer </w:t>
      </w:r>
      <w:r w:rsidR="00063137" w:rsidRPr="008C28EB">
        <w:rPr>
          <w:rFonts w:ascii="Times New Roman" w:hAnsi="Times New Roman"/>
          <w:sz w:val="24"/>
          <w:szCs w:val="24"/>
          <w:lang w:val="en-US"/>
        </w:rPr>
        <w:t>E</w:t>
      </w:r>
      <w:r w:rsidRPr="008C28EB">
        <w:rPr>
          <w:rFonts w:ascii="Times New Roman" w:hAnsi="Times New Roman"/>
          <w:sz w:val="24"/>
          <w:szCs w:val="24"/>
          <w:lang w:val="en-US"/>
        </w:rPr>
        <w:t>.</w:t>
      </w:r>
      <w:r w:rsidR="00063137" w:rsidRPr="008C28EB">
        <w:rPr>
          <w:rFonts w:ascii="Times New Roman" w:hAnsi="Times New Roman"/>
          <w:sz w:val="24"/>
          <w:szCs w:val="24"/>
          <w:lang w:val="en-US"/>
        </w:rPr>
        <w:t>, Musumeci</w:t>
      </w:r>
      <w:r w:rsidRPr="008C28EB">
        <w:rPr>
          <w:rFonts w:ascii="Times New Roman" w:hAnsi="Times New Roman"/>
          <w:sz w:val="24"/>
          <w:szCs w:val="24"/>
          <w:lang w:val="en-US"/>
        </w:rPr>
        <w:t xml:space="preserve"> J.</w:t>
      </w:r>
      <w:r w:rsidR="00063137" w:rsidRPr="008C28EB">
        <w:rPr>
          <w:rFonts w:ascii="Times New Roman" w:hAnsi="Times New Roman"/>
          <w:sz w:val="24"/>
          <w:szCs w:val="24"/>
          <w:lang w:val="en-US"/>
        </w:rPr>
        <w:t>, Poulsen</w:t>
      </w:r>
      <w:r w:rsidRPr="008C28EB">
        <w:rPr>
          <w:rFonts w:ascii="Times New Roman" w:hAnsi="Times New Roman"/>
          <w:sz w:val="24"/>
          <w:szCs w:val="24"/>
          <w:lang w:val="en-US"/>
        </w:rPr>
        <w:t xml:space="preserve"> A.B., 1991.</w:t>
      </w:r>
      <w:r w:rsidR="00063137" w:rsidRPr="008C28EB">
        <w:rPr>
          <w:rFonts w:ascii="Times New Roman" w:hAnsi="Times New Roman"/>
          <w:sz w:val="24"/>
          <w:szCs w:val="24"/>
          <w:lang w:val="en-US"/>
        </w:rPr>
        <w:t xml:space="preserve"> Event-study methodology under condi</w:t>
      </w:r>
      <w:r w:rsidRPr="008C28EB">
        <w:rPr>
          <w:rFonts w:ascii="Times New Roman" w:hAnsi="Times New Roman"/>
          <w:sz w:val="24"/>
          <w:szCs w:val="24"/>
          <w:lang w:val="en-US"/>
        </w:rPr>
        <w:t>tions of event-induced variance.</w:t>
      </w:r>
      <w:r w:rsidR="00063137" w:rsidRPr="008C28EB">
        <w:rPr>
          <w:rFonts w:ascii="Times New Roman" w:hAnsi="Times New Roman"/>
          <w:sz w:val="24"/>
          <w:szCs w:val="24"/>
          <w:lang w:val="en-US"/>
        </w:rPr>
        <w:t xml:space="preserve"> Journal of Financial Economics 30, 253-272.</w:t>
      </w:r>
    </w:p>
    <w:p w14:paraId="4EED4F4E" w14:textId="77777777" w:rsidR="001D21C0" w:rsidRPr="008C28EB" w:rsidRDefault="001D21C0" w:rsidP="001D21C0">
      <w:pPr>
        <w:autoSpaceDE w:val="0"/>
        <w:autoSpaceDN w:val="0"/>
        <w:adjustRightInd w:val="0"/>
        <w:spacing w:before="120" w:after="120" w:line="480" w:lineRule="auto"/>
        <w:contextualSpacing/>
        <w:jc w:val="both"/>
        <w:rPr>
          <w:rFonts w:ascii="Times New Roman" w:hAnsi="Times New Roman"/>
          <w:bCs/>
          <w:sz w:val="24"/>
          <w:szCs w:val="24"/>
          <w:lang w:val="en-US"/>
        </w:rPr>
      </w:pPr>
      <w:r w:rsidRPr="008C28EB">
        <w:rPr>
          <w:rFonts w:ascii="Times New Roman" w:hAnsi="Times New Roman"/>
          <w:bCs/>
          <w:sz w:val="24"/>
          <w:szCs w:val="24"/>
          <w:lang w:val="en-US"/>
        </w:rPr>
        <w:t xml:space="preserve">Candelon B., Sy A.N.R., 2015. How </w:t>
      </w:r>
      <w:r w:rsidR="00F02DB6" w:rsidRPr="008C28EB">
        <w:rPr>
          <w:rFonts w:ascii="Times New Roman" w:hAnsi="Times New Roman"/>
          <w:bCs/>
          <w:sz w:val="24"/>
          <w:szCs w:val="24"/>
          <w:lang w:val="en-US"/>
        </w:rPr>
        <w:t>did markets react to stress tests</w:t>
      </w:r>
      <w:r w:rsidRPr="008C28EB">
        <w:rPr>
          <w:rFonts w:ascii="Times New Roman" w:hAnsi="Times New Roman"/>
          <w:bCs/>
          <w:sz w:val="24"/>
          <w:szCs w:val="24"/>
          <w:lang w:val="en-US"/>
        </w:rPr>
        <w:t>? IMF Working Paper 15/75.</w:t>
      </w:r>
    </w:p>
    <w:p w14:paraId="0108548F" w14:textId="77777777" w:rsidR="00921846" w:rsidRPr="008C28EB" w:rsidRDefault="00921846" w:rsidP="00921846">
      <w:pPr>
        <w:autoSpaceDE w:val="0"/>
        <w:autoSpaceDN w:val="0"/>
        <w:adjustRightInd w:val="0"/>
        <w:spacing w:before="120" w:after="120" w:line="480" w:lineRule="auto"/>
        <w:contextualSpacing/>
        <w:jc w:val="both"/>
        <w:rPr>
          <w:rFonts w:ascii="Times New Roman" w:hAnsi="Times New Roman"/>
          <w:bCs/>
          <w:sz w:val="24"/>
          <w:szCs w:val="24"/>
          <w:lang w:val="en-US"/>
        </w:rPr>
      </w:pPr>
      <w:r w:rsidRPr="008C28EB">
        <w:rPr>
          <w:rFonts w:ascii="Times New Roman" w:hAnsi="Times New Roman"/>
          <w:bCs/>
          <w:sz w:val="24"/>
          <w:szCs w:val="24"/>
          <w:lang w:val="en-GB"/>
        </w:rPr>
        <w:lastRenderedPageBreak/>
        <w:t xml:space="preserve">Carretta A., Farina V., Fiordelisi F., Schwizer P., Stentella Lopes F.S., 2015. </w:t>
      </w:r>
      <w:r w:rsidRPr="008C28EB">
        <w:rPr>
          <w:rFonts w:ascii="Times New Roman" w:hAnsi="Times New Roman"/>
          <w:bCs/>
          <w:sz w:val="24"/>
          <w:szCs w:val="24"/>
          <w:lang w:val="en-US"/>
        </w:rPr>
        <w:t>Don’t stand so close to me: The role of supervisory style in banking stability. Journal of Banking &amp; Finance 52, 180-188.</w:t>
      </w:r>
    </w:p>
    <w:p w14:paraId="37A090AC" w14:textId="77777777" w:rsidR="00063137" w:rsidRPr="008C28EB" w:rsidRDefault="00906B8E" w:rsidP="00C25996">
      <w:pPr>
        <w:autoSpaceDE w:val="0"/>
        <w:autoSpaceDN w:val="0"/>
        <w:adjustRightInd w:val="0"/>
        <w:spacing w:before="120" w:after="120" w:line="480" w:lineRule="auto"/>
        <w:contextualSpacing/>
        <w:jc w:val="both"/>
        <w:rPr>
          <w:rFonts w:ascii="Times New Roman" w:hAnsi="Times New Roman"/>
          <w:sz w:val="24"/>
          <w:szCs w:val="24"/>
          <w:lang w:val="en-US"/>
        </w:rPr>
      </w:pPr>
      <w:r w:rsidRPr="008C28EB">
        <w:rPr>
          <w:rFonts w:ascii="Times New Roman" w:hAnsi="Times New Roman"/>
          <w:bCs/>
          <w:sz w:val="24"/>
          <w:szCs w:val="24"/>
          <w:lang w:val="en-US"/>
        </w:rPr>
        <w:t>Cerulli G., 2014.</w:t>
      </w:r>
      <w:r w:rsidR="00063137" w:rsidRPr="008C28EB">
        <w:rPr>
          <w:rFonts w:ascii="Times New Roman" w:hAnsi="Times New Roman"/>
          <w:bCs/>
          <w:sz w:val="24"/>
          <w:szCs w:val="24"/>
          <w:lang w:val="en-US"/>
        </w:rPr>
        <w:t xml:space="preserve"> ivtreatreg: A command for fitting binary treatment models with heterogeneous response to treatment and unobservable selection</w:t>
      </w:r>
      <w:r w:rsidRPr="008C28EB">
        <w:rPr>
          <w:rFonts w:ascii="Times New Roman" w:hAnsi="Times New Roman"/>
          <w:b/>
          <w:bCs/>
          <w:sz w:val="24"/>
          <w:szCs w:val="24"/>
          <w:lang w:val="en-US"/>
        </w:rPr>
        <w:t>.</w:t>
      </w:r>
      <w:r w:rsidR="00063137" w:rsidRPr="008C28EB">
        <w:rPr>
          <w:rFonts w:ascii="Times New Roman" w:hAnsi="Times New Roman"/>
          <w:sz w:val="24"/>
          <w:szCs w:val="24"/>
          <w:lang w:val="en-US"/>
        </w:rPr>
        <w:t xml:space="preserve">The Stata Journal </w:t>
      </w:r>
      <w:r w:rsidR="00063137" w:rsidRPr="008C28EB">
        <w:rPr>
          <w:rFonts w:ascii="Times New Roman" w:hAnsi="Times New Roman"/>
          <w:bCs/>
          <w:sz w:val="24"/>
          <w:szCs w:val="24"/>
          <w:lang w:val="en-US"/>
        </w:rPr>
        <w:t>14</w:t>
      </w:r>
      <w:r w:rsidRPr="008C28EB">
        <w:rPr>
          <w:rFonts w:ascii="Times New Roman" w:hAnsi="Times New Roman"/>
          <w:sz w:val="24"/>
          <w:szCs w:val="24"/>
          <w:lang w:val="en-US"/>
        </w:rPr>
        <w:t>, 453-</w:t>
      </w:r>
      <w:r w:rsidR="00063137" w:rsidRPr="008C28EB">
        <w:rPr>
          <w:rFonts w:ascii="Times New Roman" w:hAnsi="Times New Roman"/>
          <w:sz w:val="24"/>
          <w:szCs w:val="24"/>
          <w:lang w:val="en-US"/>
        </w:rPr>
        <w:t>480.</w:t>
      </w:r>
    </w:p>
    <w:p w14:paraId="25DADC19" w14:textId="77777777" w:rsidR="00063137" w:rsidRPr="008C28EB" w:rsidRDefault="00063137"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DeLong</w:t>
      </w:r>
      <w:r w:rsidR="00906B8E" w:rsidRPr="008C28EB">
        <w:rPr>
          <w:rFonts w:ascii="Times New Roman" w:hAnsi="Times New Roman"/>
          <w:sz w:val="24"/>
          <w:szCs w:val="24"/>
          <w:lang w:val="en-US"/>
        </w:rPr>
        <w:t xml:space="preserve"> G.</w:t>
      </w:r>
      <w:r w:rsidRPr="008C28EB">
        <w:rPr>
          <w:rFonts w:ascii="Times New Roman" w:hAnsi="Times New Roman"/>
          <w:sz w:val="24"/>
          <w:szCs w:val="24"/>
          <w:lang w:val="en-US"/>
        </w:rPr>
        <w:t>, DeYoung</w:t>
      </w:r>
      <w:r w:rsidR="00906B8E" w:rsidRPr="008C28EB">
        <w:rPr>
          <w:rFonts w:ascii="Times New Roman" w:hAnsi="Times New Roman"/>
          <w:sz w:val="24"/>
          <w:szCs w:val="24"/>
          <w:lang w:val="en-US"/>
        </w:rPr>
        <w:t xml:space="preserve"> R., 2007.</w:t>
      </w:r>
      <w:r w:rsidRPr="008C28EB">
        <w:rPr>
          <w:rFonts w:ascii="Times New Roman" w:hAnsi="Times New Roman"/>
          <w:sz w:val="24"/>
          <w:szCs w:val="24"/>
          <w:lang w:val="en-US"/>
        </w:rPr>
        <w:t xml:space="preserve"> Learning by observing: Information spillovers in the execution and valuation of commercial ban</w:t>
      </w:r>
      <w:r w:rsidR="00906B8E" w:rsidRPr="008C28EB">
        <w:rPr>
          <w:rFonts w:ascii="Times New Roman" w:hAnsi="Times New Roman"/>
          <w:sz w:val="24"/>
          <w:szCs w:val="24"/>
          <w:lang w:val="en-US"/>
        </w:rPr>
        <w:t>k M&amp;As.</w:t>
      </w:r>
      <w:r w:rsidRPr="008C28EB">
        <w:rPr>
          <w:rFonts w:ascii="Times New Roman" w:hAnsi="Times New Roman"/>
          <w:sz w:val="24"/>
          <w:szCs w:val="24"/>
          <w:lang w:val="en-US"/>
        </w:rPr>
        <w:t xml:space="preserve"> The Journal of Finance 62, 181-216.</w:t>
      </w:r>
    </w:p>
    <w:p w14:paraId="583A6034" w14:textId="77777777" w:rsidR="001D21C0" w:rsidRPr="008C28EB" w:rsidRDefault="001D21C0" w:rsidP="00C25996">
      <w:pPr>
        <w:pStyle w:val="PreformattatoHTML"/>
        <w:spacing w:before="120" w:after="120" w:line="480" w:lineRule="auto"/>
        <w:jc w:val="both"/>
        <w:rPr>
          <w:rFonts w:ascii="Times New Roman" w:hAnsi="Times New Roman" w:cs="Times New Roman"/>
          <w:sz w:val="24"/>
          <w:szCs w:val="24"/>
          <w:lang w:val="en-US"/>
        </w:rPr>
      </w:pPr>
      <w:r w:rsidRPr="008C28EB">
        <w:rPr>
          <w:rFonts w:ascii="Times New Roman" w:hAnsi="Times New Roman" w:cs="Times New Roman"/>
          <w:sz w:val="24"/>
          <w:szCs w:val="24"/>
          <w:lang w:val="en-US"/>
        </w:rPr>
        <w:t>Doumpos M., Gaganis C., Pasiouras F., 2015. Central bank independence, financial supervision structure and bank soundness: An empirical analysis around the crisis. Journal of Banking &amp; Finance 61, S69-S83.</w:t>
      </w:r>
    </w:p>
    <w:p w14:paraId="5289A2C6" w14:textId="77777777" w:rsidR="00063137" w:rsidRPr="008C28EB" w:rsidRDefault="00063137" w:rsidP="00C25996">
      <w:pPr>
        <w:pStyle w:val="PreformattatoHTML"/>
        <w:spacing w:before="120" w:after="120" w:line="480" w:lineRule="auto"/>
        <w:jc w:val="both"/>
        <w:rPr>
          <w:rFonts w:ascii="Times New Roman" w:hAnsi="Times New Roman" w:cs="Times New Roman"/>
          <w:sz w:val="24"/>
          <w:szCs w:val="24"/>
          <w:lang w:val="en-US"/>
        </w:rPr>
      </w:pPr>
      <w:r w:rsidRPr="008C28EB">
        <w:rPr>
          <w:rFonts w:ascii="Times New Roman" w:hAnsi="Times New Roman" w:cs="Times New Roman"/>
          <w:sz w:val="24"/>
          <w:szCs w:val="24"/>
          <w:lang w:val="en-US"/>
        </w:rPr>
        <w:t>European Central Bank (ECB), 2013. Note on the Comprehensive Assessment, October 2013.</w:t>
      </w:r>
    </w:p>
    <w:p w14:paraId="053677C0" w14:textId="77777777" w:rsidR="00063137" w:rsidRPr="008C28EB" w:rsidRDefault="00063137" w:rsidP="00C25996">
      <w:pPr>
        <w:autoSpaceDE w:val="0"/>
        <w:autoSpaceDN w:val="0"/>
        <w:adjustRightInd w:val="0"/>
        <w:spacing w:before="120" w:after="120" w:line="480" w:lineRule="auto"/>
        <w:jc w:val="both"/>
        <w:rPr>
          <w:rFonts w:ascii="Times New Roman" w:hAnsi="Times New Roman"/>
          <w:bCs/>
          <w:sz w:val="24"/>
          <w:szCs w:val="24"/>
          <w:lang w:val="en-US"/>
        </w:rPr>
      </w:pPr>
      <w:r w:rsidRPr="008C28EB">
        <w:rPr>
          <w:rFonts w:ascii="Times New Roman" w:hAnsi="Times New Roman"/>
          <w:sz w:val="24"/>
          <w:szCs w:val="24"/>
          <w:lang w:val="en-US"/>
        </w:rPr>
        <w:t xml:space="preserve">European Central Bank (ECB), 2014. </w:t>
      </w:r>
      <w:r w:rsidRPr="008C28EB">
        <w:rPr>
          <w:rFonts w:ascii="Times New Roman" w:hAnsi="Times New Roman"/>
          <w:bCs/>
          <w:sz w:val="24"/>
          <w:szCs w:val="24"/>
          <w:lang w:val="en-US"/>
        </w:rPr>
        <w:t>Aggregate report on the Comprehensive Assessment, November 2014.</w:t>
      </w:r>
    </w:p>
    <w:p w14:paraId="159CB0DB" w14:textId="77777777" w:rsidR="00755BF0" w:rsidRPr="008C28EB" w:rsidRDefault="00755BF0" w:rsidP="00755BF0">
      <w:pPr>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Flannery M., Hirtle B., Kovner A., 2015. Evaluating the information in the Federal Reserve stress tests. Federal Reserve Bank of New York Staff Reports, n. 744.</w:t>
      </w:r>
    </w:p>
    <w:p w14:paraId="37398C90" w14:textId="77777777" w:rsidR="00D63DB2" w:rsidRPr="008C28EB" w:rsidRDefault="00D63DB2" w:rsidP="00C25996">
      <w:pPr>
        <w:spacing w:before="120" w:after="120" w:line="480" w:lineRule="auto"/>
        <w:jc w:val="both"/>
        <w:rPr>
          <w:rFonts w:ascii="Times New Roman" w:hAnsi="Times New Roman"/>
          <w:sz w:val="24"/>
          <w:szCs w:val="24"/>
          <w:lang w:val="en-GB"/>
        </w:rPr>
      </w:pPr>
      <w:r w:rsidRPr="008C28EB">
        <w:rPr>
          <w:rFonts w:ascii="Times New Roman" w:hAnsi="Times New Roman"/>
          <w:sz w:val="24"/>
          <w:szCs w:val="24"/>
          <w:lang w:val="en-GB"/>
        </w:rPr>
        <w:t>Fiordelisi</w:t>
      </w:r>
      <w:r w:rsidR="00C940ED" w:rsidRPr="008C28EB">
        <w:rPr>
          <w:rFonts w:ascii="Times New Roman" w:hAnsi="Times New Roman"/>
          <w:sz w:val="24"/>
          <w:szCs w:val="24"/>
          <w:lang w:val="en-GB"/>
        </w:rPr>
        <w:t xml:space="preserve"> F.</w:t>
      </w:r>
      <w:r w:rsidRPr="008C28EB">
        <w:rPr>
          <w:rFonts w:ascii="Times New Roman" w:hAnsi="Times New Roman"/>
          <w:sz w:val="24"/>
          <w:szCs w:val="24"/>
          <w:lang w:val="en-GB"/>
        </w:rPr>
        <w:t>, Ricci</w:t>
      </w:r>
      <w:r w:rsidR="00C940ED" w:rsidRPr="008C28EB">
        <w:rPr>
          <w:rFonts w:ascii="Times New Roman" w:hAnsi="Times New Roman"/>
          <w:sz w:val="24"/>
          <w:szCs w:val="24"/>
          <w:lang w:val="en-GB"/>
        </w:rPr>
        <w:t xml:space="preserve"> O.</w:t>
      </w:r>
      <w:r w:rsidRPr="008C28EB">
        <w:rPr>
          <w:rFonts w:ascii="Times New Roman" w:hAnsi="Times New Roman"/>
          <w:sz w:val="24"/>
          <w:szCs w:val="24"/>
          <w:lang w:val="en-GB"/>
        </w:rPr>
        <w:t>, Stentella</w:t>
      </w:r>
      <w:r w:rsidR="00C940ED" w:rsidRPr="008C28EB">
        <w:rPr>
          <w:rFonts w:ascii="Times New Roman" w:hAnsi="Times New Roman"/>
          <w:sz w:val="24"/>
          <w:szCs w:val="24"/>
          <w:lang w:val="en-GB"/>
        </w:rPr>
        <w:t xml:space="preserve"> Lopes F.S. (forthcoming), The unintended consequences of the launch of the single supervisory mechanism in Europe. </w:t>
      </w:r>
      <w:r w:rsidRPr="008C28EB">
        <w:rPr>
          <w:rFonts w:ascii="Times New Roman" w:hAnsi="Times New Roman"/>
          <w:sz w:val="24"/>
          <w:szCs w:val="24"/>
          <w:lang w:val="en-GB"/>
        </w:rPr>
        <w:t>J</w:t>
      </w:r>
      <w:r w:rsidR="00C940ED" w:rsidRPr="008C28EB">
        <w:rPr>
          <w:rFonts w:ascii="Times New Roman" w:hAnsi="Times New Roman"/>
          <w:sz w:val="24"/>
          <w:szCs w:val="24"/>
          <w:lang w:val="en-GB"/>
        </w:rPr>
        <w:t xml:space="preserve">ournal of </w:t>
      </w:r>
      <w:r w:rsidRPr="008C28EB">
        <w:rPr>
          <w:rFonts w:ascii="Times New Roman" w:hAnsi="Times New Roman"/>
          <w:sz w:val="24"/>
          <w:szCs w:val="24"/>
          <w:lang w:val="en-GB"/>
        </w:rPr>
        <w:t>F</w:t>
      </w:r>
      <w:r w:rsidR="00C940ED" w:rsidRPr="008C28EB">
        <w:rPr>
          <w:rFonts w:ascii="Times New Roman" w:hAnsi="Times New Roman"/>
          <w:sz w:val="24"/>
          <w:szCs w:val="24"/>
          <w:lang w:val="en-GB"/>
        </w:rPr>
        <w:t xml:space="preserve">inancial and </w:t>
      </w:r>
      <w:r w:rsidRPr="008C28EB">
        <w:rPr>
          <w:rFonts w:ascii="Times New Roman" w:hAnsi="Times New Roman"/>
          <w:sz w:val="24"/>
          <w:szCs w:val="24"/>
          <w:lang w:val="en-GB"/>
        </w:rPr>
        <w:t>Q</w:t>
      </w:r>
      <w:r w:rsidR="00C940ED" w:rsidRPr="008C28EB">
        <w:rPr>
          <w:rFonts w:ascii="Times New Roman" w:hAnsi="Times New Roman"/>
          <w:sz w:val="24"/>
          <w:szCs w:val="24"/>
          <w:lang w:val="en-GB"/>
        </w:rPr>
        <w:t xml:space="preserve">uantative </w:t>
      </w:r>
      <w:r w:rsidRPr="008C28EB">
        <w:rPr>
          <w:rFonts w:ascii="Times New Roman" w:hAnsi="Times New Roman"/>
          <w:sz w:val="24"/>
          <w:szCs w:val="24"/>
          <w:lang w:val="en-GB"/>
        </w:rPr>
        <w:t>A</w:t>
      </w:r>
      <w:r w:rsidR="00C940ED" w:rsidRPr="008C28EB">
        <w:rPr>
          <w:rFonts w:ascii="Times New Roman" w:hAnsi="Times New Roman"/>
          <w:sz w:val="24"/>
          <w:szCs w:val="24"/>
          <w:lang w:val="en-GB"/>
        </w:rPr>
        <w:t>nalysis, in press.</w:t>
      </w:r>
    </w:p>
    <w:p w14:paraId="35D24356" w14:textId="5CEEED53" w:rsidR="00541394" w:rsidRPr="008C28EB" w:rsidRDefault="00541394" w:rsidP="00C25996">
      <w:pPr>
        <w:spacing w:before="120" w:after="120" w:line="480" w:lineRule="auto"/>
        <w:jc w:val="both"/>
        <w:rPr>
          <w:rFonts w:ascii="Times New Roman" w:hAnsi="Times New Roman"/>
          <w:sz w:val="24"/>
          <w:szCs w:val="24"/>
          <w:lang w:val="en-GB"/>
        </w:rPr>
      </w:pPr>
      <w:r w:rsidRPr="008C28EB">
        <w:rPr>
          <w:rFonts w:ascii="Times New Roman" w:hAnsi="Times New Roman"/>
          <w:sz w:val="24"/>
          <w:szCs w:val="24"/>
          <w:lang w:val="en-GB"/>
        </w:rPr>
        <w:lastRenderedPageBreak/>
        <w:t>Fiordelisi F., Ricci O, 2015.</w:t>
      </w:r>
      <w:r w:rsidR="008C28EB" w:rsidRPr="008C28EB">
        <w:rPr>
          <w:rFonts w:ascii="Times New Roman" w:hAnsi="Times New Roman"/>
          <w:sz w:val="24"/>
          <w:szCs w:val="24"/>
          <w:lang w:val="en-GB"/>
        </w:rPr>
        <w:t xml:space="preserve"> </w:t>
      </w:r>
      <w:r w:rsidRPr="008C28EB">
        <w:rPr>
          <w:rFonts w:ascii="Times New Roman" w:hAnsi="Times New Roman"/>
          <w:sz w:val="24"/>
          <w:szCs w:val="24"/>
          <w:lang w:val="en-GB"/>
        </w:rPr>
        <w:t>“Whatever it takes”: An Empirical Assessment of the Value of Policy Actions in Banking. Review of Finance, doi: 10.1093/rof/rfv053.</w:t>
      </w:r>
    </w:p>
    <w:p w14:paraId="5E6DF79B" w14:textId="77777777" w:rsidR="00063137" w:rsidRPr="008C28EB" w:rsidRDefault="00906B8E" w:rsidP="00C25996">
      <w:pPr>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GB"/>
        </w:rPr>
        <w:t xml:space="preserve">Girardone C., Hamill </w:t>
      </w:r>
      <w:r w:rsidR="00063137" w:rsidRPr="008C28EB">
        <w:rPr>
          <w:rFonts w:ascii="Times New Roman" w:hAnsi="Times New Roman"/>
          <w:sz w:val="24"/>
          <w:szCs w:val="24"/>
          <w:lang w:val="en-GB"/>
        </w:rPr>
        <w:t xml:space="preserve">P., </w:t>
      </w:r>
      <w:r w:rsidRPr="008C28EB">
        <w:rPr>
          <w:rFonts w:ascii="Times New Roman" w:hAnsi="Times New Roman"/>
          <w:sz w:val="24"/>
          <w:szCs w:val="24"/>
          <w:lang w:val="en-GB"/>
        </w:rPr>
        <w:t>Wilson, J.O.S., 2013.</w:t>
      </w:r>
      <w:r w:rsidR="00C07B38" w:rsidRPr="008C28EB">
        <w:rPr>
          <w:rFonts w:ascii="Times New Roman" w:hAnsi="Times New Roman"/>
          <w:sz w:val="24"/>
          <w:szCs w:val="24"/>
          <w:lang w:val="en-US"/>
        </w:rPr>
        <w:t>Contemporary issues in financial markets and i</w:t>
      </w:r>
      <w:r w:rsidR="00063137" w:rsidRPr="008C28EB">
        <w:rPr>
          <w:rFonts w:ascii="Times New Roman" w:hAnsi="Times New Roman"/>
          <w:sz w:val="24"/>
          <w:szCs w:val="24"/>
          <w:lang w:val="en-US"/>
        </w:rPr>
        <w:t xml:space="preserve">nstitutions. </w:t>
      </w:r>
      <w:r w:rsidR="00063137" w:rsidRPr="008C28EB">
        <w:rPr>
          <w:rFonts w:ascii="Times New Roman" w:hAnsi="Times New Roman"/>
          <w:iCs/>
          <w:sz w:val="24"/>
          <w:szCs w:val="24"/>
          <w:lang w:val="en-US"/>
        </w:rPr>
        <w:t>The European Journal of Finance</w:t>
      </w:r>
      <w:r w:rsidR="00063137" w:rsidRPr="008C28EB">
        <w:rPr>
          <w:rFonts w:ascii="Times New Roman" w:hAnsi="Times New Roman"/>
          <w:sz w:val="24"/>
          <w:szCs w:val="24"/>
          <w:lang w:val="en-US"/>
        </w:rPr>
        <w:t>19, 811-814</w:t>
      </w:r>
      <w:r w:rsidR="00C07B38" w:rsidRPr="008C28EB">
        <w:rPr>
          <w:rFonts w:ascii="Times New Roman" w:hAnsi="Times New Roman"/>
          <w:sz w:val="24"/>
          <w:szCs w:val="24"/>
          <w:lang w:val="en-US"/>
        </w:rPr>
        <w:t>.</w:t>
      </w:r>
    </w:p>
    <w:p w14:paraId="3BC0EC72" w14:textId="77777777" w:rsidR="00755BF0" w:rsidRPr="008C28EB" w:rsidRDefault="00755BF0"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Goldstein I., Leitner Y., 2015. Stress tests and information disclosure. Federal Reserve Bank of Philadelphia, Research Department working paper n. 15-10.</w:t>
      </w:r>
    </w:p>
    <w:p w14:paraId="733BA3E8" w14:textId="77777777" w:rsidR="00B6173A" w:rsidRPr="008C28EB" w:rsidRDefault="00B6173A"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Goldstein I., Sapra H., 2014. Should banks’ stress test results be disclosed? An analysis of the costs and benefits. Foundations and Trends in Finance 8, 1-54.</w:t>
      </w:r>
    </w:p>
    <w:p w14:paraId="520BFAF5" w14:textId="77777777" w:rsidR="00063137" w:rsidRPr="008C28EB" w:rsidRDefault="00C07B38"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Harrington</w:t>
      </w:r>
      <w:r w:rsidR="00063137" w:rsidRPr="008C28EB">
        <w:rPr>
          <w:rFonts w:ascii="Times New Roman" w:hAnsi="Times New Roman"/>
          <w:sz w:val="24"/>
          <w:szCs w:val="24"/>
          <w:lang w:val="en-US"/>
        </w:rPr>
        <w:t xml:space="preserve"> S</w:t>
      </w:r>
      <w:r w:rsidRPr="008C28EB">
        <w:rPr>
          <w:rFonts w:ascii="Times New Roman" w:hAnsi="Times New Roman"/>
          <w:sz w:val="24"/>
          <w:szCs w:val="24"/>
          <w:lang w:val="en-US"/>
        </w:rPr>
        <w:t>.</w:t>
      </w:r>
      <w:r w:rsidR="00063137" w:rsidRPr="008C28EB">
        <w:rPr>
          <w:rFonts w:ascii="Times New Roman" w:hAnsi="Times New Roman"/>
          <w:sz w:val="24"/>
          <w:szCs w:val="24"/>
          <w:lang w:val="en-US"/>
        </w:rPr>
        <w:t xml:space="preserve"> E., Shrider</w:t>
      </w:r>
      <w:r w:rsidRPr="008C28EB">
        <w:rPr>
          <w:rFonts w:ascii="Times New Roman" w:hAnsi="Times New Roman"/>
          <w:sz w:val="24"/>
          <w:szCs w:val="24"/>
          <w:lang w:val="en-US"/>
        </w:rPr>
        <w:t xml:space="preserve"> D.G., 2007.</w:t>
      </w:r>
      <w:r w:rsidR="00063137" w:rsidRPr="008C28EB">
        <w:rPr>
          <w:rFonts w:ascii="Times New Roman" w:hAnsi="Times New Roman"/>
          <w:sz w:val="24"/>
          <w:szCs w:val="24"/>
          <w:lang w:val="en-US"/>
        </w:rPr>
        <w:t xml:space="preserve"> All events induce variance: Analyzing abnormal returns</w:t>
      </w:r>
      <w:r w:rsidRPr="008C28EB">
        <w:rPr>
          <w:rFonts w:ascii="Times New Roman" w:hAnsi="Times New Roman"/>
          <w:sz w:val="24"/>
          <w:szCs w:val="24"/>
          <w:lang w:val="en-US"/>
        </w:rPr>
        <w:t xml:space="preserve"> when effects vary across firms.</w:t>
      </w:r>
      <w:r w:rsidR="00063137" w:rsidRPr="008C28EB">
        <w:rPr>
          <w:rFonts w:ascii="Times New Roman" w:hAnsi="Times New Roman"/>
          <w:sz w:val="24"/>
          <w:szCs w:val="24"/>
          <w:lang w:val="en-US"/>
        </w:rPr>
        <w:t xml:space="preserve"> Journal of Financial and Quantitative Analysis 42, 229-256.</w:t>
      </w:r>
    </w:p>
    <w:p w14:paraId="30A776A0" w14:textId="77777777" w:rsidR="00755BF0" w:rsidRPr="008C28EB" w:rsidRDefault="00755BF0" w:rsidP="00755BF0">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Hirtle B., Lehnert A., 2014. Supervisory stress tests. Federal Reserve Bank of New York Staff Reports 696/2014</w:t>
      </w:r>
      <w:r w:rsidR="00B6173A" w:rsidRPr="008C28EB">
        <w:rPr>
          <w:rFonts w:ascii="Times New Roman" w:hAnsi="Times New Roman"/>
          <w:sz w:val="24"/>
          <w:szCs w:val="24"/>
          <w:lang w:val="en-US"/>
        </w:rPr>
        <w:t>.</w:t>
      </w:r>
    </w:p>
    <w:p w14:paraId="237EA800" w14:textId="77777777" w:rsidR="00F02DB6" w:rsidRPr="008C28EB" w:rsidRDefault="00F02DB6" w:rsidP="00F02DB6">
      <w:pPr>
        <w:autoSpaceDE w:val="0"/>
        <w:autoSpaceDN w:val="0"/>
        <w:adjustRightInd w:val="0"/>
        <w:spacing w:before="120" w:after="120" w:line="480" w:lineRule="auto"/>
        <w:jc w:val="both"/>
        <w:rPr>
          <w:rFonts w:ascii="Times New Roman" w:hAnsi="Times New Roman"/>
          <w:sz w:val="24"/>
          <w:szCs w:val="24"/>
          <w:lang w:val="en-GB"/>
        </w:rPr>
      </w:pPr>
      <w:r w:rsidRPr="008C28EB">
        <w:rPr>
          <w:rFonts w:ascii="Times New Roman" w:hAnsi="Times New Roman"/>
          <w:sz w:val="24"/>
          <w:szCs w:val="24"/>
          <w:lang w:val="en-GB"/>
        </w:rPr>
        <w:t>Imbens G.W., Wooldridge J. M., 2009. Recent developments in the econometrics of program evaluation. Journal of Economic Literature 47, 5-86.</w:t>
      </w:r>
    </w:p>
    <w:p w14:paraId="4CFFD39A" w14:textId="77777777" w:rsidR="00063137" w:rsidRPr="008C28EB" w:rsidRDefault="00C07B38" w:rsidP="00755BF0">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GB"/>
        </w:rPr>
        <w:t>Kolari</w:t>
      </w:r>
      <w:r w:rsidR="00063137" w:rsidRPr="008C28EB">
        <w:rPr>
          <w:rFonts w:ascii="Times New Roman" w:hAnsi="Times New Roman"/>
          <w:sz w:val="24"/>
          <w:szCs w:val="24"/>
          <w:lang w:val="en-GB"/>
        </w:rPr>
        <w:t xml:space="preserve"> J</w:t>
      </w:r>
      <w:r w:rsidRPr="008C28EB">
        <w:rPr>
          <w:rFonts w:ascii="Times New Roman" w:hAnsi="Times New Roman"/>
          <w:sz w:val="24"/>
          <w:szCs w:val="24"/>
          <w:lang w:val="en-GB"/>
        </w:rPr>
        <w:t>.</w:t>
      </w:r>
      <w:r w:rsidR="00063137" w:rsidRPr="008C28EB">
        <w:rPr>
          <w:rFonts w:ascii="Times New Roman" w:hAnsi="Times New Roman"/>
          <w:sz w:val="24"/>
          <w:szCs w:val="24"/>
          <w:lang w:val="en-GB"/>
        </w:rPr>
        <w:t>W., Pynnönen</w:t>
      </w:r>
      <w:r w:rsidRPr="008C28EB">
        <w:rPr>
          <w:rFonts w:ascii="Times New Roman" w:hAnsi="Times New Roman"/>
          <w:sz w:val="24"/>
          <w:szCs w:val="24"/>
          <w:lang w:val="en-GB"/>
        </w:rPr>
        <w:t xml:space="preserve"> S., 2010.</w:t>
      </w:r>
      <w:r w:rsidR="00063137" w:rsidRPr="008C28EB">
        <w:rPr>
          <w:rFonts w:ascii="Times New Roman" w:hAnsi="Times New Roman"/>
          <w:sz w:val="24"/>
          <w:szCs w:val="24"/>
          <w:lang w:val="en-US"/>
        </w:rPr>
        <w:t xml:space="preserve">Event study testing with cross-sectional correlation of abnormal </w:t>
      </w:r>
      <w:r w:rsidRPr="008C28EB">
        <w:rPr>
          <w:rFonts w:ascii="Times New Roman" w:hAnsi="Times New Roman"/>
          <w:sz w:val="24"/>
          <w:szCs w:val="24"/>
          <w:lang w:val="en-US"/>
        </w:rPr>
        <w:t>returns.</w:t>
      </w:r>
      <w:r w:rsidR="00063137" w:rsidRPr="008C28EB">
        <w:rPr>
          <w:rFonts w:ascii="Times New Roman" w:hAnsi="Times New Roman"/>
          <w:sz w:val="24"/>
          <w:szCs w:val="24"/>
          <w:lang w:val="en-US"/>
        </w:rPr>
        <w:t xml:space="preserve"> Review of Financial Studies 23, 3996-4025.</w:t>
      </w:r>
    </w:p>
    <w:p w14:paraId="0D659F5A" w14:textId="77777777" w:rsidR="00063137" w:rsidRPr="008C28EB" w:rsidRDefault="00C07B38" w:rsidP="00C25996">
      <w:pPr>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MacKinlay</w:t>
      </w:r>
      <w:r w:rsidR="00063137" w:rsidRPr="008C28EB">
        <w:rPr>
          <w:rFonts w:ascii="Times New Roman" w:hAnsi="Times New Roman"/>
          <w:sz w:val="24"/>
          <w:szCs w:val="24"/>
          <w:lang w:val="en-US"/>
        </w:rPr>
        <w:t xml:space="preserve"> A. C</w:t>
      </w:r>
      <w:r w:rsidRPr="008C28EB">
        <w:rPr>
          <w:rFonts w:ascii="Times New Roman" w:hAnsi="Times New Roman"/>
          <w:sz w:val="24"/>
          <w:szCs w:val="24"/>
          <w:lang w:val="en-US"/>
        </w:rPr>
        <w:t>., 1997.</w:t>
      </w:r>
      <w:r w:rsidR="00063137" w:rsidRPr="008C28EB">
        <w:rPr>
          <w:rFonts w:ascii="Times New Roman" w:hAnsi="Times New Roman"/>
          <w:sz w:val="24"/>
          <w:szCs w:val="24"/>
          <w:lang w:val="en-US"/>
        </w:rPr>
        <w:t xml:space="preserve"> Event studies in economics and</w:t>
      </w:r>
      <w:r w:rsidRPr="008C28EB">
        <w:rPr>
          <w:rFonts w:ascii="Times New Roman" w:hAnsi="Times New Roman"/>
          <w:sz w:val="24"/>
          <w:szCs w:val="24"/>
          <w:lang w:val="en-US"/>
        </w:rPr>
        <w:t xml:space="preserve"> finance.</w:t>
      </w:r>
      <w:r w:rsidR="00063137" w:rsidRPr="008C28EB">
        <w:rPr>
          <w:rFonts w:ascii="Times New Roman" w:hAnsi="Times New Roman"/>
          <w:sz w:val="24"/>
          <w:szCs w:val="24"/>
          <w:lang w:val="en-US"/>
        </w:rPr>
        <w:t xml:space="preserve"> Journal of Economic Literature 35, 13-39.</w:t>
      </w:r>
    </w:p>
    <w:p w14:paraId="1AD9226C" w14:textId="77777777" w:rsidR="00617096" w:rsidRDefault="00A4386F" w:rsidP="00C25996">
      <w:pPr>
        <w:spacing w:before="120" w:after="120" w:line="480" w:lineRule="auto"/>
        <w:jc w:val="both"/>
        <w:rPr>
          <w:rFonts w:ascii="Times New Roman" w:eastAsia="Times New Roman" w:hAnsi="Times New Roman"/>
          <w:sz w:val="24"/>
          <w:szCs w:val="24"/>
          <w:lang w:val="en-US"/>
        </w:rPr>
      </w:pPr>
      <w:r w:rsidRPr="00A4386F">
        <w:rPr>
          <w:rFonts w:ascii="Times New Roman" w:eastAsia="Times New Roman" w:hAnsi="Times New Roman"/>
          <w:sz w:val="24"/>
          <w:szCs w:val="24"/>
          <w:lang w:val="en-US"/>
        </w:rPr>
        <w:t>Matousek R., Rughoo A., Sarantis N., Assaf G.A., 2015. Bank performance and convergence during the financial crisis: Evidence from the ‘old’ European Union and Eurozone. Journal of Banking and Finance 52, 208-216.</w:t>
      </w:r>
    </w:p>
    <w:p w14:paraId="0E9F0276" w14:textId="108008AA" w:rsidR="00063137" w:rsidRPr="008C28EB" w:rsidRDefault="00C07B38" w:rsidP="00C25996">
      <w:pPr>
        <w:spacing w:before="120" w:after="120" w:line="480" w:lineRule="auto"/>
        <w:jc w:val="both"/>
        <w:rPr>
          <w:rFonts w:ascii="Times New Roman" w:eastAsia="Times New Roman" w:hAnsi="Times New Roman"/>
          <w:sz w:val="24"/>
          <w:szCs w:val="24"/>
          <w:lang w:val="en-US"/>
        </w:rPr>
      </w:pPr>
      <w:r w:rsidRPr="008C28EB">
        <w:rPr>
          <w:rFonts w:ascii="Times New Roman" w:eastAsia="Times New Roman" w:hAnsi="Times New Roman"/>
          <w:sz w:val="24"/>
          <w:szCs w:val="24"/>
          <w:lang w:val="en-US"/>
        </w:rPr>
        <w:lastRenderedPageBreak/>
        <w:t>Matousek, R., 2011.</w:t>
      </w:r>
      <w:r w:rsidR="00063137" w:rsidRPr="008C28EB">
        <w:rPr>
          <w:rStyle w:val="citeproc-title"/>
          <w:rFonts w:ascii="Times New Roman" w:eastAsia="Times New Roman" w:hAnsi="Times New Roman"/>
          <w:sz w:val="24"/>
          <w:szCs w:val="24"/>
          <w:lang w:val="en-US"/>
        </w:rPr>
        <w:t xml:space="preserve"> Banking in Central and Eas</w:t>
      </w:r>
      <w:r w:rsidRPr="008C28EB">
        <w:rPr>
          <w:rStyle w:val="citeproc-title"/>
          <w:rFonts w:ascii="Times New Roman" w:eastAsia="Times New Roman" w:hAnsi="Times New Roman"/>
          <w:sz w:val="24"/>
          <w:szCs w:val="24"/>
          <w:lang w:val="en-US"/>
        </w:rPr>
        <w:t>tern Europe in 1980-2006: From c</w:t>
      </w:r>
      <w:r w:rsidR="00063137" w:rsidRPr="008C28EB">
        <w:rPr>
          <w:rStyle w:val="citeproc-title"/>
          <w:rFonts w:ascii="Times New Roman" w:eastAsia="Times New Roman" w:hAnsi="Times New Roman"/>
          <w:sz w:val="24"/>
          <w:szCs w:val="24"/>
          <w:lang w:val="en-US"/>
        </w:rPr>
        <w:t>ommunism to capitalism</w:t>
      </w:r>
      <w:r w:rsidR="00063137" w:rsidRPr="008C28EB">
        <w:rPr>
          <w:rFonts w:ascii="Times New Roman" w:eastAsia="Times New Roman" w:hAnsi="Times New Roman"/>
          <w:sz w:val="24"/>
          <w:szCs w:val="24"/>
          <w:lang w:val="en-US"/>
        </w:rPr>
        <w:t xml:space="preserve">. </w:t>
      </w:r>
      <w:r w:rsidR="00063137" w:rsidRPr="008C28EB">
        <w:rPr>
          <w:rStyle w:val="citeproc-container-title"/>
          <w:rFonts w:ascii="Times New Roman" w:eastAsia="Times New Roman" w:hAnsi="Times New Roman"/>
          <w:iCs/>
          <w:sz w:val="24"/>
          <w:szCs w:val="24"/>
          <w:lang w:val="en-US"/>
        </w:rPr>
        <w:t>Economica</w:t>
      </w:r>
      <w:r w:rsidR="00063137" w:rsidRPr="008C28EB">
        <w:rPr>
          <w:rFonts w:ascii="Times New Roman" w:eastAsia="Times New Roman" w:hAnsi="Times New Roman"/>
          <w:sz w:val="24"/>
          <w:szCs w:val="24"/>
          <w:lang w:val="en-US"/>
        </w:rPr>
        <w:t xml:space="preserve">, </w:t>
      </w:r>
      <w:r w:rsidR="00063137" w:rsidRPr="008C28EB">
        <w:rPr>
          <w:rStyle w:val="citeproc-volume"/>
          <w:rFonts w:ascii="Times New Roman" w:eastAsia="Times New Roman" w:hAnsi="Times New Roman"/>
          <w:bCs/>
          <w:sz w:val="24"/>
          <w:szCs w:val="24"/>
          <w:lang w:val="en-US"/>
        </w:rPr>
        <w:t>78</w:t>
      </w:r>
      <w:r w:rsidR="00063137" w:rsidRPr="008C28EB">
        <w:rPr>
          <w:rStyle w:val="citeproc-page"/>
          <w:rFonts w:ascii="Times New Roman" w:eastAsia="Times New Roman" w:hAnsi="Times New Roman"/>
          <w:sz w:val="24"/>
          <w:szCs w:val="24"/>
          <w:lang w:val="en-US"/>
        </w:rPr>
        <w:t>, 397-397</w:t>
      </w:r>
      <w:r w:rsidR="00063137" w:rsidRPr="008C28EB">
        <w:rPr>
          <w:rFonts w:ascii="Times New Roman" w:eastAsia="Times New Roman" w:hAnsi="Times New Roman"/>
          <w:sz w:val="24"/>
          <w:szCs w:val="24"/>
          <w:lang w:val="en-US"/>
        </w:rPr>
        <w:t>.</w:t>
      </w:r>
    </w:p>
    <w:p w14:paraId="052E1647" w14:textId="77777777" w:rsidR="00063137" w:rsidRPr="008C28EB" w:rsidRDefault="00C07B38" w:rsidP="00C25996">
      <w:pPr>
        <w:autoSpaceDE w:val="0"/>
        <w:autoSpaceDN w:val="0"/>
        <w:adjustRightInd w:val="0"/>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Mikkelson</w:t>
      </w:r>
      <w:r w:rsidR="00063137" w:rsidRPr="008C28EB">
        <w:rPr>
          <w:rFonts w:ascii="Times New Roman" w:hAnsi="Times New Roman"/>
          <w:sz w:val="24"/>
          <w:szCs w:val="24"/>
          <w:lang w:val="en-US"/>
        </w:rPr>
        <w:t xml:space="preserve"> W</w:t>
      </w:r>
      <w:r w:rsidRPr="008C28EB">
        <w:rPr>
          <w:rFonts w:ascii="Times New Roman" w:hAnsi="Times New Roman"/>
          <w:sz w:val="24"/>
          <w:szCs w:val="24"/>
          <w:lang w:val="en-US"/>
        </w:rPr>
        <w:t>.</w:t>
      </w:r>
      <w:r w:rsidR="00063137" w:rsidRPr="008C28EB">
        <w:rPr>
          <w:rFonts w:ascii="Times New Roman" w:hAnsi="Times New Roman"/>
          <w:sz w:val="24"/>
          <w:szCs w:val="24"/>
          <w:lang w:val="en-US"/>
        </w:rPr>
        <w:t>H., Partch</w:t>
      </w:r>
      <w:r w:rsidRPr="008C28EB">
        <w:rPr>
          <w:rFonts w:ascii="Times New Roman" w:hAnsi="Times New Roman"/>
          <w:sz w:val="24"/>
          <w:szCs w:val="24"/>
          <w:lang w:val="en-US"/>
        </w:rPr>
        <w:t xml:space="preserve"> M.M., 1988. Withdrawn security offerings.</w:t>
      </w:r>
      <w:r w:rsidR="00063137" w:rsidRPr="008C28EB">
        <w:rPr>
          <w:rFonts w:ascii="Times New Roman" w:hAnsi="Times New Roman"/>
          <w:sz w:val="24"/>
          <w:szCs w:val="24"/>
          <w:lang w:val="en-US"/>
        </w:rPr>
        <w:t xml:space="preserve"> Journal of Financial and Quantitative Analysis 23, 119-133.</w:t>
      </w:r>
    </w:p>
    <w:p w14:paraId="5419581D" w14:textId="77777777" w:rsidR="00063137" w:rsidRPr="008C28EB" w:rsidRDefault="00C07B38" w:rsidP="00C25996">
      <w:pPr>
        <w:spacing w:before="120" w:after="120" w:line="480" w:lineRule="auto"/>
        <w:jc w:val="both"/>
        <w:rPr>
          <w:rStyle w:val="cit-auth"/>
          <w:rFonts w:ascii="Times New Roman" w:eastAsia="Times New Roman" w:hAnsi="Times New Roman"/>
          <w:sz w:val="24"/>
          <w:szCs w:val="24"/>
          <w:lang w:val="en-US"/>
        </w:rPr>
      </w:pPr>
      <w:r w:rsidRPr="008C28EB">
        <w:rPr>
          <w:rStyle w:val="cit-auth"/>
          <w:rFonts w:ascii="Times New Roman" w:eastAsia="Times New Roman" w:hAnsi="Times New Roman"/>
          <w:sz w:val="24"/>
          <w:szCs w:val="24"/>
          <w:lang w:val="en-US"/>
        </w:rPr>
        <w:t>Morgan</w:t>
      </w:r>
      <w:r w:rsidR="00063137" w:rsidRPr="008C28EB">
        <w:rPr>
          <w:rStyle w:val="cit-auth"/>
          <w:rFonts w:ascii="Times New Roman" w:eastAsia="Times New Roman" w:hAnsi="Times New Roman"/>
          <w:sz w:val="24"/>
          <w:szCs w:val="24"/>
          <w:lang w:val="en-US"/>
        </w:rPr>
        <w:t xml:space="preserve"> D.P., Peristiani S., Savino</w:t>
      </w:r>
      <w:r w:rsidRPr="008C28EB">
        <w:rPr>
          <w:rStyle w:val="cit-auth"/>
          <w:rFonts w:ascii="Times New Roman" w:eastAsia="Times New Roman" w:hAnsi="Times New Roman"/>
          <w:sz w:val="24"/>
          <w:szCs w:val="24"/>
          <w:lang w:val="en-US"/>
        </w:rPr>
        <w:t xml:space="preserve"> V., 2014.</w:t>
      </w:r>
      <w:r w:rsidR="00063137" w:rsidRPr="008C28EB">
        <w:rPr>
          <w:rStyle w:val="cit-auth"/>
          <w:rFonts w:ascii="Times New Roman" w:eastAsia="Times New Roman" w:hAnsi="Times New Roman"/>
          <w:sz w:val="24"/>
          <w:szCs w:val="24"/>
          <w:lang w:val="en-US"/>
        </w:rPr>
        <w:t xml:space="preserve"> The inform</w:t>
      </w:r>
      <w:r w:rsidRPr="008C28EB">
        <w:rPr>
          <w:rStyle w:val="cit-auth"/>
          <w:rFonts w:ascii="Times New Roman" w:eastAsia="Times New Roman" w:hAnsi="Times New Roman"/>
          <w:sz w:val="24"/>
          <w:szCs w:val="24"/>
          <w:lang w:val="en-US"/>
        </w:rPr>
        <w:t xml:space="preserve">ation value of the stress test. </w:t>
      </w:r>
      <w:r w:rsidR="00063137" w:rsidRPr="008C28EB">
        <w:rPr>
          <w:rStyle w:val="cit-auth"/>
          <w:rFonts w:ascii="Times New Roman" w:eastAsia="Times New Roman" w:hAnsi="Times New Roman"/>
          <w:sz w:val="24"/>
          <w:szCs w:val="24"/>
          <w:lang w:val="en-US"/>
        </w:rPr>
        <w:t>Journal of Money, Credit and Banking46, 1479-1500.</w:t>
      </w:r>
    </w:p>
    <w:p w14:paraId="6B5644D2" w14:textId="77777777" w:rsidR="00FA4C32" w:rsidRPr="008C28EB" w:rsidRDefault="00FA4C32" w:rsidP="00FA4C32">
      <w:pPr>
        <w:spacing w:before="120" w:after="120" w:line="480" w:lineRule="auto"/>
        <w:jc w:val="both"/>
        <w:rPr>
          <w:rFonts w:ascii="Times New Roman" w:hAnsi="Times New Roman"/>
          <w:sz w:val="24"/>
          <w:szCs w:val="24"/>
          <w:lang w:val="en-GB" w:eastAsia="en-US"/>
        </w:rPr>
      </w:pPr>
      <w:r w:rsidRPr="008C28EB">
        <w:rPr>
          <w:rFonts w:ascii="Times New Roman" w:hAnsi="Times New Roman"/>
          <w:sz w:val="24"/>
          <w:szCs w:val="24"/>
          <w:lang w:val="en-GB" w:eastAsia="en-US"/>
        </w:rPr>
        <w:t>Molyneux P., Schaeck K, Zhou T.M., 2014. ‘Too systemically important to fail’ in banking – Evidence from bank mergers and acquisitions. Journal of International Money and Finance 49, 258–282.</w:t>
      </w:r>
    </w:p>
    <w:p w14:paraId="679B28E5" w14:textId="77777777" w:rsidR="00921846" w:rsidRPr="008C28EB" w:rsidRDefault="00921846" w:rsidP="00921846">
      <w:pPr>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Nouy D., 2013. Banking regulation and supervision in the next 10 years and their unintended consequences. Banque de France, Débats économiques et financiers n. 5. </w:t>
      </w:r>
    </w:p>
    <w:p w14:paraId="467CB5BA" w14:textId="77777777" w:rsidR="00FA4C32" w:rsidRPr="008C28EB" w:rsidRDefault="00FA4C32" w:rsidP="00FA4C32">
      <w:pPr>
        <w:spacing w:before="120" w:after="120" w:line="480" w:lineRule="auto"/>
        <w:jc w:val="both"/>
        <w:rPr>
          <w:rFonts w:ascii="Times New Roman" w:hAnsi="Times New Roman"/>
          <w:sz w:val="24"/>
          <w:szCs w:val="24"/>
          <w:lang w:val="en-GB"/>
        </w:rPr>
      </w:pPr>
      <w:r w:rsidRPr="008C28EB">
        <w:rPr>
          <w:rFonts w:ascii="Times New Roman" w:hAnsi="Times New Roman"/>
          <w:sz w:val="24"/>
          <w:szCs w:val="24"/>
          <w:lang w:val="en-GB"/>
        </w:rPr>
        <w:t xml:space="preserve">Onali E., Bruno B., Schaeck, K., 2016. </w:t>
      </w:r>
      <w:r w:rsidRPr="008C28EB">
        <w:rPr>
          <w:rFonts w:ascii="Times New Roman" w:hAnsi="Times New Roman"/>
          <w:sz w:val="24"/>
          <w:szCs w:val="24"/>
          <w:lang w:val="en-US"/>
        </w:rPr>
        <w:t>Market reaction to bank liquidity regulation, paper presented at the Royal Economic Society meeting, Brighton, United Kingdom, March 2016.</w:t>
      </w:r>
    </w:p>
    <w:p w14:paraId="395486EC" w14:textId="31F39C87" w:rsidR="00063137" w:rsidRPr="008C28EB" w:rsidRDefault="00C07B38" w:rsidP="00FA4C32">
      <w:pPr>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GB"/>
        </w:rPr>
        <w:t>Petrella G., Resti A., 2013.</w:t>
      </w:r>
      <w:r w:rsidR="00617096">
        <w:rPr>
          <w:rFonts w:ascii="Times New Roman" w:hAnsi="Times New Roman"/>
          <w:sz w:val="24"/>
          <w:szCs w:val="24"/>
          <w:lang w:val="en-GB"/>
        </w:rPr>
        <w:t xml:space="preserve"> </w:t>
      </w:r>
      <w:r w:rsidR="00063137" w:rsidRPr="008C28EB">
        <w:rPr>
          <w:rFonts w:ascii="Times New Roman" w:hAnsi="Times New Roman"/>
          <w:sz w:val="24"/>
          <w:szCs w:val="24"/>
          <w:lang w:val="en-US"/>
        </w:rPr>
        <w:t>Supervisors as information producers: Do stre</w:t>
      </w:r>
      <w:r w:rsidRPr="008C28EB">
        <w:rPr>
          <w:rFonts w:ascii="Times New Roman" w:hAnsi="Times New Roman"/>
          <w:sz w:val="24"/>
          <w:szCs w:val="24"/>
          <w:lang w:val="en-US"/>
        </w:rPr>
        <w:t>ss test reduce bank opaqueness?</w:t>
      </w:r>
      <w:r w:rsidR="00063137" w:rsidRPr="008C28EB">
        <w:rPr>
          <w:rFonts w:ascii="Times New Roman" w:hAnsi="Times New Roman"/>
          <w:sz w:val="24"/>
          <w:szCs w:val="24"/>
          <w:lang w:val="en-US"/>
        </w:rPr>
        <w:t xml:space="preserve"> Journal of Banking and Finance 37, 5406-5420.</w:t>
      </w:r>
    </w:p>
    <w:p w14:paraId="7AC8EA37" w14:textId="77777777" w:rsidR="001D21C0" w:rsidRPr="008C28EB" w:rsidRDefault="001D21C0" w:rsidP="00755BF0">
      <w:pPr>
        <w:pStyle w:val="Nessunaspaziatura"/>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 xml:space="preserve">Ricci O., 2015. The impact of monetary policy announcements on the stock price of large European banks during the financial crisis. Journal of Banking &amp; Finance 52, </w:t>
      </w:r>
      <w:r w:rsidR="00B6173A" w:rsidRPr="008C28EB">
        <w:rPr>
          <w:rFonts w:ascii="Times New Roman" w:hAnsi="Times New Roman"/>
          <w:sz w:val="24"/>
          <w:szCs w:val="24"/>
          <w:lang w:val="en-US"/>
        </w:rPr>
        <w:t>245-255.</w:t>
      </w:r>
    </w:p>
    <w:p w14:paraId="08CE420F" w14:textId="77777777" w:rsidR="001D21C0" w:rsidRPr="008C28EB" w:rsidRDefault="00755BF0" w:rsidP="00755BF0">
      <w:pPr>
        <w:pStyle w:val="Nessunaspaziatura"/>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t>Sahin C., de Haan J., 2015.</w:t>
      </w:r>
      <w:r w:rsidR="001D21C0" w:rsidRPr="008C28EB">
        <w:rPr>
          <w:rFonts w:ascii="Times New Roman" w:hAnsi="Times New Roman"/>
          <w:sz w:val="24"/>
          <w:szCs w:val="24"/>
          <w:lang w:val="en-US"/>
        </w:rPr>
        <w:t xml:space="preserve"> Market reactions to the ECB’s Comprehensive Assessment, DNB Working Paper n. 463.</w:t>
      </w:r>
    </w:p>
    <w:p w14:paraId="6BC8F983" w14:textId="77777777" w:rsidR="00063137" w:rsidRPr="008C28EB" w:rsidRDefault="00063137" w:rsidP="00755BF0">
      <w:pPr>
        <w:pStyle w:val="Nessunaspaziatura"/>
        <w:spacing w:before="120" w:after="120" w:line="480" w:lineRule="auto"/>
        <w:jc w:val="both"/>
        <w:rPr>
          <w:rFonts w:ascii="Times New Roman" w:hAnsi="Times New Roman"/>
          <w:sz w:val="24"/>
          <w:szCs w:val="24"/>
          <w:lang w:val="en-US"/>
        </w:rPr>
      </w:pPr>
      <w:r w:rsidRPr="008C28EB">
        <w:rPr>
          <w:rFonts w:ascii="Times New Roman" w:hAnsi="Times New Roman"/>
          <w:sz w:val="24"/>
          <w:szCs w:val="24"/>
          <w:lang w:val="en-US"/>
        </w:rPr>
        <w:lastRenderedPageBreak/>
        <w:t>U.S. Financial Crisis Inquiry Commission, 2011. “The financial crisis inquiry report”. U.S. Government Printing Office, Washington D. C.</w:t>
      </w:r>
    </w:p>
    <w:p w14:paraId="1818FC0C" w14:textId="77777777" w:rsidR="007F6BC9" w:rsidRPr="008C28EB" w:rsidRDefault="007F6BC9" w:rsidP="007F6BC9">
      <w:pPr>
        <w:spacing w:after="0" w:line="240" w:lineRule="auto"/>
        <w:rPr>
          <w:rFonts w:ascii="Times New Roman" w:hAnsi="Times New Roman"/>
          <w:b/>
          <w:bCs/>
          <w:sz w:val="21"/>
          <w:szCs w:val="21"/>
          <w:lang w:val="en-US"/>
        </w:rPr>
      </w:pPr>
      <w:r w:rsidRPr="008C28EB">
        <w:rPr>
          <w:rFonts w:ascii="Times New Roman" w:hAnsi="Times New Roman"/>
          <w:b/>
          <w:bCs/>
          <w:sz w:val="21"/>
          <w:szCs w:val="21"/>
          <w:lang w:val="en-US"/>
        </w:rPr>
        <w:br w:type="page"/>
      </w:r>
    </w:p>
    <w:p w14:paraId="118A09BE" w14:textId="77777777" w:rsidR="007F6BC9" w:rsidRPr="008C28EB" w:rsidRDefault="007F6BC9" w:rsidP="007F6BC9">
      <w:pPr>
        <w:spacing w:after="0" w:line="240" w:lineRule="auto"/>
        <w:jc w:val="center"/>
        <w:rPr>
          <w:rFonts w:ascii="Times New Roman" w:hAnsi="Times New Roman"/>
          <w:b/>
          <w:sz w:val="24"/>
          <w:szCs w:val="24"/>
          <w:lang w:val="en-US"/>
        </w:rPr>
      </w:pPr>
      <w:r w:rsidRPr="008C28EB">
        <w:rPr>
          <w:rFonts w:ascii="Times New Roman" w:hAnsi="Times New Roman"/>
          <w:b/>
          <w:sz w:val="24"/>
          <w:szCs w:val="24"/>
          <w:lang w:val="en-US"/>
        </w:rPr>
        <w:lastRenderedPageBreak/>
        <w:t>Table 1</w:t>
      </w:r>
    </w:p>
    <w:p w14:paraId="77A46608" w14:textId="77777777" w:rsidR="007F6BC9" w:rsidRPr="008C28EB" w:rsidRDefault="007F6BC9" w:rsidP="007F6BC9">
      <w:pPr>
        <w:spacing w:after="0" w:line="240" w:lineRule="auto"/>
        <w:jc w:val="center"/>
        <w:rPr>
          <w:rFonts w:ascii="Times New Roman" w:hAnsi="Times New Roman"/>
          <w:b/>
          <w:sz w:val="24"/>
          <w:szCs w:val="24"/>
          <w:lang w:val="en-US"/>
        </w:rPr>
      </w:pPr>
      <w:r w:rsidRPr="008C28EB">
        <w:rPr>
          <w:rFonts w:ascii="Times New Roman" w:hAnsi="Times New Roman"/>
          <w:b/>
          <w:sz w:val="24"/>
          <w:szCs w:val="24"/>
          <w:lang w:val="en-US"/>
        </w:rPr>
        <w:t>The pivotal moments of the Comprehensive Assessment</w:t>
      </w:r>
    </w:p>
    <w:p w14:paraId="78EB40F5" w14:textId="77777777" w:rsidR="007F6BC9" w:rsidRPr="008C28EB" w:rsidRDefault="007F6BC9" w:rsidP="007F6BC9">
      <w:pPr>
        <w:spacing w:after="0" w:line="240" w:lineRule="auto"/>
        <w:jc w:val="center"/>
        <w:rPr>
          <w:rFonts w:ascii="Times New Roman" w:hAnsi="Times New Roman"/>
          <w:b/>
          <w:sz w:val="21"/>
          <w:szCs w:val="21"/>
          <w:lang w:val="en-US"/>
        </w:rPr>
      </w:pPr>
    </w:p>
    <w:p w14:paraId="7427E12D" w14:textId="77777777" w:rsidR="007F6BC9" w:rsidRPr="008C28EB" w:rsidRDefault="007F6BC9" w:rsidP="007F6BC9">
      <w:pPr>
        <w:pStyle w:val="Corpodeltesto2"/>
        <w:tabs>
          <w:tab w:val="right" w:pos="7560"/>
          <w:tab w:val="right" w:pos="8820"/>
        </w:tabs>
        <w:spacing w:line="360" w:lineRule="auto"/>
        <w:ind w:right="-138" w:firstLine="0"/>
        <w:jc w:val="center"/>
        <w:rPr>
          <w:rFonts w:ascii="Times New Roman" w:eastAsia="MS ??" w:hAnsi="Times New Roman" w:cs="Times New Roman"/>
          <w:sz w:val="18"/>
          <w:szCs w:val="18"/>
        </w:rPr>
      </w:pPr>
      <w:r w:rsidRPr="008C28EB">
        <w:rPr>
          <w:rFonts w:ascii="Times New Roman" w:hAnsi="Times New Roman" w:cs="Times New Roman"/>
          <w:sz w:val="18"/>
          <w:szCs w:val="18"/>
        </w:rPr>
        <w:t>This table reports the most important ECB press releases related to the CA.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8C28EB" w:rsidRPr="008C28EB" w14:paraId="356AA5C9" w14:textId="77777777" w:rsidTr="001F4FF5">
        <w:tc>
          <w:tcPr>
            <w:tcW w:w="1809" w:type="dxa"/>
            <w:shd w:val="clear" w:color="auto" w:fill="auto"/>
            <w:vAlign w:val="center"/>
          </w:tcPr>
          <w:p w14:paraId="38F66406"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October 23, 2013</w:t>
            </w:r>
          </w:p>
        </w:tc>
        <w:tc>
          <w:tcPr>
            <w:tcW w:w="7371" w:type="dxa"/>
            <w:shd w:val="clear" w:color="auto" w:fill="auto"/>
            <w:vAlign w:val="center"/>
          </w:tcPr>
          <w:p w14:paraId="5F680A93"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ECB starts comprehensive assessment in advance of supervisory role. The details of the procedure and the list of involved institutions are disclosed to the market</w:t>
            </w:r>
          </w:p>
        </w:tc>
      </w:tr>
      <w:tr w:rsidR="008C28EB" w:rsidRPr="008C28EB" w14:paraId="1C50A94A" w14:textId="77777777" w:rsidTr="001F4FF5">
        <w:tc>
          <w:tcPr>
            <w:tcW w:w="1809" w:type="dxa"/>
            <w:shd w:val="clear" w:color="auto" w:fill="auto"/>
            <w:vAlign w:val="center"/>
          </w:tcPr>
          <w:p w14:paraId="5766D793"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February 03, 2014</w:t>
            </w:r>
          </w:p>
        </w:tc>
        <w:tc>
          <w:tcPr>
            <w:tcW w:w="7371" w:type="dxa"/>
            <w:shd w:val="clear" w:color="auto" w:fill="auto"/>
            <w:vAlign w:val="center"/>
          </w:tcPr>
          <w:p w14:paraId="1F690E27"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ECB makes progress with asset quality review, and confirms stress test parameters for comprehensive assessment released by the EBA on 31 January</w:t>
            </w:r>
          </w:p>
        </w:tc>
      </w:tr>
      <w:tr w:rsidR="008C28EB" w:rsidRPr="008C28EB" w14:paraId="29704082" w14:textId="77777777" w:rsidTr="001F4FF5">
        <w:tc>
          <w:tcPr>
            <w:tcW w:w="1809" w:type="dxa"/>
            <w:shd w:val="clear" w:color="auto" w:fill="auto"/>
            <w:vAlign w:val="center"/>
          </w:tcPr>
          <w:p w14:paraId="5D7B3B6C"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March 11, 2014</w:t>
            </w:r>
          </w:p>
        </w:tc>
        <w:tc>
          <w:tcPr>
            <w:tcW w:w="7371" w:type="dxa"/>
            <w:shd w:val="clear" w:color="auto" w:fill="auto"/>
            <w:vAlign w:val="center"/>
          </w:tcPr>
          <w:p w14:paraId="5BA37945"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xml:space="preserve">ECB publishes manual for asset quality review </w:t>
            </w:r>
          </w:p>
        </w:tc>
      </w:tr>
      <w:tr w:rsidR="008C28EB" w:rsidRPr="008C28EB" w14:paraId="7406711C" w14:textId="77777777" w:rsidTr="001F4FF5">
        <w:tc>
          <w:tcPr>
            <w:tcW w:w="1809" w:type="dxa"/>
            <w:shd w:val="clear" w:color="auto" w:fill="auto"/>
            <w:vAlign w:val="center"/>
          </w:tcPr>
          <w:p w14:paraId="5267790B"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April 29, 2014</w:t>
            </w:r>
          </w:p>
        </w:tc>
        <w:tc>
          <w:tcPr>
            <w:tcW w:w="7371" w:type="dxa"/>
            <w:shd w:val="clear" w:color="auto" w:fill="auto"/>
            <w:vAlign w:val="center"/>
          </w:tcPr>
          <w:p w14:paraId="669B6F37"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xml:space="preserve">ECB has today informed banks how capital shortfalls must be addressed following the comprehensive assessment. Banks are given six to nine months to cover capital shortfalls </w:t>
            </w:r>
          </w:p>
        </w:tc>
      </w:tr>
      <w:tr w:rsidR="008C28EB" w:rsidRPr="008C28EB" w14:paraId="15E7727A" w14:textId="77777777" w:rsidTr="001F4FF5">
        <w:tc>
          <w:tcPr>
            <w:tcW w:w="1809" w:type="dxa"/>
            <w:shd w:val="clear" w:color="auto" w:fill="auto"/>
            <w:vAlign w:val="center"/>
          </w:tcPr>
          <w:p w14:paraId="362E4119"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July 17, 2014</w:t>
            </w:r>
          </w:p>
        </w:tc>
        <w:tc>
          <w:tcPr>
            <w:tcW w:w="7371" w:type="dxa"/>
            <w:shd w:val="clear" w:color="auto" w:fill="auto"/>
            <w:vAlign w:val="center"/>
          </w:tcPr>
          <w:p w14:paraId="278434B9"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xml:space="preserve">ECB has today presented the process for interacting with banks and the disclosure template for communicating the results of its on-going comprehensive assessment </w:t>
            </w:r>
          </w:p>
        </w:tc>
      </w:tr>
      <w:tr w:rsidR="008C28EB" w:rsidRPr="008C28EB" w14:paraId="7E68D276" w14:textId="77777777" w:rsidTr="001F4FF5">
        <w:tc>
          <w:tcPr>
            <w:tcW w:w="1809" w:type="dxa"/>
            <w:shd w:val="clear" w:color="auto" w:fill="auto"/>
            <w:vAlign w:val="center"/>
          </w:tcPr>
          <w:p w14:paraId="6B1F80EB"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October 10, 2014</w:t>
            </w:r>
          </w:p>
        </w:tc>
        <w:tc>
          <w:tcPr>
            <w:tcW w:w="7371" w:type="dxa"/>
            <w:shd w:val="clear" w:color="auto" w:fill="auto"/>
            <w:vAlign w:val="center"/>
          </w:tcPr>
          <w:p w14:paraId="32A1A5F7"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ECB communicates that the CA results will be published on 26 October 2014</w:t>
            </w:r>
          </w:p>
        </w:tc>
      </w:tr>
      <w:tr w:rsidR="008C28EB" w:rsidRPr="008C28EB" w14:paraId="75775EBC" w14:textId="77777777" w:rsidTr="001F4FF5">
        <w:tc>
          <w:tcPr>
            <w:tcW w:w="1809" w:type="dxa"/>
            <w:shd w:val="clear" w:color="auto" w:fill="auto"/>
            <w:vAlign w:val="center"/>
          </w:tcPr>
          <w:p w14:paraId="165F01FD"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October 22, 2014</w:t>
            </w:r>
          </w:p>
        </w:tc>
        <w:tc>
          <w:tcPr>
            <w:tcW w:w="7371" w:type="dxa"/>
            <w:shd w:val="clear" w:color="auto" w:fill="auto"/>
            <w:vAlign w:val="center"/>
          </w:tcPr>
          <w:p w14:paraId="55DC09F8"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Statement about media reports ahead of comprehensive assessment results (no official results before 26 October 2014)</w:t>
            </w:r>
          </w:p>
        </w:tc>
      </w:tr>
      <w:tr w:rsidR="008C28EB" w:rsidRPr="008C28EB" w14:paraId="633B6B38" w14:textId="77777777" w:rsidTr="001F4FF5">
        <w:tc>
          <w:tcPr>
            <w:tcW w:w="1809" w:type="dxa"/>
            <w:shd w:val="clear" w:color="auto" w:fill="auto"/>
            <w:vAlign w:val="center"/>
          </w:tcPr>
          <w:p w14:paraId="7F7A44DC"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October 26, 2014</w:t>
            </w:r>
          </w:p>
        </w:tc>
        <w:tc>
          <w:tcPr>
            <w:tcW w:w="7371" w:type="dxa"/>
            <w:shd w:val="clear" w:color="auto" w:fill="auto"/>
            <w:vAlign w:val="center"/>
          </w:tcPr>
          <w:p w14:paraId="10B0A1CA"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ECB’s in-depth review shows banks need to take further action. CA detailed results for each bank are disclosed to the market</w:t>
            </w:r>
          </w:p>
        </w:tc>
      </w:tr>
      <w:tr w:rsidR="007F6BC9" w:rsidRPr="008C28EB" w14:paraId="5A69EC2E" w14:textId="77777777" w:rsidTr="001F4FF5">
        <w:tc>
          <w:tcPr>
            <w:tcW w:w="1809" w:type="dxa"/>
            <w:shd w:val="clear" w:color="auto" w:fill="auto"/>
            <w:vAlign w:val="center"/>
          </w:tcPr>
          <w:p w14:paraId="798D1CF4"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November 04, 2014</w:t>
            </w:r>
          </w:p>
        </w:tc>
        <w:tc>
          <w:tcPr>
            <w:tcW w:w="7371" w:type="dxa"/>
            <w:shd w:val="clear" w:color="auto" w:fill="auto"/>
            <w:vAlign w:val="center"/>
          </w:tcPr>
          <w:p w14:paraId="359CC623" w14:textId="77777777" w:rsidR="007F6BC9" w:rsidRPr="008C28EB" w:rsidRDefault="007F6BC9" w:rsidP="001F4FF5">
            <w:pPr>
              <w:spacing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SSM starts</w:t>
            </w:r>
          </w:p>
        </w:tc>
      </w:tr>
    </w:tbl>
    <w:p w14:paraId="2C9674C8" w14:textId="77777777" w:rsidR="007F6BC9" w:rsidRPr="008C28EB" w:rsidRDefault="007F6BC9" w:rsidP="007F6BC9">
      <w:pPr>
        <w:rPr>
          <w:rFonts w:ascii="Times New Roman" w:hAnsi="Times New Roman"/>
          <w:sz w:val="16"/>
          <w:szCs w:val="16"/>
          <w:lang w:val="en-US"/>
        </w:rPr>
      </w:pPr>
    </w:p>
    <w:p w14:paraId="230AEEDB" w14:textId="77777777" w:rsidR="007F6BC9" w:rsidRPr="008C28EB" w:rsidRDefault="007F6BC9" w:rsidP="007F6BC9">
      <w:pPr>
        <w:ind w:right="-147"/>
        <w:rPr>
          <w:rFonts w:ascii="Times New Roman" w:hAnsi="Times New Roman"/>
          <w:sz w:val="16"/>
          <w:szCs w:val="16"/>
          <w:lang w:val="en-US"/>
        </w:rPr>
        <w:sectPr w:rsidR="007F6BC9" w:rsidRPr="008C28EB" w:rsidSect="00F47DEF">
          <w:footerReference w:type="default" r:id="rId8"/>
          <w:pgSz w:w="11901" w:h="16840"/>
          <w:pgMar w:top="1871" w:right="1871" w:bottom="1871" w:left="1871" w:header="709" w:footer="709" w:gutter="0"/>
          <w:cols w:space="708"/>
          <w:docGrid w:linePitch="360"/>
        </w:sectPr>
      </w:pPr>
    </w:p>
    <w:p w14:paraId="757A04FF" w14:textId="77777777" w:rsidR="007F6BC9" w:rsidRPr="008C28EB" w:rsidRDefault="007F6BC9" w:rsidP="007F6BC9">
      <w:pPr>
        <w:jc w:val="center"/>
        <w:rPr>
          <w:rFonts w:ascii="Times New Roman" w:hAnsi="Times New Roman"/>
          <w:b/>
          <w:sz w:val="24"/>
          <w:szCs w:val="24"/>
          <w:lang w:val="en-US"/>
        </w:rPr>
      </w:pPr>
      <w:r w:rsidRPr="008C28EB">
        <w:rPr>
          <w:rFonts w:ascii="Times New Roman" w:hAnsi="Times New Roman"/>
          <w:b/>
          <w:sz w:val="24"/>
          <w:szCs w:val="24"/>
          <w:lang w:val="en-US"/>
        </w:rPr>
        <w:lastRenderedPageBreak/>
        <w:t>Table 2</w:t>
      </w:r>
      <w:r w:rsidRPr="008C28EB">
        <w:rPr>
          <w:rFonts w:ascii="Times New Roman" w:hAnsi="Times New Roman"/>
          <w:b/>
          <w:sz w:val="24"/>
          <w:szCs w:val="24"/>
          <w:lang w:val="en-US"/>
        </w:rPr>
        <w:br/>
        <w:t>Investors’ reaction to the events related to the Comprehensive Assessment</w:t>
      </w:r>
    </w:p>
    <w:p w14:paraId="651EA8BD" w14:textId="77777777" w:rsidR="009F1416" w:rsidRPr="008C28EB" w:rsidRDefault="009F1416" w:rsidP="009F1416">
      <w:pPr>
        <w:rPr>
          <w:rFonts w:ascii="Times New Roman" w:hAnsi="Times New Roman"/>
          <w:b/>
          <w:bCs/>
          <w:sz w:val="24"/>
          <w:szCs w:val="24"/>
          <w:lang w:val="en-US"/>
        </w:rPr>
      </w:pPr>
      <w:r w:rsidRPr="008C28EB">
        <w:rPr>
          <w:rFonts w:ascii="Times New Roman" w:hAnsi="Times New Roman"/>
          <w:b/>
          <w:bCs/>
          <w:sz w:val="24"/>
          <w:szCs w:val="24"/>
          <w:lang w:val="en-US"/>
        </w:rPr>
        <w:t>Panel A - Sample composition by country</w:t>
      </w:r>
    </w:p>
    <w:p w14:paraId="643C4F79" w14:textId="77777777" w:rsidR="009F1416" w:rsidRPr="008C28EB" w:rsidRDefault="009F1416" w:rsidP="009F1416">
      <w:pPr>
        <w:pStyle w:val="Corpodeltesto2"/>
        <w:tabs>
          <w:tab w:val="right" w:pos="7560"/>
          <w:tab w:val="right" w:pos="8820"/>
        </w:tabs>
        <w:spacing w:line="360" w:lineRule="auto"/>
        <w:ind w:right="-138" w:firstLine="0"/>
        <w:jc w:val="left"/>
        <w:rPr>
          <w:rFonts w:ascii="Times New Roman" w:eastAsia="MS ??" w:hAnsi="Times New Roman" w:cs="Times New Roman"/>
          <w:sz w:val="18"/>
          <w:szCs w:val="18"/>
        </w:rPr>
      </w:pPr>
      <w:r w:rsidRPr="008C28EB">
        <w:rPr>
          <w:rFonts w:ascii="Times New Roman" w:hAnsi="Times New Roman" w:cs="Times New Roman"/>
          <w:sz w:val="18"/>
          <w:szCs w:val="18"/>
        </w:rPr>
        <w:t>This table reports the origin of all listed European banks included in our event study.</w:t>
      </w:r>
    </w:p>
    <w:tbl>
      <w:tblPr>
        <w:tblW w:w="4748" w:type="dxa"/>
        <w:tblCellMar>
          <w:left w:w="70" w:type="dxa"/>
          <w:right w:w="70" w:type="dxa"/>
        </w:tblCellMar>
        <w:tblLook w:val="04A0" w:firstRow="1" w:lastRow="0" w:firstColumn="1" w:lastColumn="0" w:noHBand="0" w:noVBand="1"/>
      </w:tblPr>
      <w:tblGrid>
        <w:gridCol w:w="1100"/>
        <w:gridCol w:w="1116"/>
        <w:gridCol w:w="1470"/>
        <w:gridCol w:w="1062"/>
      </w:tblGrid>
      <w:tr w:rsidR="009F1416" w:rsidRPr="008C28EB" w14:paraId="4CBB0FB7" w14:textId="77777777" w:rsidTr="009F1416">
        <w:trPr>
          <w:trHeight w:val="300"/>
        </w:trPr>
        <w:tc>
          <w:tcPr>
            <w:tcW w:w="1100" w:type="dxa"/>
            <w:tcBorders>
              <w:top w:val="single" w:sz="4" w:space="0" w:color="auto"/>
              <w:left w:val="nil"/>
              <w:bottom w:val="single" w:sz="4" w:space="0" w:color="auto"/>
              <w:right w:val="nil"/>
            </w:tcBorders>
            <w:shd w:val="clear" w:color="auto" w:fill="auto"/>
            <w:noWrap/>
            <w:vAlign w:val="bottom"/>
            <w:hideMark/>
          </w:tcPr>
          <w:p w14:paraId="78C1B59D" w14:textId="77777777" w:rsidR="009F1416" w:rsidRPr="008C28EB" w:rsidRDefault="009F1416" w:rsidP="009F1416">
            <w:pPr>
              <w:spacing w:after="0" w:line="240" w:lineRule="auto"/>
              <w:jc w:val="center"/>
              <w:rPr>
                <w:rFonts w:ascii="Times New Roman" w:eastAsia="Times New Roman" w:hAnsi="Times New Roman"/>
                <w:sz w:val="18"/>
                <w:szCs w:val="18"/>
                <w:lang w:val="en-US"/>
              </w:rPr>
            </w:pPr>
          </w:p>
        </w:tc>
        <w:tc>
          <w:tcPr>
            <w:tcW w:w="1116" w:type="dxa"/>
            <w:tcBorders>
              <w:top w:val="single" w:sz="4" w:space="0" w:color="auto"/>
              <w:left w:val="nil"/>
              <w:bottom w:val="single" w:sz="4" w:space="0" w:color="auto"/>
              <w:right w:val="nil"/>
            </w:tcBorders>
            <w:shd w:val="clear" w:color="auto" w:fill="auto"/>
            <w:noWrap/>
            <w:vAlign w:val="bottom"/>
            <w:hideMark/>
          </w:tcPr>
          <w:p w14:paraId="3A612E03" w14:textId="77777777" w:rsidR="009F1416" w:rsidRPr="008C28EB" w:rsidRDefault="009F1416" w:rsidP="00F02DB6">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6"/>
                <w:szCs w:val="16"/>
                <w:lang w:val="en-US"/>
              </w:rPr>
              <w:t xml:space="preserve">Banks involved in the </w:t>
            </w:r>
            <w:r w:rsidR="00F02DB6" w:rsidRPr="008C28EB">
              <w:rPr>
                <w:rFonts w:ascii="Times New Roman" w:eastAsia="Times New Roman" w:hAnsi="Times New Roman"/>
                <w:sz w:val="16"/>
                <w:szCs w:val="16"/>
                <w:lang w:val="en-US"/>
              </w:rPr>
              <w:t>CA</w:t>
            </w:r>
            <w:r w:rsidRPr="008C28EB">
              <w:rPr>
                <w:rFonts w:ascii="Times New Roman" w:eastAsia="Times New Roman" w:hAnsi="Times New Roman"/>
                <w:sz w:val="16"/>
                <w:szCs w:val="16"/>
                <w:lang w:val="en-US"/>
              </w:rPr>
              <w:t xml:space="preserve"> (treated)</w:t>
            </w:r>
          </w:p>
        </w:tc>
        <w:tc>
          <w:tcPr>
            <w:tcW w:w="1470" w:type="dxa"/>
            <w:tcBorders>
              <w:top w:val="single" w:sz="4" w:space="0" w:color="auto"/>
              <w:left w:val="nil"/>
              <w:bottom w:val="single" w:sz="4" w:space="0" w:color="auto"/>
              <w:right w:val="nil"/>
            </w:tcBorders>
            <w:shd w:val="clear" w:color="auto" w:fill="auto"/>
            <w:noWrap/>
            <w:vAlign w:val="center"/>
            <w:hideMark/>
          </w:tcPr>
          <w:p w14:paraId="3D2F0B2C" w14:textId="77777777" w:rsidR="009F1416" w:rsidRPr="008C28EB" w:rsidRDefault="009F1416" w:rsidP="00F02DB6">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xml:space="preserve">Banks not involved in the </w:t>
            </w:r>
            <w:r w:rsidR="00F02DB6" w:rsidRPr="008C28EB">
              <w:rPr>
                <w:rFonts w:ascii="Times New Roman" w:eastAsia="Times New Roman" w:hAnsi="Times New Roman"/>
                <w:sz w:val="16"/>
                <w:szCs w:val="16"/>
                <w:lang w:val="en-US"/>
              </w:rPr>
              <w:t>CA</w:t>
            </w:r>
            <w:r w:rsidRPr="008C28EB">
              <w:rPr>
                <w:rFonts w:ascii="Times New Roman" w:eastAsia="Times New Roman" w:hAnsi="Times New Roman"/>
                <w:sz w:val="16"/>
                <w:szCs w:val="16"/>
                <w:lang w:val="en-US"/>
              </w:rPr>
              <w:t xml:space="preserve"> (untreated)</w:t>
            </w:r>
          </w:p>
        </w:tc>
        <w:tc>
          <w:tcPr>
            <w:tcW w:w="1062" w:type="dxa"/>
            <w:tcBorders>
              <w:top w:val="single" w:sz="4" w:space="0" w:color="auto"/>
              <w:left w:val="nil"/>
              <w:bottom w:val="single" w:sz="4" w:space="0" w:color="auto"/>
              <w:right w:val="nil"/>
            </w:tcBorders>
            <w:shd w:val="clear" w:color="auto" w:fill="auto"/>
            <w:noWrap/>
            <w:vAlign w:val="center"/>
            <w:hideMark/>
          </w:tcPr>
          <w:p w14:paraId="50CC67E8"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Total</w:t>
            </w:r>
          </w:p>
        </w:tc>
      </w:tr>
      <w:tr w:rsidR="009F1416" w:rsidRPr="008C28EB" w14:paraId="366F2A79" w14:textId="77777777" w:rsidTr="009F1416">
        <w:trPr>
          <w:trHeight w:val="300"/>
        </w:trPr>
        <w:tc>
          <w:tcPr>
            <w:tcW w:w="1100" w:type="dxa"/>
            <w:tcBorders>
              <w:top w:val="single" w:sz="4" w:space="0" w:color="auto"/>
              <w:left w:val="nil"/>
              <w:bottom w:val="nil"/>
              <w:right w:val="nil"/>
            </w:tcBorders>
            <w:shd w:val="clear" w:color="auto" w:fill="auto"/>
            <w:noWrap/>
            <w:vAlign w:val="bottom"/>
            <w:hideMark/>
          </w:tcPr>
          <w:p w14:paraId="3F56B08E"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Austria</w:t>
            </w:r>
          </w:p>
        </w:tc>
        <w:tc>
          <w:tcPr>
            <w:tcW w:w="1116" w:type="dxa"/>
            <w:tcBorders>
              <w:top w:val="single" w:sz="4" w:space="0" w:color="auto"/>
              <w:left w:val="nil"/>
              <w:bottom w:val="nil"/>
              <w:right w:val="nil"/>
            </w:tcBorders>
            <w:shd w:val="clear" w:color="auto" w:fill="auto"/>
            <w:noWrap/>
            <w:vAlign w:val="bottom"/>
            <w:hideMark/>
          </w:tcPr>
          <w:p w14:paraId="7BBFFF97"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c>
          <w:tcPr>
            <w:tcW w:w="1470" w:type="dxa"/>
            <w:tcBorders>
              <w:top w:val="single" w:sz="4" w:space="0" w:color="auto"/>
              <w:left w:val="nil"/>
              <w:bottom w:val="nil"/>
              <w:right w:val="nil"/>
            </w:tcBorders>
            <w:shd w:val="clear" w:color="auto" w:fill="auto"/>
            <w:noWrap/>
            <w:vAlign w:val="bottom"/>
            <w:hideMark/>
          </w:tcPr>
          <w:p w14:paraId="0FBD330D"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c>
          <w:tcPr>
            <w:tcW w:w="1062" w:type="dxa"/>
            <w:tcBorders>
              <w:top w:val="single" w:sz="4" w:space="0" w:color="auto"/>
              <w:left w:val="nil"/>
              <w:bottom w:val="nil"/>
              <w:right w:val="nil"/>
            </w:tcBorders>
            <w:shd w:val="clear" w:color="auto" w:fill="auto"/>
            <w:noWrap/>
            <w:vAlign w:val="bottom"/>
            <w:hideMark/>
          </w:tcPr>
          <w:p w14:paraId="685C427A"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8</w:t>
            </w:r>
          </w:p>
        </w:tc>
      </w:tr>
      <w:tr w:rsidR="009F1416" w:rsidRPr="008C28EB" w14:paraId="6C110E17" w14:textId="77777777" w:rsidTr="009F1416">
        <w:trPr>
          <w:trHeight w:val="300"/>
        </w:trPr>
        <w:tc>
          <w:tcPr>
            <w:tcW w:w="1100" w:type="dxa"/>
            <w:tcBorders>
              <w:top w:val="nil"/>
              <w:left w:val="nil"/>
              <w:bottom w:val="nil"/>
              <w:right w:val="nil"/>
            </w:tcBorders>
            <w:shd w:val="clear" w:color="auto" w:fill="auto"/>
            <w:noWrap/>
            <w:vAlign w:val="bottom"/>
            <w:hideMark/>
          </w:tcPr>
          <w:p w14:paraId="61BD29DD"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Belgium</w:t>
            </w:r>
          </w:p>
        </w:tc>
        <w:tc>
          <w:tcPr>
            <w:tcW w:w="1116" w:type="dxa"/>
            <w:tcBorders>
              <w:top w:val="nil"/>
              <w:left w:val="nil"/>
              <w:bottom w:val="nil"/>
              <w:right w:val="nil"/>
            </w:tcBorders>
            <w:shd w:val="clear" w:color="auto" w:fill="auto"/>
            <w:noWrap/>
            <w:vAlign w:val="bottom"/>
            <w:hideMark/>
          </w:tcPr>
          <w:p w14:paraId="30FBEF2F"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470" w:type="dxa"/>
            <w:tcBorders>
              <w:top w:val="nil"/>
              <w:left w:val="nil"/>
              <w:bottom w:val="nil"/>
              <w:right w:val="nil"/>
            </w:tcBorders>
            <w:shd w:val="clear" w:color="auto" w:fill="auto"/>
            <w:noWrap/>
            <w:vAlign w:val="bottom"/>
            <w:hideMark/>
          </w:tcPr>
          <w:p w14:paraId="4C13A721"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062" w:type="dxa"/>
            <w:tcBorders>
              <w:top w:val="nil"/>
              <w:left w:val="nil"/>
              <w:bottom w:val="nil"/>
              <w:right w:val="nil"/>
            </w:tcBorders>
            <w:shd w:val="clear" w:color="auto" w:fill="auto"/>
            <w:noWrap/>
            <w:vAlign w:val="bottom"/>
            <w:hideMark/>
          </w:tcPr>
          <w:p w14:paraId="28FF7AA6"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r>
      <w:tr w:rsidR="009F1416" w:rsidRPr="008C28EB" w14:paraId="6E982AD3" w14:textId="77777777" w:rsidTr="009F1416">
        <w:trPr>
          <w:trHeight w:val="300"/>
        </w:trPr>
        <w:tc>
          <w:tcPr>
            <w:tcW w:w="1100" w:type="dxa"/>
            <w:tcBorders>
              <w:top w:val="nil"/>
              <w:left w:val="nil"/>
              <w:bottom w:val="nil"/>
              <w:right w:val="nil"/>
            </w:tcBorders>
            <w:shd w:val="clear" w:color="auto" w:fill="auto"/>
            <w:noWrap/>
            <w:vAlign w:val="bottom"/>
            <w:hideMark/>
          </w:tcPr>
          <w:p w14:paraId="655675C0"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Bulgaria</w:t>
            </w:r>
          </w:p>
        </w:tc>
        <w:tc>
          <w:tcPr>
            <w:tcW w:w="1116" w:type="dxa"/>
            <w:tcBorders>
              <w:top w:val="nil"/>
              <w:left w:val="nil"/>
              <w:bottom w:val="nil"/>
              <w:right w:val="nil"/>
            </w:tcBorders>
            <w:shd w:val="clear" w:color="auto" w:fill="auto"/>
            <w:noWrap/>
            <w:vAlign w:val="bottom"/>
            <w:hideMark/>
          </w:tcPr>
          <w:p w14:paraId="40F02815"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583E8598"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6</w:t>
            </w:r>
          </w:p>
        </w:tc>
        <w:tc>
          <w:tcPr>
            <w:tcW w:w="1062" w:type="dxa"/>
            <w:tcBorders>
              <w:top w:val="nil"/>
              <w:left w:val="nil"/>
              <w:bottom w:val="nil"/>
              <w:right w:val="nil"/>
            </w:tcBorders>
            <w:shd w:val="clear" w:color="auto" w:fill="auto"/>
            <w:noWrap/>
            <w:vAlign w:val="bottom"/>
            <w:hideMark/>
          </w:tcPr>
          <w:p w14:paraId="7197FB7F"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6</w:t>
            </w:r>
          </w:p>
        </w:tc>
      </w:tr>
      <w:tr w:rsidR="009F1416" w:rsidRPr="008C28EB" w14:paraId="05A3BF74" w14:textId="77777777" w:rsidTr="009F1416">
        <w:trPr>
          <w:trHeight w:val="300"/>
        </w:trPr>
        <w:tc>
          <w:tcPr>
            <w:tcW w:w="1100" w:type="dxa"/>
            <w:tcBorders>
              <w:top w:val="nil"/>
              <w:left w:val="nil"/>
              <w:bottom w:val="nil"/>
              <w:right w:val="nil"/>
            </w:tcBorders>
            <w:shd w:val="clear" w:color="auto" w:fill="auto"/>
            <w:noWrap/>
            <w:vAlign w:val="bottom"/>
            <w:hideMark/>
          </w:tcPr>
          <w:p w14:paraId="5EAFCBE0"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Croatia</w:t>
            </w:r>
          </w:p>
        </w:tc>
        <w:tc>
          <w:tcPr>
            <w:tcW w:w="1116" w:type="dxa"/>
            <w:tcBorders>
              <w:top w:val="nil"/>
              <w:left w:val="nil"/>
              <w:bottom w:val="nil"/>
              <w:right w:val="nil"/>
            </w:tcBorders>
            <w:shd w:val="clear" w:color="auto" w:fill="auto"/>
            <w:noWrap/>
            <w:vAlign w:val="bottom"/>
            <w:hideMark/>
          </w:tcPr>
          <w:p w14:paraId="192D2785"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7451D64E"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11</w:t>
            </w:r>
          </w:p>
        </w:tc>
        <w:tc>
          <w:tcPr>
            <w:tcW w:w="1062" w:type="dxa"/>
            <w:tcBorders>
              <w:top w:val="nil"/>
              <w:left w:val="nil"/>
              <w:bottom w:val="nil"/>
              <w:right w:val="nil"/>
            </w:tcBorders>
            <w:shd w:val="clear" w:color="auto" w:fill="auto"/>
            <w:noWrap/>
            <w:vAlign w:val="bottom"/>
            <w:hideMark/>
          </w:tcPr>
          <w:p w14:paraId="029768FF"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11</w:t>
            </w:r>
          </w:p>
        </w:tc>
      </w:tr>
      <w:tr w:rsidR="009F1416" w:rsidRPr="008C28EB" w14:paraId="67D2BB7E" w14:textId="77777777" w:rsidTr="009F1416">
        <w:trPr>
          <w:trHeight w:val="300"/>
        </w:trPr>
        <w:tc>
          <w:tcPr>
            <w:tcW w:w="1100" w:type="dxa"/>
            <w:tcBorders>
              <w:top w:val="nil"/>
              <w:left w:val="nil"/>
              <w:bottom w:val="nil"/>
              <w:right w:val="nil"/>
            </w:tcBorders>
            <w:shd w:val="clear" w:color="auto" w:fill="auto"/>
            <w:noWrap/>
            <w:vAlign w:val="bottom"/>
            <w:hideMark/>
          </w:tcPr>
          <w:p w14:paraId="75F47D30"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Cyprus</w:t>
            </w:r>
          </w:p>
        </w:tc>
        <w:tc>
          <w:tcPr>
            <w:tcW w:w="1116" w:type="dxa"/>
            <w:tcBorders>
              <w:top w:val="nil"/>
              <w:left w:val="nil"/>
              <w:bottom w:val="nil"/>
              <w:right w:val="nil"/>
            </w:tcBorders>
            <w:shd w:val="clear" w:color="auto" w:fill="auto"/>
            <w:noWrap/>
            <w:vAlign w:val="bottom"/>
            <w:hideMark/>
          </w:tcPr>
          <w:p w14:paraId="3F73862D"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470" w:type="dxa"/>
            <w:tcBorders>
              <w:top w:val="nil"/>
              <w:left w:val="nil"/>
              <w:bottom w:val="nil"/>
              <w:right w:val="nil"/>
            </w:tcBorders>
            <w:shd w:val="clear" w:color="auto" w:fill="auto"/>
            <w:noWrap/>
            <w:vAlign w:val="bottom"/>
            <w:hideMark/>
          </w:tcPr>
          <w:p w14:paraId="4DEF3EB1"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062" w:type="dxa"/>
            <w:tcBorders>
              <w:top w:val="nil"/>
              <w:left w:val="nil"/>
              <w:bottom w:val="nil"/>
              <w:right w:val="nil"/>
            </w:tcBorders>
            <w:shd w:val="clear" w:color="auto" w:fill="auto"/>
            <w:noWrap/>
            <w:vAlign w:val="bottom"/>
            <w:hideMark/>
          </w:tcPr>
          <w:p w14:paraId="6E44FE0A"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3</w:t>
            </w:r>
          </w:p>
        </w:tc>
      </w:tr>
      <w:tr w:rsidR="009F1416" w:rsidRPr="008C28EB" w14:paraId="575923B0" w14:textId="77777777" w:rsidTr="009F1416">
        <w:trPr>
          <w:trHeight w:val="300"/>
        </w:trPr>
        <w:tc>
          <w:tcPr>
            <w:tcW w:w="2216" w:type="dxa"/>
            <w:gridSpan w:val="2"/>
            <w:tcBorders>
              <w:top w:val="nil"/>
              <w:left w:val="nil"/>
              <w:bottom w:val="nil"/>
              <w:right w:val="nil"/>
            </w:tcBorders>
            <w:shd w:val="clear" w:color="auto" w:fill="auto"/>
            <w:noWrap/>
            <w:vAlign w:val="bottom"/>
            <w:hideMark/>
          </w:tcPr>
          <w:p w14:paraId="1A6FC657"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Czech Republic</w:t>
            </w:r>
          </w:p>
        </w:tc>
        <w:tc>
          <w:tcPr>
            <w:tcW w:w="1470" w:type="dxa"/>
            <w:tcBorders>
              <w:top w:val="nil"/>
              <w:left w:val="nil"/>
              <w:bottom w:val="nil"/>
              <w:right w:val="nil"/>
            </w:tcBorders>
            <w:shd w:val="clear" w:color="auto" w:fill="auto"/>
            <w:noWrap/>
            <w:vAlign w:val="bottom"/>
            <w:hideMark/>
          </w:tcPr>
          <w:p w14:paraId="4D18AADB"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062" w:type="dxa"/>
            <w:tcBorders>
              <w:top w:val="nil"/>
              <w:left w:val="nil"/>
              <w:bottom w:val="nil"/>
              <w:right w:val="nil"/>
            </w:tcBorders>
            <w:shd w:val="clear" w:color="auto" w:fill="auto"/>
            <w:noWrap/>
            <w:vAlign w:val="bottom"/>
            <w:hideMark/>
          </w:tcPr>
          <w:p w14:paraId="465F76B0"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r>
      <w:tr w:rsidR="009F1416" w:rsidRPr="008C28EB" w14:paraId="5012AA5C" w14:textId="77777777" w:rsidTr="009F1416">
        <w:trPr>
          <w:trHeight w:val="300"/>
        </w:trPr>
        <w:tc>
          <w:tcPr>
            <w:tcW w:w="1100" w:type="dxa"/>
            <w:tcBorders>
              <w:top w:val="nil"/>
              <w:left w:val="nil"/>
              <w:bottom w:val="nil"/>
              <w:right w:val="nil"/>
            </w:tcBorders>
            <w:shd w:val="clear" w:color="auto" w:fill="auto"/>
            <w:noWrap/>
            <w:vAlign w:val="bottom"/>
            <w:hideMark/>
          </w:tcPr>
          <w:p w14:paraId="11BB0A68"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Denmark</w:t>
            </w:r>
          </w:p>
        </w:tc>
        <w:tc>
          <w:tcPr>
            <w:tcW w:w="1116" w:type="dxa"/>
            <w:tcBorders>
              <w:top w:val="nil"/>
              <w:left w:val="nil"/>
              <w:bottom w:val="nil"/>
              <w:right w:val="nil"/>
            </w:tcBorders>
            <w:shd w:val="clear" w:color="auto" w:fill="auto"/>
            <w:noWrap/>
            <w:vAlign w:val="bottom"/>
            <w:hideMark/>
          </w:tcPr>
          <w:p w14:paraId="4F8AE7BC"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1EE8FABB"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24</w:t>
            </w:r>
          </w:p>
        </w:tc>
        <w:tc>
          <w:tcPr>
            <w:tcW w:w="1062" w:type="dxa"/>
            <w:tcBorders>
              <w:top w:val="nil"/>
              <w:left w:val="nil"/>
              <w:bottom w:val="nil"/>
              <w:right w:val="nil"/>
            </w:tcBorders>
            <w:shd w:val="clear" w:color="auto" w:fill="auto"/>
            <w:noWrap/>
            <w:vAlign w:val="bottom"/>
            <w:hideMark/>
          </w:tcPr>
          <w:p w14:paraId="6AE78CD5"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24</w:t>
            </w:r>
          </w:p>
        </w:tc>
      </w:tr>
      <w:tr w:rsidR="009F1416" w:rsidRPr="008C28EB" w14:paraId="006D0FF5" w14:textId="77777777" w:rsidTr="009F1416">
        <w:trPr>
          <w:trHeight w:val="300"/>
        </w:trPr>
        <w:tc>
          <w:tcPr>
            <w:tcW w:w="1100" w:type="dxa"/>
            <w:tcBorders>
              <w:top w:val="nil"/>
              <w:left w:val="nil"/>
              <w:bottom w:val="nil"/>
              <w:right w:val="nil"/>
            </w:tcBorders>
            <w:shd w:val="clear" w:color="auto" w:fill="auto"/>
            <w:noWrap/>
            <w:vAlign w:val="bottom"/>
            <w:hideMark/>
          </w:tcPr>
          <w:p w14:paraId="771E634F"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Finland</w:t>
            </w:r>
          </w:p>
        </w:tc>
        <w:tc>
          <w:tcPr>
            <w:tcW w:w="1116" w:type="dxa"/>
            <w:tcBorders>
              <w:top w:val="nil"/>
              <w:left w:val="nil"/>
              <w:bottom w:val="nil"/>
              <w:right w:val="nil"/>
            </w:tcBorders>
            <w:shd w:val="clear" w:color="auto" w:fill="auto"/>
            <w:noWrap/>
            <w:vAlign w:val="bottom"/>
            <w:hideMark/>
          </w:tcPr>
          <w:p w14:paraId="63D4D05F"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764AC452"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062" w:type="dxa"/>
            <w:tcBorders>
              <w:top w:val="nil"/>
              <w:left w:val="nil"/>
              <w:bottom w:val="nil"/>
              <w:right w:val="nil"/>
            </w:tcBorders>
            <w:shd w:val="clear" w:color="auto" w:fill="auto"/>
            <w:noWrap/>
            <w:vAlign w:val="bottom"/>
            <w:hideMark/>
          </w:tcPr>
          <w:p w14:paraId="2D5A68A3"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r>
      <w:tr w:rsidR="009F1416" w:rsidRPr="008C28EB" w14:paraId="4C526CE5" w14:textId="77777777" w:rsidTr="009F1416">
        <w:trPr>
          <w:trHeight w:val="300"/>
        </w:trPr>
        <w:tc>
          <w:tcPr>
            <w:tcW w:w="1100" w:type="dxa"/>
            <w:tcBorders>
              <w:top w:val="nil"/>
              <w:left w:val="nil"/>
              <w:bottom w:val="nil"/>
              <w:right w:val="nil"/>
            </w:tcBorders>
            <w:shd w:val="clear" w:color="auto" w:fill="auto"/>
            <w:noWrap/>
            <w:vAlign w:val="bottom"/>
            <w:hideMark/>
          </w:tcPr>
          <w:p w14:paraId="7309DC34"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France</w:t>
            </w:r>
          </w:p>
        </w:tc>
        <w:tc>
          <w:tcPr>
            <w:tcW w:w="1116" w:type="dxa"/>
            <w:tcBorders>
              <w:top w:val="nil"/>
              <w:left w:val="nil"/>
              <w:bottom w:val="nil"/>
              <w:right w:val="nil"/>
            </w:tcBorders>
            <w:shd w:val="clear" w:color="auto" w:fill="auto"/>
            <w:noWrap/>
            <w:vAlign w:val="bottom"/>
            <w:hideMark/>
          </w:tcPr>
          <w:p w14:paraId="5C51AB8E"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5</w:t>
            </w:r>
          </w:p>
        </w:tc>
        <w:tc>
          <w:tcPr>
            <w:tcW w:w="1470" w:type="dxa"/>
            <w:tcBorders>
              <w:top w:val="nil"/>
              <w:left w:val="nil"/>
              <w:bottom w:val="nil"/>
              <w:right w:val="nil"/>
            </w:tcBorders>
            <w:shd w:val="clear" w:color="auto" w:fill="auto"/>
            <w:noWrap/>
            <w:vAlign w:val="bottom"/>
            <w:hideMark/>
          </w:tcPr>
          <w:p w14:paraId="442F44EC"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062" w:type="dxa"/>
            <w:tcBorders>
              <w:top w:val="nil"/>
              <w:left w:val="nil"/>
              <w:bottom w:val="nil"/>
              <w:right w:val="nil"/>
            </w:tcBorders>
            <w:shd w:val="clear" w:color="auto" w:fill="auto"/>
            <w:noWrap/>
            <w:vAlign w:val="bottom"/>
            <w:hideMark/>
          </w:tcPr>
          <w:p w14:paraId="6473DF82"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5</w:t>
            </w:r>
          </w:p>
        </w:tc>
      </w:tr>
      <w:tr w:rsidR="009F1416" w:rsidRPr="008C28EB" w14:paraId="49DEA0BC" w14:textId="77777777" w:rsidTr="009F1416">
        <w:trPr>
          <w:trHeight w:val="300"/>
        </w:trPr>
        <w:tc>
          <w:tcPr>
            <w:tcW w:w="1100" w:type="dxa"/>
            <w:tcBorders>
              <w:top w:val="nil"/>
              <w:left w:val="nil"/>
              <w:bottom w:val="nil"/>
              <w:right w:val="nil"/>
            </w:tcBorders>
            <w:shd w:val="clear" w:color="auto" w:fill="auto"/>
            <w:noWrap/>
            <w:vAlign w:val="bottom"/>
            <w:hideMark/>
          </w:tcPr>
          <w:p w14:paraId="112871E6"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Germany</w:t>
            </w:r>
          </w:p>
        </w:tc>
        <w:tc>
          <w:tcPr>
            <w:tcW w:w="1116" w:type="dxa"/>
            <w:tcBorders>
              <w:top w:val="nil"/>
              <w:left w:val="nil"/>
              <w:bottom w:val="nil"/>
              <w:right w:val="nil"/>
            </w:tcBorders>
            <w:shd w:val="clear" w:color="auto" w:fill="auto"/>
            <w:noWrap/>
            <w:vAlign w:val="bottom"/>
            <w:hideMark/>
          </w:tcPr>
          <w:p w14:paraId="57A63CD3"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3</w:t>
            </w:r>
          </w:p>
        </w:tc>
        <w:tc>
          <w:tcPr>
            <w:tcW w:w="1470" w:type="dxa"/>
            <w:tcBorders>
              <w:top w:val="nil"/>
              <w:left w:val="nil"/>
              <w:bottom w:val="nil"/>
              <w:right w:val="nil"/>
            </w:tcBorders>
            <w:shd w:val="clear" w:color="auto" w:fill="auto"/>
            <w:noWrap/>
            <w:vAlign w:val="bottom"/>
            <w:hideMark/>
          </w:tcPr>
          <w:p w14:paraId="1F78544E"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5</w:t>
            </w:r>
          </w:p>
        </w:tc>
        <w:tc>
          <w:tcPr>
            <w:tcW w:w="1062" w:type="dxa"/>
            <w:tcBorders>
              <w:top w:val="nil"/>
              <w:left w:val="nil"/>
              <w:bottom w:val="nil"/>
              <w:right w:val="nil"/>
            </w:tcBorders>
            <w:shd w:val="clear" w:color="auto" w:fill="auto"/>
            <w:noWrap/>
            <w:vAlign w:val="bottom"/>
            <w:hideMark/>
          </w:tcPr>
          <w:p w14:paraId="6646EC28"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8</w:t>
            </w:r>
          </w:p>
        </w:tc>
      </w:tr>
      <w:tr w:rsidR="009F1416" w:rsidRPr="008C28EB" w14:paraId="3369084D" w14:textId="77777777" w:rsidTr="009F1416">
        <w:trPr>
          <w:trHeight w:val="300"/>
        </w:trPr>
        <w:tc>
          <w:tcPr>
            <w:tcW w:w="1100" w:type="dxa"/>
            <w:tcBorders>
              <w:top w:val="nil"/>
              <w:left w:val="nil"/>
              <w:bottom w:val="nil"/>
              <w:right w:val="nil"/>
            </w:tcBorders>
            <w:shd w:val="clear" w:color="auto" w:fill="auto"/>
            <w:noWrap/>
            <w:vAlign w:val="bottom"/>
            <w:hideMark/>
          </w:tcPr>
          <w:p w14:paraId="7CC91CD7"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Greece</w:t>
            </w:r>
          </w:p>
        </w:tc>
        <w:tc>
          <w:tcPr>
            <w:tcW w:w="1116" w:type="dxa"/>
            <w:tcBorders>
              <w:top w:val="nil"/>
              <w:left w:val="nil"/>
              <w:bottom w:val="nil"/>
              <w:right w:val="nil"/>
            </w:tcBorders>
            <w:shd w:val="clear" w:color="auto" w:fill="auto"/>
            <w:noWrap/>
            <w:vAlign w:val="bottom"/>
            <w:hideMark/>
          </w:tcPr>
          <w:p w14:paraId="4A646E6C"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c>
          <w:tcPr>
            <w:tcW w:w="1470" w:type="dxa"/>
            <w:tcBorders>
              <w:top w:val="nil"/>
              <w:left w:val="nil"/>
              <w:bottom w:val="nil"/>
              <w:right w:val="nil"/>
            </w:tcBorders>
            <w:shd w:val="clear" w:color="auto" w:fill="auto"/>
            <w:noWrap/>
            <w:vAlign w:val="bottom"/>
            <w:hideMark/>
          </w:tcPr>
          <w:p w14:paraId="09ED0B11"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3</w:t>
            </w:r>
          </w:p>
        </w:tc>
        <w:tc>
          <w:tcPr>
            <w:tcW w:w="1062" w:type="dxa"/>
            <w:tcBorders>
              <w:top w:val="nil"/>
              <w:left w:val="nil"/>
              <w:bottom w:val="nil"/>
              <w:right w:val="nil"/>
            </w:tcBorders>
            <w:shd w:val="clear" w:color="auto" w:fill="auto"/>
            <w:noWrap/>
            <w:vAlign w:val="bottom"/>
            <w:hideMark/>
          </w:tcPr>
          <w:p w14:paraId="65CE38E1"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7</w:t>
            </w:r>
          </w:p>
        </w:tc>
      </w:tr>
      <w:tr w:rsidR="009F1416" w:rsidRPr="008C28EB" w14:paraId="4B69CA67" w14:textId="77777777" w:rsidTr="009F1416">
        <w:trPr>
          <w:trHeight w:val="300"/>
        </w:trPr>
        <w:tc>
          <w:tcPr>
            <w:tcW w:w="1100" w:type="dxa"/>
            <w:tcBorders>
              <w:top w:val="nil"/>
              <w:left w:val="nil"/>
              <w:bottom w:val="nil"/>
              <w:right w:val="nil"/>
            </w:tcBorders>
            <w:shd w:val="clear" w:color="auto" w:fill="auto"/>
            <w:noWrap/>
            <w:vAlign w:val="bottom"/>
            <w:hideMark/>
          </w:tcPr>
          <w:p w14:paraId="5F702F6A"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Hungary</w:t>
            </w:r>
          </w:p>
        </w:tc>
        <w:tc>
          <w:tcPr>
            <w:tcW w:w="1116" w:type="dxa"/>
            <w:tcBorders>
              <w:top w:val="nil"/>
              <w:left w:val="nil"/>
              <w:bottom w:val="nil"/>
              <w:right w:val="nil"/>
            </w:tcBorders>
            <w:shd w:val="clear" w:color="auto" w:fill="auto"/>
            <w:noWrap/>
            <w:vAlign w:val="bottom"/>
            <w:hideMark/>
          </w:tcPr>
          <w:p w14:paraId="6DD7CD3F"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0AE9DEA1"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062" w:type="dxa"/>
            <w:tcBorders>
              <w:top w:val="nil"/>
              <w:left w:val="nil"/>
              <w:bottom w:val="nil"/>
              <w:right w:val="nil"/>
            </w:tcBorders>
            <w:shd w:val="clear" w:color="auto" w:fill="auto"/>
            <w:noWrap/>
            <w:vAlign w:val="bottom"/>
            <w:hideMark/>
          </w:tcPr>
          <w:p w14:paraId="490E79F7"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r>
      <w:tr w:rsidR="009F1416" w:rsidRPr="008C28EB" w14:paraId="42A8A184" w14:textId="77777777" w:rsidTr="009F1416">
        <w:trPr>
          <w:trHeight w:val="300"/>
        </w:trPr>
        <w:tc>
          <w:tcPr>
            <w:tcW w:w="1100" w:type="dxa"/>
            <w:tcBorders>
              <w:top w:val="nil"/>
              <w:left w:val="nil"/>
              <w:bottom w:val="nil"/>
              <w:right w:val="nil"/>
            </w:tcBorders>
            <w:shd w:val="clear" w:color="auto" w:fill="auto"/>
            <w:noWrap/>
            <w:vAlign w:val="bottom"/>
            <w:hideMark/>
          </w:tcPr>
          <w:p w14:paraId="3486AACF"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Ireland</w:t>
            </w:r>
          </w:p>
        </w:tc>
        <w:tc>
          <w:tcPr>
            <w:tcW w:w="1116" w:type="dxa"/>
            <w:tcBorders>
              <w:top w:val="nil"/>
              <w:left w:val="nil"/>
              <w:bottom w:val="nil"/>
              <w:right w:val="nil"/>
            </w:tcBorders>
            <w:shd w:val="clear" w:color="auto" w:fill="auto"/>
            <w:noWrap/>
            <w:vAlign w:val="bottom"/>
            <w:hideMark/>
          </w:tcPr>
          <w:p w14:paraId="2D53956D"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470" w:type="dxa"/>
            <w:tcBorders>
              <w:top w:val="nil"/>
              <w:left w:val="nil"/>
              <w:bottom w:val="nil"/>
              <w:right w:val="nil"/>
            </w:tcBorders>
            <w:shd w:val="clear" w:color="auto" w:fill="auto"/>
            <w:noWrap/>
            <w:vAlign w:val="bottom"/>
            <w:hideMark/>
          </w:tcPr>
          <w:p w14:paraId="7A984259"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062" w:type="dxa"/>
            <w:tcBorders>
              <w:top w:val="nil"/>
              <w:left w:val="nil"/>
              <w:bottom w:val="nil"/>
              <w:right w:val="nil"/>
            </w:tcBorders>
            <w:shd w:val="clear" w:color="auto" w:fill="auto"/>
            <w:noWrap/>
            <w:vAlign w:val="bottom"/>
            <w:hideMark/>
          </w:tcPr>
          <w:p w14:paraId="3E3642AC"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r>
      <w:tr w:rsidR="009F1416" w:rsidRPr="008C28EB" w14:paraId="028ADEDE" w14:textId="77777777" w:rsidTr="009F1416">
        <w:trPr>
          <w:trHeight w:val="300"/>
        </w:trPr>
        <w:tc>
          <w:tcPr>
            <w:tcW w:w="1100" w:type="dxa"/>
            <w:tcBorders>
              <w:top w:val="nil"/>
              <w:left w:val="nil"/>
              <w:bottom w:val="nil"/>
              <w:right w:val="nil"/>
            </w:tcBorders>
            <w:shd w:val="clear" w:color="auto" w:fill="auto"/>
            <w:noWrap/>
            <w:vAlign w:val="bottom"/>
            <w:hideMark/>
          </w:tcPr>
          <w:p w14:paraId="5A492768"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Italy</w:t>
            </w:r>
          </w:p>
        </w:tc>
        <w:tc>
          <w:tcPr>
            <w:tcW w:w="1116" w:type="dxa"/>
            <w:tcBorders>
              <w:top w:val="nil"/>
              <w:left w:val="nil"/>
              <w:bottom w:val="nil"/>
              <w:right w:val="nil"/>
            </w:tcBorders>
            <w:shd w:val="clear" w:color="auto" w:fill="auto"/>
            <w:noWrap/>
            <w:vAlign w:val="bottom"/>
            <w:hideMark/>
          </w:tcPr>
          <w:p w14:paraId="4379B48C"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12</w:t>
            </w:r>
          </w:p>
        </w:tc>
        <w:tc>
          <w:tcPr>
            <w:tcW w:w="1470" w:type="dxa"/>
            <w:tcBorders>
              <w:top w:val="nil"/>
              <w:left w:val="nil"/>
              <w:bottom w:val="nil"/>
              <w:right w:val="nil"/>
            </w:tcBorders>
            <w:shd w:val="clear" w:color="auto" w:fill="auto"/>
            <w:noWrap/>
            <w:vAlign w:val="bottom"/>
            <w:hideMark/>
          </w:tcPr>
          <w:p w14:paraId="2F102AB0"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c>
          <w:tcPr>
            <w:tcW w:w="1062" w:type="dxa"/>
            <w:tcBorders>
              <w:top w:val="nil"/>
              <w:left w:val="nil"/>
              <w:bottom w:val="nil"/>
              <w:right w:val="nil"/>
            </w:tcBorders>
            <w:shd w:val="clear" w:color="auto" w:fill="auto"/>
            <w:noWrap/>
            <w:vAlign w:val="bottom"/>
            <w:hideMark/>
          </w:tcPr>
          <w:p w14:paraId="1A4274E3"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16</w:t>
            </w:r>
          </w:p>
        </w:tc>
      </w:tr>
      <w:tr w:rsidR="009F1416" w:rsidRPr="008C28EB" w14:paraId="26477CB9" w14:textId="77777777" w:rsidTr="009F1416">
        <w:trPr>
          <w:trHeight w:val="300"/>
        </w:trPr>
        <w:tc>
          <w:tcPr>
            <w:tcW w:w="1100" w:type="dxa"/>
            <w:tcBorders>
              <w:top w:val="nil"/>
              <w:left w:val="nil"/>
              <w:bottom w:val="nil"/>
              <w:right w:val="nil"/>
            </w:tcBorders>
            <w:shd w:val="clear" w:color="auto" w:fill="auto"/>
            <w:noWrap/>
            <w:vAlign w:val="bottom"/>
            <w:hideMark/>
          </w:tcPr>
          <w:p w14:paraId="2494992E"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Lithuania</w:t>
            </w:r>
          </w:p>
        </w:tc>
        <w:tc>
          <w:tcPr>
            <w:tcW w:w="1116" w:type="dxa"/>
            <w:tcBorders>
              <w:top w:val="nil"/>
              <w:left w:val="nil"/>
              <w:bottom w:val="nil"/>
              <w:right w:val="nil"/>
            </w:tcBorders>
            <w:shd w:val="clear" w:color="auto" w:fill="auto"/>
            <w:noWrap/>
            <w:vAlign w:val="bottom"/>
            <w:hideMark/>
          </w:tcPr>
          <w:p w14:paraId="73C54BD5"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72FB1E37"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062" w:type="dxa"/>
            <w:tcBorders>
              <w:top w:val="nil"/>
              <w:left w:val="nil"/>
              <w:bottom w:val="nil"/>
              <w:right w:val="nil"/>
            </w:tcBorders>
            <w:shd w:val="clear" w:color="auto" w:fill="auto"/>
            <w:noWrap/>
            <w:vAlign w:val="bottom"/>
            <w:hideMark/>
          </w:tcPr>
          <w:p w14:paraId="26C31D4B"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r>
      <w:tr w:rsidR="009F1416" w:rsidRPr="008C28EB" w14:paraId="1769C47F" w14:textId="77777777" w:rsidTr="009F1416">
        <w:trPr>
          <w:trHeight w:val="300"/>
        </w:trPr>
        <w:tc>
          <w:tcPr>
            <w:tcW w:w="2216" w:type="dxa"/>
            <w:gridSpan w:val="2"/>
            <w:tcBorders>
              <w:top w:val="nil"/>
              <w:left w:val="nil"/>
              <w:bottom w:val="nil"/>
              <w:right w:val="nil"/>
            </w:tcBorders>
            <w:shd w:val="clear" w:color="auto" w:fill="auto"/>
            <w:noWrap/>
            <w:vAlign w:val="bottom"/>
            <w:hideMark/>
          </w:tcPr>
          <w:p w14:paraId="1F887AB5"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Luxembourg</w:t>
            </w:r>
          </w:p>
        </w:tc>
        <w:tc>
          <w:tcPr>
            <w:tcW w:w="1470" w:type="dxa"/>
            <w:tcBorders>
              <w:top w:val="nil"/>
              <w:left w:val="nil"/>
              <w:bottom w:val="nil"/>
              <w:right w:val="nil"/>
            </w:tcBorders>
            <w:shd w:val="clear" w:color="auto" w:fill="auto"/>
            <w:noWrap/>
            <w:vAlign w:val="bottom"/>
            <w:hideMark/>
          </w:tcPr>
          <w:p w14:paraId="51D83FC1"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062" w:type="dxa"/>
            <w:tcBorders>
              <w:top w:val="nil"/>
              <w:left w:val="nil"/>
              <w:bottom w:val="nil"/>
              <w:right w:val="nil"/>
            </w:tcBorders>
            <w:shd w:val="clear" w:color="auto" w:fill="auto"/>
            <w:noWrap/>
            <w:vAlign w:val="bottom"/>
            <w:hideMark/>
          </w:tcPr>
          <w:p w14:paraId="7012AC52"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r>
      <w:tr w:rsidR="009F1416" w:rsidRPr="008C28EB" w14:paraId="26F66665" w14:textId="77777777" w:rsidTr="009F1416">
        <w:trPr>
          <w:trHeight w:val="300"/>
        </w:trPr>
        <w:tc>
          <w:tcPr>
            <w:tcW w:w="1100" w:type="dxa"/>
            <w:tcBorders>
              <w:top w:val="nil"/>
              <w:left w:val="nil"/>
              <w:bottom w:val="nil"/>
              <w:right w:val="nil"/>
            </w:tcBorders>
            <w:shd w:val="clear" w:color="auto" w:fill="auto"/>
            <w:noWrap/>
            <w:vAlign w:val="bottom"/>
            <w:hideMark/>
          </w:tcPr>
          <w:p w14:paraId="4FA3F59B"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Malta</w:t>
            </w:r>
          </w:p>
        </w:tc>
        <w:tc>
          <w:tcPr>
            <w:tcW w:w="1116" w:type="dxa"/>
            <w:tcBorders>
              <w:top w:val="nil"/>
              <w:left w:val="nil"/>
              <w:bottom w:val="nil"/>
              <w:right w:val="nil"/>
            </w:tcBorders>
            <w:shd w:val="clear" w:color="auto" w:fill="auto"/>
            <w:noWrap/>
            <w:vAlign w:val="bottom"/>
            <w:hideMark/>
          </w:tcPr>
          <w:p w14:paraId="6012215C"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470" w:type="dxa"/>
            <w:tcBorders>
              <w:top w:val="nil"/>
              <w:left w:val="nil"/>
              <w:bottom w:val="nil"/>
              <w:right w:val="nil"/>
            </w:tcBorders>
            <w:shd w:val="clear" w:color="auto" w:fill="auto"/>
            <w:noWrap/>
            <w:vAlign w:val="bottom"/>
            <w:hideMark/>
          </w:tcPr>
          <w:p w14:paraId="3296AF66"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062" w:type="dxa"/>
            <w:tcBorders>
              <w:top w:val="nil"/>
              <w:left w:val="nil"/>
              <w:bottom w:val="nil"/>
              <w:right w:val="nil"/>
            </w:tcBorders>
            <w:shd w:val="clear" w:color="auto" w:fill="auto"/>
            <w:noWrap/>
            <w:vAlign w:val="bottom"/>
            <w:hideMark/>
          </w:tcPr>
          <w:p w14:paraId="59D3A1E3"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r>
      <w:tr w:rsidR="009F1416" w:rsidRPr="008C28EB" w14:paraId="129E725F" w14:textId="77777777" w:rsidTr="009F1416">
        <w:trPr>
          <w:trHeight w:val="300"/>
        </w:trPr>
        <w:tc>
          <w:tcPr>
            <w:tcW w:w="1100" w:type="dxa"/>
            <w:tcBorders>
              <w:top w:val="nil"/>
              <w:left w:val="nil"/>
              <w:bottom w:val="nil"/>
              <w:right w:val="nil"/>
            </w:tcBorders>
            <w:shd w:val="clear" w:color="auto" w:fill="auto"/>
            <w:noWrap/>
            <w:vAlign w:val="bottom"/>
            <w:hideMark/>
          </w:tcPr>
          <w:p w14:paraId="55C2FDDE"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Netherlands</w:t>
            </w:r>
          </w:p>
        </w:tc>
        <w:tc>
          <w:tcPr>
            <w:tcW w:w="1116" w:type="dxa"/>
            <w:tcBorders>
              <w:top w:val="nil"/>
              <w:left w:val="nil"/>
              <w:bottom w:val="nil"/>
              <w:right w:val="nil"/>
            </w:tcBorders>
            <w:shd w:val="clear" w:color="auto" w:fill="auto"/>
            <w:noWrap/>
            <w:vAlign w:val="bottom"/>
            <w:hideMark/>
          </w:tcPr>
          <w:p w14:paraId="34920AEF"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470" w:type="dxa"/>
            <w:tcBorders>
              <w:top w:val="nil"/>
              <w:left w:val="nil"/>
              <w:bottom w:val="nil"/>
              <w:right w:val="nil"/>
            </w:tcBorders>
            <w:shd w:val="clear" w:color="auto" w:fill="auto"/>
            <w:noWrap/>
            <w:vAlign w:val="bottom"/>
            <w:hideMark/>
          </w:tcPr>
          <w:p w14:paraId="61BA5222"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062" w:type="dxa"/>
            <w:tcBorders>
              <w:top w:val="nil"/>
              <w:left w:val="nil"/>
              <w:bottom w:val="nil"/>
              <w:right w:val="nil"/>
            </w:tcBorders>
            <w:shd w:val="clear" w:color="auto" w:fill="auto"/>
            <w:noWrap/>
            <w:vAlign w:val="bottom"/>
            <w:hideMark/>
          </w:tcPr>
          <w:p w14:paraId="43EDBDFD"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3</w:t>
            </w:r>
          </w:p>
        </w:tc>
      </w:tr>
      <w:tr w:rsidR="009F1416" w:rsidRPr="008C28EB" w14:paraId="52593CBD" w14:textId="77777777" w:rsidTr="009F1416">
        <w:trPr>
          <w:trHeight w:val="300"/>
        </w:trPr>
        <w:tc>
          <w:tcPr>
            <w:tcW w:w="1100" w:type="dxa"/>
            <w:tcBorders>
              <w:top w:val="nil"/>
              <w:left w:val="nil"/>
              <w:bottom w:val="nil"/>
              <w:right w:val="nil"/>
            </w:tcBorders>
            <w:shd w:val="clear" w:color="auto" w:fill="auto"/>
            <w:noWrap/>
            <w:vAlign w:val="bottom"/>
            <w:hideMark/>
          </w:tcPr>
          <w:p w14:paraId="639669B8"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Poland</w:t>
            </w:r>
          </w:p>
        </w:tc>
        <w:tc>
          <w:tcPr>
            <w:tcW w:w="1116" w:type="dxa"/>
            <w:tcBorders>
              <w:top w:val="nil"/>
              <w:left w:val="nil"/>
              <w:bottom w:val="nil"/>
              <w:right w:val="nil"/>
            </w:tcBorders>
            <w:shd w:val="clear" w:color="auto" w:fill="auto"/>
            <w:noWrap/>
            <w:vAlign w:val="bottom"/>
            <w:hideMark/>
          </w:tcPr>
          <w:p w14:paraId="1C62B56D"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11D6DA90"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15</w:t>
            </w:r>
          </w:p>
        </w:tc>
        <w:tc>
          <w:tcPr>
            <w:tcW w:w="1062" w:type="dxa"/>
            <w:tcBorders>
              <w:top w:val="nil"/>
              <w:left w:val="nil"/>
              <w:bottom w:val="nil"/>
              <w:right w:val="nil"/>
            </w:tcBorders>
            <w:shd w:val="clear" w:color="auto" w:fill="auto"/>
            <w:noWrap/>
            <w:vAlign w:val="bottom"/>
            <w:hideMark/>
          </w:tcPr>
          <w:p w14:paraId="7A8B701F"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15</w:t>
            </w:r>
          </w:p>
        </w:tc>
      </w:tr>
      <w:tr w:rsidR="009F1416" w:rsidRPr="008C28EB" w14:paraId="35841091" w14:textId="77777777" w:rsidTr="009F1416">
        <w:trPr>
          <w:trHeight w:val="300"/>
        </w:trPr>
        <w:tc>
          <w:tcPr>
            <w:tcW w:w="1100" w:type="dxa"/>
            <w:tcBorders>
              <w:top w:val="nil"/>
              <w:left w:val="nil"/>
              <w:bottom w:val="nil"/>
              <w:right w:val="nil"/>
            </w:tcBorders>
            <w:shd w:val="clear" w:color="auto" w:fill="auto"/>
            <w:noWrap/>
            <w:vAlign w:val="bottom"/>
            <w:hideMark/>
          </w:tcPr>
          <w:p w14:paraId="447BF2A8"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Portugal</w:t>
            </w:r>
          </w:p>
        </w:tc>
        <w:tc>
          <w:tcPr>
            <w:tcW w:w="1116" w:type="dxa"/>
            <w:tcBorders>
              <w:top w:val="nil"/>
              <w:left w:val="nil"/>
              <w:bottom w:val="nil"/>
              <w:right w:val="nil"/>
            </w:tcBorders>
            <w:shd w:val="clear" w:color="auto" w:fill="auto"/>
            <w:noWrap/>
            <w:vAlign w:val="bottom"/>
            <w:hideMark/>
          </w:tcPr>
          <w:p w14:paraId="6218E242"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470" w:type="dxa"/>
            <w:tcBorders>
              <w:top w:val="nil"/>
              <w:left w:val="nil"/>
              <w:bottom w:val="nil"/>
              <w:right w:val="nil"/>
            </w:tcBorders>
            <w:shd w:val="clear" w:color="auto" w:fill="auto"/>
            <w:noWrap/>
            <w:vAlign w:val="bottom"/>
            <w:hideMark/>
          </w:tcPr>
          <w:p w14:paraId="6FACE5E6"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062" w:type="dxa"/>
            <w:tcBorders>
              <w:top w:val="nil"/>
              <w:left w:val="nil"/>
              <w:bottom w:val="nil"/>
              <w:right w:val="nil"/>
            </w:tcBorders>
            <w:shd w:val="clear" w:color="auto" w:fill="auto"/>
            <w:noWrap/>
            <w:vAlign w:val="bottom"/>
            <w:hideMark/>
          </w:tcPr>
          <w:p w14:paraId="56FCA649"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r>
      <w:tr w:rsidR="009F1416" w:rsidRPr="008C28EB" w14:paraId="6B86E3E8" w14:textId="77777777" w:rsidTr="009F1416">
        <w:trPr>
          <w:trHeight w:val="300"/>
        </w:trPr>
        <w:tc>
          <w:tcPr>
            <w:tcW w:w="1100" w:type="dxa"/>
            <w:tcBorders>
              <w:top w:val="nil"/>
              <w:left w:val="nil"/>
              <w:bottom w:val="nil"/>
              <w:right w:val="nil"/>
            </w:tcBorders>
            <w:shd w:val="clear" w:color="auto" w:fill="auto"/>
            <w:noWrap/>
            <w:vAlign w:val="bottom"/>
            <w:hideMark/>
          </w:tcPr>
          <w:p w14:paraId="267C608C"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Romania</w:t>
            </w:r>
          </w:p>
        </w:tc>
        <w:tc>
          <w:tcPr>
            <w:tcW w:w="1116" w:type="dxa"/>
            <w:tcBorders>
              <w:top w:val="nil"/>
              <w:left w:val="nil"/>
              <w:bottom w:val="nil"/>
              <w:right w:val="nil"/>
            </w:tcBorders>
            <w:shd w:val="clear" w:color="auto" w:fill="auto"/>
            <w:noWrap/>
            <w:vAlign w:val="bottom"/>
            <w:hideMark/>
          </w:tcPr>
          <w:p w14:paraId="0C90947C"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219D0050"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3</w:t>
            </w:r>
          </w:p>
        </w:tc>
        <w:tc>
          <w:tcPr>
            <w:tcW w:w="1062" w:type="dxa"/>
            <w:tcBorders>
              <w:top w:val="nil"/>
              <w:left w:val="nil"/>
              <w:bottom w:val="nil"/>
              <w:right w:val="nil"/>
            </w:tcBorders>
            <w:shd w:val="clear" w:color="auto" w:fill="auto"/>
            <w:noWrap/>
            <w:vAlign w:val="bottom"/>
            <w:hideMark/>
          </w:tcPr>
          <w:p w14:paraId="1F21B76F"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3</w:t>
            </w:r>
          </w:p>
        </w:tc>
      </w:tr>
      <w:tr w:rsidR="009F1416" w:rsidRPr="008C28EB" w14:paraId="0400C424" w14:textId="77777777" w:rsidTr="009F1416">
        <w:trPr>
          <w:trHeight w:val="300"/>
        </w:trPr>
        <w:tc>
          <w:tcPr>
            <w:tcW w:w="1100" w:type="dxa"/>
            <w:tcBorders>
              <w:top w:val="nil"/>
              <w:left w:val="nil"/>
              <w:bottom w:val="nil"/>
              <w:right w:val="nil"/>
            </w:tcBorders>
            <w:shd w:val="clear" w:color="auto" w:fill="auto"/>
            <w:noWrap/>
            <w:vAlign w:val="bottom"/>
            <w:hideMark/>
          </w:tcPr>
          <w:p w14:paraId="30E2192B"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Slovakia</w:t>
            </w:r>
          </w:p>
        </w:tc>
        <w:tc>
          <w:tcPr>
            <w:tcW w:w="1116" w:type="dxa"/>
            <w:tcBorders>
              <w:top w:val="nil"/>
              <w:left w:val="nil"/>
              <w:bottom w:val="nil"/>
              <w:right w:val="nil"/>
            </w:tcBorders>
            <w:shd w:val="clear" w:color="auto" w:fill="auto"/>
            <w:noWrap/>
            <w:vAlign w:val="bottom"/>
            <w:hideMark/>
          </w:tcPr>
          <w:p w14:paraId="6CEC5106"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c>
          <w:tcPr>
            <w:tcW w:w="1470" w:type="dxa"/>
            <w:tcBorders>
              <w:top w:val="nil"/>
              <w:left w:val="nil"/>
              <w:bottom w:val="nil"/>
              <w:right w:val="nil"/>
            </w:tcBorders>
            <w:shd w:val="clear" w:color="auto" w:fill="auto"/>
            <w:noWrap/>
            <w:vAlign w:val="bottom"/>
            <w:hideMark/>
          </w:tcPr>
          <w:p w14:paraId="40ED3B2E"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3</w:t>
            </w:r>
          </w:p>
        </w:tc>
        <w:tc>
          <w:tcPr>
            <w:tcW w:w="1062" w:type="dxa"/>
            <w:tcBorders>
              <w:top w:val="nil"/>
              <w:left w:val="nil"/>
              <w:bottom w:val="nil"/>
              <w:right w:val="nil"/>
            </w:tcBorders>
            <w:shd w:val="clear" w:color="auto" w:fill="auto"/>
            <w:noWrap/>
            <w:vAlign w:val="bottom"/>
            <w:hideMark/>
          </w:tcPr>
          <w:p w14:paraId="6804320B"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5</w:t>
            </w:r>
          </w:p>
        </w:tc>
      </w:tr>
      <w:tr w:rsidR="009F1416" w:rsidRPr="008C28EB" w14:paraId="185C146F" w14:textId="77777777" w:rsidTr="009F1416">
        <w:trPr>
          <w:trHeight w:val="300"/>
        </w:trPr>
        <w:tc>
          <w:tcPr>
            <w:tcW w:w="1100" w:type="dxa"/>
            <w:tcBorders>
              <w:top w:val="nil"/>
              <w:left w:val="nil"/>
              <w:bottom w:val="nil"/>
              <w:right w:val="nil"/>
            </w:tcBorders>
            <w:shd w:val="clear" w:color="auto" w:fill="auto"/>
            <w:noWrap/>
            <w:vAlign w:val="bottom"/>
            <w:hideMark/>
          </w:tcPr>
          <w:p w14:paraId="2C713B06"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Slovenia</w:t>
            </w:r>
          </w:p>
        </w:tc>
        <w:tc>
          <w:tcPr>
            <w:tcW w:w="1116" w:type="dxa"/>
            <w:tcBorders>
              <w:top w:val="nil"/>
              <w:left w:val="nil"/>
              <w:bottom w:val="nil"/>
              <w:right w:val="nil"/>
            </w:tcBorders>
            <w:shd w:val="clear" w:color="auto" w:fill="auto"/>
            <w:noWrap/>
            <w:vAlign w:val="bottom"/>
            <w:hideMark/>
          </w:tcPr>
          <w:p w14:paraId="0EF21386"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470" w:type="dxa"/>
            <w:tcBorders>
              <w:top w:val="nil"/>
              <w:left w:val="nil"/>
              <w:bottom w:val="nil"/>
              <w:right w:val="nil"/>
            </w:tcBorders>
            <w:shd w:val="clear" w:color="auto" w:fill="auto"/>
            <w:noWrap/>
            <w:vAlign w:val="bottom"/>
            <w:hideMark/>
          </w:tcPr>
          <w:p w14:paraId="77E3B3F3"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w:t>
            </w:r>
          </w:p>
        </w:tc>
        <w:tc>
          <w:tcPr>
            <w:tcW w:w="1062" w:type="dxa"/>
            <w:tcBorders>
              <w:top w:val="nil"/>
              <w:left w:val="nil"/>
              <w:bottom w:val="nil"/>
              <w:right w:val="nil"/>
            </w:tcBorders>
            <w:shd w:val="clear" w:color="auto" w:fill="auto"/>
            <w:noWrap/>
            <w:vAlign w:val="bottom"/>
            <w:hideMark/>
          </w:tcPr>
          <w:p w14:paraId="757B5AEC"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2</w:t>
            </w:r>
          </w:p>
        </w:tc>
      </w:tr>
      <w:tr w:rsidR="009F1416" w:rsidRPr="008C28EB" w14:paraId="4A037BF3" w14:textId="77777777" w:rsidTr="009F1416">
        <w:trPr>
          <w:trHeight w:val="300"/>
        </w:trPr>
        <w:tc>
          <w:tcPr>
            <w:tcW w:w="1100" w:type="dxa"/>
            <w:tcBorders>
              <w:top w:val="nil"/>
              <w:left w:val="nil"/>
              <w:bottom w:val="nil"/>
              <w:right w:val="nil"/>
            </w:tcBorders>
            <w:shd w:val="clear" w:color="auto" w:fill="auto"/>
            <w:noWrap/>
            <w:vAlign w:val="bottom"/>
            <w:hideMark/>
          </w:tcPr>
          <w:p w14:paraId="1F88B42D"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Spain</w:t>
            </w:r>
          </w:p>
        </w:tc>
        <w:tc>
          <w:tcPr>
            <w:tcW w:w="1116" w:type="dxa"/>
            <w:tcBorders>
              <w:top w:val="nil"/>
              <w:left w:val="nil"/>
              <w:bottom w:val="nil"/>
              <w:right w:val="nil"/>
            </w:tcBorders>
            <w:shd w:val="clear" w:color="auto" w:fill="auto"/>
            <w:noWrap/>
            <w:vAlign w:val="bottom"/>
            <w:hideMark/>
          </w:tcPr>
          <w:p w14:paraId="5A74F19F"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8</w:t>
            </w:r>
          </w:p>
        </w:tc>
        <w:tc>
          <w:tcPr>
            <w:tcW w:w="1470" w:type="dxa"/>
            <w:tcBorders>
              <w:top w:val="nil"/>
              <w:left w:val="nil"/>
              <w:bottom w:val="nil"/>
              <w:right w:val="nil"/>
            </w:tcBorders>
            <w:shd w:val="clear" w:color="auto" w:fill="auto"/>
            <w:noWrap/>
            <w:vAlign w:val="bottom"/>
            <w:hideMark/>
          </w:tcPr>
          <w:p w14:paraId="53664158"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062" w:type="dxa"/>
            <w:tcBorders>
              <w:top w:val="nil"/>
              <w:left w:val="nil"/>
              <w:bottom w:val="nil"/>
              <w:right w:val="nil"/>
            </w:tcBorders>
            <w:shd w:val="clear" w:color="auto" w:fill="auto"/>
            <w:noWrap/>
            <w:vAlign w:val="bottom"/>
            <w:hideMark/>
          </w:tcPr>
          <w:p w14:paraId="14E5ABFB"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8</w:t>
            </w:r>
          </w:p>
        </w:tc>
      </w:tr>
      <w:tr w:rsidR="009F1416" w:rsidRPr="008C28EB" w14:paraId="1B5DC56B" w14:textId="77777777" w:rsidTr="009F1416">
        <w:trPr>
          <w:trHeight w:val="300"/>
        </w:trPr>
        <w:tc>
          <w:tcPr>
            <w:tcW w:w="1100" w:type="dxa"/>
            <w:tcBorders>
              <w:top w:val="nil"/>
              <w:left w:val="nil"/>
              <w:bottom w:val="nil"/>
              <w:right w:val="nil"/>
            </w:tcBorders>
            <w:shd w:val="clear" w:color="auto" w:fill="auto"/>
            <w:noWrap/>
            <w:vAlign w:val="bottom"/>
            <w:hideMark/>
          </w:tcPr>
          <w:p w14:paraId="02B6E2DC"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Sweden</w:t>
            </w:r>
          </w:p>
        </w:tc>
        <w:tc>
          <w:tcPr>
            <w:tcW w:w="1116" w:type="dxa"/>
            <w:tcBorders>
              <w:top w:val="nil"/>
              <w:left w:val="nil"/>
              <w:bottom w:val="nil"/>
              <w:right w:val="nil"/>
            </w:tcBorders>
            <w:shd w:val="clear" w:color="auto" w:fill="auto"/>
            <w:noWrap/>
            <w:vAlign w:val="bottom"/>
            <w:hideMark/>
          </w:tcPr>
          <w:p w14:paraId="3D29D3A2" w14:textId="77777777" w:rsidR="009F1416" w:rsidRPr="008C28EB" w:rsidRDefault="009F1416" w:rsidP="009F1416">
            <w:pPr>
              <w:spacing w:after="0" w:line="240" w:lineRule="auto"/>
              <w:jc w:val="center"/>
              <w:rPr>
                <w:rFonts w:ascii="Times New Roman" w:eastAsia="Times New Roman" w:hAnsi="Times New Roman"/>
                <w:sz w:val="18"/>
                <w:szCs w:val="18"/>
              </w:rPr>
            </w:pPr>
          </w:p>
        </w:tc>
        <w:tc>
          <w:tcPr>
            <w:tcW w:w="1470" w:type="dxa"/>
            <w:tcBorders>
              <w:top w:val="nil"/>
              <w:left w:val="nil"/>
              <w:bottom w:val="nil"/>
              <w:right w:val="nil"/>
            </w:tcBorders>
            <w:shd w:val="clear" w:color="auto" w:fill="auto"/>
            <w:noWrap/>
            <w:vAlign w:val="bottom"/>
            <w:hideMark/>
          </w:tcPr>
          <w:p w14:paraId="08A8D329"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c>
          <w:tcPr>
            <w:tcW w:w="1062" w:type="dxa"/>
            <w:tcBorders>
              <w:top w:val="nil"/>
              <w:left w:val="nil"/>
              <w:bottom w:val="nil"/>
              <w:right w:val="nil"/>
            </w:tcBorders>
            <w:shd w:val="clear" w:color="auto" w:fill="auto"/>
            <w:noWrap/>
            <w:vAlign w:val="bottom"/>
            <w:hideMark/>
          </w:tcPr>
          <w:p w14:paraId="4FB98630"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4</w:t>
            </w:r>
          </w:p>
        </w:tc>
      </w:tr>
      <w:tr w:rsidR="009F1416" w:rsidRPr="008C28EB" w14:paraId="538F4C62" w14:textId="77777777" w:rsidTr="009F1416">
        <w:trPr>
          <w:trHeight w:val="300"/>
        </w:trPr>
        <w:tc>
          <w:tcPr>
            <w:tcW w:w="2216" w:type="dxa"/>
            <w:gridSpan w:val="2"/>
            <w:tcBorders>
              <w:top w:val="nil"/>
              <w:left w:val="nil"/>
              <w:right w:val="nil"/>
            </w:tcBorders>
            <w:shd w:val="clear" w:color="auto" w:fill="auto"/>
            <w:noWrap/>
            <w:vAlign w:val="bottom"/>
            <w:hideMark/>
          </w:tcPr>
          <w:p w14:paraId="776B5583"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United Kingdom</w:t>
            </w:r>
          </w:p>
        </w:tc>
        <w:tc>
          <w:tcPr>
            <w:tcW w:w="1470" w:type="dxa"/>
            <w:tcBorders>
              <w:top w:val="nil"/>
              <w:left w:val="nil"/>
              <w:right w:val="nil"/>
            </w:tcBorders>
            <w:shd w:val="clear" w:color="auto" w:fill="auto"/>
            <w:noWrap/>
            <w:vAlign w:val="bottom"/>
            <w:hideMark/>
          </w:tcPr>
          <w:p w14:paraId="6BBC72E8"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12</w:t>
            </w:r>
          </w:p>
        </w:tc>
        <w:tc>
          <w:tcPr>
            <w:tcW w:w="1062" w:type="dxa"/>
            <w:tcBorders>
              <w:top w:val="nil"/>
              <w:left w:val="nil"/>
              <w:right w:val="nil"/>
            </w:tcBorders>
            <w:shd w:val="clear" w:color="auto" w:fill="auto"/>
            <w:noWrap/>
            <w:vAlign w:val="bottom"/>
            <w:hideMark/>
          </w:tcPr>
          <w:p w14:paraId="379112E9"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12</w:t>
            </w:r>
          </w:p>
        </w:tc>
      </w:tr>
      <w:tr w:rsidR="009F1416" w:rsidRPr="008C28EB" w14:paraId="74CFB799" w14:textId="77777777" w:rsidTr="009F1416">
        <w:trPr>
          <w:trHeight w:val="300"/>
        </w:trPr>
        <w:tc>
          <w:tcPr>
            <w:tcW w:w="2216" w:type="dxa"/>
            <w:gridSpan w:val="2"/>
            <w:tcBorders>
              <w:top w:val="nil"/>
              <w:left w:val="nil"/>
              <w:bottom w:val="single" w:sz="4" w:space="0" w:color="auto"/>
              <w:right w:val="nil"/>
            </w:tcBorders>
            <w:shd w:val="clear" w:color="auto" w:fill="auto"/>
            <w:noWrap/>
            <w:vAlign w:val="bottom"/>
          </w:tcPr>
          <w:p w14:paraId="3B724057" w14:textId="77777777" w:rsidR="009F1416" w:rsidRPr="008C28EB" w:rsidRDefault="009F1416" w:rsidP="009F1416">
            <w:pPr>
              <w:spacing w:after="0" w:line="240" w:lineRule="auto"/>
              <w:rPr>
                <w:rFonts w:ascii="Times New Roman" w:eastAsia="Times New Roman" w:hAnsi="Times New Roman"/>
                <w:sz w:val="18"/>
                <w:szCs w:val="18"/>
              </w:rPr>
            </w:pPr>
            <w:r w:rsidRPr="008C28EB">
              <w:rPr>
                <w:rFonts w:ascii="Times New Roman" w:eastAsia="Times New Roman" w:hAnsi="Times New Roman"/>
                <w:sz w:val="18"/>
                <w:szCs w:val="18"/>
              </w:rPr>
              <w:t>Total                         50</w:t>
            </w:r>
          </w:p>
        </w:tc>
        <w:tc>
          <w:tcPr>
            <w:tcW w:w="1470" w:type="dxa"/>
            <w:tcBorders>
              <w:top w:val="nil"/>
              <w:left w:val="nil"/>
              <w:bottom w:val="single" w:sz="4" w:space="0" w:color="auto"/>
              <w:right w:val="nil"/>
            </w:tcBorders>
            <w:shd w:val="clear" w:color="auto" w:fill="auto"/>
            <w:noWrap/>
            <w:vAlign w:val="bottom"/>
          </w:tcPr>
          <w:p w14:paraId="291B234C"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108</w:t>
            </w:r>
          </w:p>
        </w:tc>
        <w:tc>
          <w:tcPr>
            <w:tcW w:w="1062" w:type="dxa"/>
            <w:tcBorders>
              <w:top w:val="nil"/>
              <w:left w:val="nil"/>
              <w:bottom w:val="single" w:sz="4" w:space="0" w:color="auto"/>
              <w:right w:val="nil"/>
            </w:tcBorders>
            <w:shd w:val="clear" w:color="auto" w:fill="auto"/>
            <w:noWrap/>
            <w:vAlign w:val="bottom"/>
          </w:tcPr>
          <w:p w14:paraId="1125DE59" w14:textId="77777777" w:rsidR="009F1416" w:rsidRPr="008C28EB" w:rsidRDefault="009F1416" w:rsidP="009F1416">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rPr>
              <w:t>158</w:t>
            </w:r>
          </w:p>
        </w:tc>
      </w:tr>
    </w:tbl>
    <w:p w14:paraId="5FC35C6B" w14:textId="77777777" w:rsidR="009F1416" w:rsidRPr="008C28EB" w:rsidRDefault="009F1416" w:rsidP="007F6BC9">
      <w:pPr>
        <w:ind w:right="-1361"/>
        <w:jc w:val="both"/>
        <w:rPr>
          <w:rFonts w:ascii="Times New Roman" w:hAnsi="Times New Roman"/>
          <w:sz w:val="18"/>
          <w:szCs w:val="18"/>
          <w:lang w:val="en-US"/>
        </w:rPr>
        <w:sectPr w:rsidR="009F1416" w:rsidRPr="008C28EB" w:rsidSect="009F1416">
          <w:footerReference w:type="even" r:id="rId9"/>
          <w:footerReference w:type="default" r:id="rId10"/>
          <w:pgSz w:w="11901" w:h="16840"/>
          <w:pgMar w:top="1871" w:right="1871" w:bottom="1871" w:left="1871" w:header="709" w:footer="709" w:gutter="0"/>
          <w:cols w:space="708"/>
          <w:docGrid w:linePitch="360"/>
        </w:sectPr>
      </w:pPr>
    </w:p>
    <w:p w14:paraId="64BD6E2E" w14:textId="77777777" w:rsidR="009F1416" w:rsidRPr="008C28EB" w:rsidRDefault="009F1416" w:rsidP="009F1416">
      <w:pPr>
        <w:ind w:right="-1361"/>
        <w:jc w:val="both"/>
        <w:rPr>
          <w:rFonts w:ascii="Times New Roman" w:hAnsi="Times New Roman"/>
          <w:sz w:val="18"/>
          <w:szCs w:val="18"/>
          <w:lang w:val="en-US"/>
        </w:rPr>
      </w:pPr>
      <w:r w:rsidRPr="008C28EB">
        <w:rPr>
          <w:rFonts w:ascii="Times New Roman" w:hAnsi="Times New Roman"/>
          <w:b/>
          <w:bCs/>
          <w:sz w:val="24"/>
          <w:szCs w:val="24"/>
          <w:lang w:val="en-US"/>
        </w:rPr>
        <w:lastRenderedPageBreak/>
        <w:t>Panel B – Event study results</w:t>
      </w:r>
    </w:p>
    <w:p w14:paraId="5238B779" w14:textId="2239ABD9" w:rsidR="009F1416" w:rsidRPr="008C28EB" w:rsidRDefault="009F1416" w:rsidP="009F1416">
      <w:pPr>
        <w:ind w:right="-1361"/>
        <w:jc w:val="both"/>
        <w:rPr>
          <w:rFonts w:ascii="Times New Roman" w:hAnsi="Times New Roman"/>
          <w:sz w:val="18"/>
          <w:szCs w:val="18"/>
          <w:lang w:val="en-US"/>
        </w:rPr>
      </w:pPr>
      <w:r w:rsidRPr="008C28EB">
        <w:rPr>
          <w:rFonts w:ascii="Times New Roman" w:hAnsi="Times New Roman"/>
          <w:sz w:val="18"/>
          <w:szCs w:val="18"/>
          <w:lang w:val="en-US"/>
        </w:rPr>
        <w:t xml:space="preserve">This table </w:t>
      </w:r>
      <w:r w:rsidR="00661A6A" w:rsidRPr="008C28EB">
        <w:rPr>
          <w:rFonts w:ascii="Times New Roman" w:hAnsi="Times New Roman"/>
          <w:sz w:val="18"/>
          <w:szCs w:val="18"/>
          <w:lang w:val="en-US"/>
        </w:rPr>
        <w:t xml:space="preserve">illustrates </w:t>
      </w:r>
      <w:r w:rsidRPr="008C28EB">
        <w:rPr>
          <w:rFonts w:ascii="Times New Roman" w:hAnsi="Times New Roman"/>
          <w:sz w:val="18"/>
          <w:szCs w:val="18"/>
          <w:lang w:val="en-US"/>
        </w:rPr>
        <w:t>the descriptive statistics of Cumulated Abnormal Returns estimated over the main ECB press releases relative to the Comprehensive Assessment. We report Daily Abnormal Returns obtained using the market model with a 252-day estimation period. The market portfolio is represented by the MSCI World Index. The statistical significance of Cumulated Average Abnormal Returns (CAAR) is tested using the Boehmer et al. (1991) procedure to capture the event-induced increase in returns volatility. CAARs in bold are those that remain statistically significant also considering the adjustment suggested by Kolari and Pynnönen (2010) in order to account for possible cross sectional correlation of abnormal returns. Source: Authors’ elaboration on European Central Bank and Datastream.</w:t>
      </w:r>
    </w:p>
    <w:p w14:paraId="64E371D9" w14:textId="77777777" w:rsidR="009F1416" w:rsidRPr="008C28EB" w:rsidRDefault="009F1416" w:rsidP="009F1416">
      <w:pPr>
        <w:jc w:val="center"/>
        <w:rPr>
          <w:rFonts w:ascii="Times New Roman" w:hAnsi="Times New Roman"/>
          <w:b/>
          <w:bCs/>
          <w:sz w:val="24"/>
          <w:szCs w:val="24"/>
          <w:lang w:val="en-US"/>
        </w:rPr>
      </w:pPr>
    </w:p>
    <w:tbl>
      <w:tblPr>
        <w:tblW w:w="14006" w:type="dxa"/>
        <w:tblInd w:w="70" w:type="dxa"/>
        <w:tblCellMar>
          <w:left w:w="70" w:type="dxa"/>
          <w:right w:w="70" w:type="dxa"/>
        </w:tblCellMar>
        <w:tblLook w:val="04A0" w:firstRow="1" w:lastRow="0" w:firstColumn="1" w:lastColumn="0" w:noHBand="0" w:noVBand="1"/>
      </w:tblPr>
      <w:tblGrid>
        <w:gridCol w:w="870"/>
        <w:gridCol w:w="643"/>
        <w:gridCol w:w="674"/>
        <w:gridCol w:w="765"/>
        <w:gridCol w:w="695"/>
        <w:gridCol w:w="714"/>
        <w:gridCol w:w="754"/>
        <w:gridCol w:w="977"/>
        <w:gridCol w:w="696"/>
        <w:gridCol w:w="839"/>
        <w:gridCol w:w="642"/>
        <w:gridCol w:w="675"/>
        <w:gridCol w:w="766"/>
        <w:gridCol w:w="660"/>
        <w:gridCol w:w="687"/>
        <w:gridCol w:w="656"/>
        <w:gridCol w:w="844"/>
        <w:gridCol w:w="714"/>
        <w:gridCol w:w="735"/>
      </w:tblGrid>
      <w:tr w:rsidR="007F6BC9" w:rsidRPr="008C28EB" w14:paraId="60D1BEE8" w14:textId="77777777" w:rsidTr="00B70718">
        <w:trPr>
          <w:trHeight w:val="330"/>
        </w:trPr>
        <w:tc>
          <w:tcPr>
            <w:tcW w:w="870" w:type="dxa"/>
            <w:tcBorders>
              <w:bottom w:val="single" w:sz="4" w:space="0" w:color="auto"/>
            </w:tcBorders>
            <w:shd w:val="clear" w:color="auto" w:fill="auto"/>
            <w:noWrap/>
            <w:vAlign w:val="center"/>
            <w:hideMark/>
          </w:tcPr>
          <w:p w14:paraId="04938A5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2777" w:type="dxa"/>
            <w:gridSpan w:val="4"/>
            <w:tcBorders>
              <w:bottom w:val="single" w:sz="4" w:space="0" w:color="auto"/>
            </w:tcBorders>
            <w:shd w:val="clear" w:color="auto" w:fill="auto"/>
            <w:vAlign w:val="center"/>
            <w:hideMark/>
          </w:tcPr>
          <w:p w14:paraId="2B2E2243" w14:textId="77777777" w:rsidR="007F6BC9" w:rsidRPr="008C28EB" w:rsidRDefault="007F6BC9" w:rsidP="00B70718">
            <w:pPr>
              <w:spacing w:after="0" w:line="240" w:lineRule="auto"/>
              <w:jc w:val="center"/>
              <w:rPr>
                <w:rFonts w:ascii="Times New Roman" w:eastAsia="Times New Roman" w:hAnsi="Times New Roman"/>
                <w:b/>
                <w:bCs/>
                <w:sz w:val="16"/>
                <w:szCs w:val="16"/>
                <w:lang w:val="en-US"/>
              </w:rPr>
            </w:pPr>
            <w:r w:rsidRPr="008C28EB">
              <w:rPr>
                <w:rFonts w:ascii="Times New Roman" w:eastAsia="Times New Roman" w:hAnsi="Times New Roman"/>
                <w:b/>
                <w:bCs/>
                <w:sz w:val="16"/>
                <w:szCs w:val="16"/>
                <w:lang w:val="en-US"/>
              </w:rPr>
              <w:t>A) Banks involved in the CA</w:t>
            </w:r>
          </w:p>
        </w:tc>
        <w:tc>
          <w:tcPr>
            <w:tcW w:w="3141" w:type="dxa"/>
            <w:gridSpan w:val="4"/>
            <w:tcBorders>
              <w:bottom w:val="single" w:sz="4" w:space="0" w:color="auto"/>
            </w:tcBorders>
            <w:shd w:val="clear" w:color="auto" w:fill="auto"/>
            <w:vAlign w:val="center"/>
            <w:hideMark/>
          </w:tcPr>
          <w:p w14:paraId="23E5403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b/>
                <w:bCs/>
                <w:sz w:val="16"/>
                <w:szCs w:val="16"/>
                <w:lang w:val="en-US"/>
              </w:rPr>
              <w:t>B) Banks not involved in the CA</w:t>
            </w:r>
          </w:p>
        </w:tc>
        <w:tc>
          <w:tcPr>
            <w:tcW w:w="839" w:type="dxa"/>
            <w:tcBorders>
              <w:bottom w:val="single" w:sz="4" w:space="0" w:color="auto"/>
            </w:tcBorders>
            <w:vAlign w:val="center"/>
          </w:tcPr>
          <w:p w14:paraId="2CDCD8E4" w14:textId="77777777" w:rsidR="007F6BC9" w:rsidRPr="008C28EB" w:rsidRDefault="007F6BC9" w:rsidP="00B70718">
            <w:pPr>
              <w:spacing w:after="0" w:line="240" w:lineRule="auto"/>
              <w:jc w:val="center"/>
              <w:rPr>
                <w:rFonts w:ascii="Times New Roman" w:eastAsia="Times New Roman" w:hAnsi="Times New Roman"/>
                <w:b/>
                <w:bCs/>
                <w:sz w:val="16"/>
                <w:szCs w:val="16"/>
                <w:lang w:val="en-US"/>
              </w:rPr>
            </w:pPr>
            <w:r w:rsidRPr="008C28EB">
              <w:rPr>
                <w:rFonts w:ascii="Times New Roman" w:eastAsia="Times New Roman" w:hAnsi="Times New Roman"/>
                <w:b/>
                <w:bCs/>
                <w:sz w:val="16"/>
                <w:szCs w:val="16"/>
                <w:lang w:val="en-US"/>
              </w:rPr>
              <w:t xml:space="preserve">A </w:t>
            </w:r>
          </w:p>
          <w:p w14:paraId="2F79800A" w14:textId="77777777" w:rsidR="007F6BC9" w:rsidRPr="008C28EB" w:rsidRDefault="007F6BC9" w:rsidP="00B70718">
            <w:pPr>
              <w:spacing w:after="0" w:line="240" w:lineRule="auto"/>
              <w:jc w:val="center"/>
              <w:rPr>
                <w:rFonts w:ascii="Times New Roman" w:eastAsia="Times New Roman" w:hAnsi="Times New Roman"/>
                <w:b/>
                <w:bCs/>
                <w:sz w:val="16"/>
                <w:szCs w:val="16"/>
                <w:lang w:val="en-US"/>
              </w:rPr>
            </w:pPr>
            <w:r w:rsidRPr="008C28EB">
              <w:rPr>
                <w:rFonts w:ascii="Times New Roman" w:eastAsia="Times New Roman" w:hAnsi="Times New Roman"/>
                <w:b/>
                <w:bCs/>
                <w:sz w:val="16"/>
                <w:szCs w:val="16"/>
                <w:lang w:val="en-US"/>
              </w:rPr>
              <w:t>vs B</w:t>
            </w:r>
          </w:p>
        </w:tc>
        <w:tc>
          <w:tcPr>
            <w:tcW w:w="2743" w:type="dxa"/>
            <w:gridSpan w:val="4"/>
            <w:tcBorders>
              <w:bottom w:val="single" w:sz="4" w:space="0" w:color="auto"/>
            </w:tcBorders>
            <w:shd w:val="clear" w:color="auto" w:fill="auto"/>
            <w:vAlign w:val="center"/>
            <w:hideMark/>
          </w:tcPr>
          <w:p w14:paraId="6331D7F9" w14:textId="77777777" w:rsidR="007F6BC9" w:rsidRPr="008C28EB" w:rsidRDefault="007F6BC9" w:rsidP="00B70718">
            <w:pPr>
              <w:spacing w:after="0" w:line="240" w:lineRule="auto"/>
              <w:jc w:val="center"/>
              <w:rPr>
                <w:rFonts w:ascii="Times New Roman" w:eastAsia="Times New Roman" w:hAnsi="Times New Roman"/>
                <w:b/>
                <w:bCs/>
                <w:sz w:val="16"/>
                <w:szCs w:val="16"/>
                <w:lang w:val="en-US"/>
              </w:rPr>
            </w:pPr>
            <w:r w:rsidRPr="008C28EB">
              <w:rPr>
                <w:rFonts w:ascii="Times New Roman" w:eastAsia="Times New Roman" w:hAnsi="Times New Roman"/>
                <w:b/>
                <w:bCs/>
                <w:sz w:val="16"/>
                <w:szCs w:val="16"/>
                <w:lang w:val="en-US"/>
              </w:rPr>
              <w:t>A1) Banks with a shortfall</w:t>
            </w:r>
          </w:p>
        </w:tc>
        <w:tc>
          <w:tcPr>
            <w:tcW w:w="2901" w:type="dxa"/>
            <w:gridSpan w:val="4"/>
            <w:tcBorders>
              <w:bottom w:val="single" w:sz="4" w:space="0" w:color="auto"/>
            </w:tcBorders>
            <w:shd w:val="clear" w:color="auto" w:fill="auto"/>
            <w:vAlign w:val="center"/>
            <w:hideMark/>
          </w:tcPr>
          <w:p w14:paraId="0A374B38" w14:textId="77777777" w:rsidR="007F6BC9" w:rsidRPr="008C28EB" w:rsidRDefault="007F6BC9" w:rsidP="00B70718">
            <w:pPr>
              <w:spacing w:after="0" w:line="240" w:lineRule="auto"/>
              <w:jc w:val="center"/>
              <w:rPr>
                <w:rFonts w:ascii="Times New Roman" w:eastAsia="Times New Roman" w:hAnsi="Times New Roman"/>
                <w:b/>
                <w:bCs/>
                <w:sz w:val="16"/>
                <w:szCs w:val="16"/>
                <w:lang w:val="en-US"/>
              </w:rPr>
            </w:pPr>
            <w:r w:rsidRPr="008C28EB">
              <w:rPr>
                <w:rFonts w:ascii="Times New Roman" w:eastAsia="Times New Roman" w:hAnsi="Times New Roman"/>
                <w:b/>
                <w:bCs/>
                <w:sz w:val="16"/>
                <w:szCs w:val="16"/>
                <w:lang w:val="en-US"/>
              </w:rPr>
              <w:t>A2) Banks without a shortfall</w:t>
            </w:r>
          </w:p>
        </w:tc>
        <w:tc>
          <w:tcPr>
            <w:tcW w:w="735" w:type="dxa"/>
            <w:tcBorders>
              <w:bottom w:val="single" w:sz="4" w:space="0" w:color="auto"/>
            </w:tcBorders>
            <w:vAlign w:val="center"/>
          </w:tcPr>
          <w:p w14:paraId="064D5C11" w14:textId="77777777" w:rsidR="007F6BC9" w:rsidRPr="008C28EB" w:rsidRDefault="007F6BC9" w:rsidP="00B70718">
            <w:pPr>
              <w:spacing w:after="0" w:line="240" w:lineRule="auto"/>
              <w:jc w:val="center"/>
              <w:rPr>
                <w:rFonts w:ascii="Times New Roman" w:eastAsia="Times New Roman" w:hAnsi="Times New Roman"/>
                <w:b/>
                <w:bCs/>
                <w:sz w:val="16"/>
                <w:szCs w:val="16"/>
                <w:lang w:val="en-US"/>
              </w:rPr>
            </w:pPr>
            <w:r w:rsidRPr="008C28EB">
              <w:rPr>
                <w:rFonts w:ascii="Times New Roman" w:eastAsia="Times New Roman" w:hAnsi="Times New Roman"/>
                <w:b/>
                <w:bCs/>
                <w:sz w:val="16"/>
                <w:szCs w:val="16"/>
                <w:lang w:val="en-US"/>
              </w:rPr>
              <w:t>A1 vs A2</w:t>
            </w:r>
          </w:p>
        </w:tc>
      </w:tr>
      <w:tr w:rsidR="007F6BC9" w:rsidRPr="008C28EB" w14:paraId="4BB0F23B" w14:textId="77777777" w:rsidTr="00B70718">
        <w:trPr>
          <w:trHeight w:val="315"/>
        </w:trPr>
        <w:tc>
          <w:tcPr>
            <w:tcW w:w="870" w:type="dxa"/>
            <w:tcBorders>
              <w:top w:val="single" w:sz="4" w:space="0" w:color="auto"/>
              <w:bottom w:val="single" w:sz="4" w:space="0" w:color="auto"/>
            </w:tcBorders>
            <w:shd w:val="clear" w:color="auto" w:fill="auto"/>
            <w:vAlign w:val="center"/>
            <w:hideMark/>
          </w:tcPr>
          <w:p w14:paraId="6995B61A"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23/10/2013</w:t>
            </w:r>
          </w:p>
        </w:tc>
        <w:tc>
          <w:tcPr>
            <w:tcW w:w="643" w:type="dxa"/>
            <w:tcBorders>
              <w:top w:val="single" w:sz="4" w:space="0" w:color="auto"/>
              <w:bottom w:val="single" w:sz="4" w:space="0" w:color="auto"/>
            </w:tcBorders>
            <w:shd w:val="clear" w:color="auto" w:fill="auto"/>
            <w:noWrap/>
            <w:vAlign w:val="center"/>
            <w:hideMark/>
          </w:tcPr>
          <w:p w14:paraId="2F77EBE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26A191F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1F69D8D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3AB1AD9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4D5C634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6C58645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160E527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3E7F936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3F4691E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11587A0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0A4E24F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72ED5AC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16C00A2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6051C12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3B6B9FE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2AE142B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1ECA623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5526C71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5057B498" w14:textId="77777777" w:rsidTr="00B70718">
        <w:trPr>
          <w:trHeight w:val="300"/>
        </w:trPr>
        <w:tc>
          <w:tcPr>
            <w:tcW w:w="870" w:type="dxa"/>
            <w:tcBorders>
              <w:top w:val="single" w:sz="4" w:space="0" w:color="auto"/>
            </w:tcBorders>
            <w:shd w:val="clear" w:color="auto" w:fill="auto"/>
            <w:noWrap/>
            <w:vAlign w:val="center"/>
            <w:hideMark/>
          </w:tcPr>
          <w:p w14:paraId="5E49ADB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4B99BE4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-1.77%</w:t>
            </w:r>
          </w:p>
        </w:tc>
        <w:tc>
          <w:tcPr>
            <w:tcW w:w="674" w:type="dxa"/>
            <w:tcBorders>
              <w:top w:val="single" w:sz="4" w:space="0" w:color="auto"/>
            </w:tcBorders>
            <w:shd w:val="clear" w:color="auto" w:fill="auto"/>
            <w:noWrap/>
            <w:vAlign w:val="center"/>
            <w:hideMark/>
          </w:tcPr>
          <w:p w14:paraId="6425E5F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-0.8144</w:t>
            </w:r>
          </w:p>
        </w:tc>
        <w:tc>
          <w:tcPr>
            <w:tcW w:w="765" w:type="dxa"/>
            <w:tcBorders>
              <w:top w:val="single" w:sz="4" w:space="0" w:color="auto"/>
            </w:tcBorders>
            <w:shd w:val="clear" w:color="auto" w:fill="auto"/>
            <w:noWrap/>
            <w:vAlign w:val="center"/>
            <w:hideMark/>
          </w:tcPr>
          <w:p w14:paraId="1CF305D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0.415406</w:t>
            </w:r>
          </w:p>
        </w:tc>
        <w:tc>
          <w:tcPr>
            <w:tcW w:w="695" w:type="dxa"/>
            <w:tcBorders>
              <w:top w:val="single" w:sz="4" w:space="0" w:color="auto"/>
            </w:tcBorders>
            <w:shd w:val="clear" w:color="auto" w:fill="auto"/>
            <w:noWrap/>
            <w:vAlign w:val="center"/>
            <w:hideMark/>
          </w:tcPr>
          <w:p w14:paraId="3234319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24.44%</w:t>
            </w:r>
          </w:p>
        </w:tc>
        <w:tc>
          <w:tcPr>
            <w:tcW w:w="714" w:type="dxa"/>
            <w:tcBorders>
              <w:top w:val="single" w:sz="4" w:space="0" w:color="auto"/>
            </w:tcBorders>
            <w:shd w:val="clear" w:color="auto" w:fill="auto"/>
            <w:noWrap/>
            <w:vAlign w:val="center"/>
            <w:hideMark/>
          </w:tcPr>
          <w:p w14:paraId="176067C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0.53%</w:t>
            </w:r>
          </w:p>
        </w:tc>
        <w:tc>
          <w:tcPr>
            <w:tcW w:w="754" w:type="dxa"/>
            <w:tcBorders>
              <w:top w:val="single" w:sz="4" w:space="0" w:color="auto"/>
            </w:tcBorders>
            <w:shd w:val="clear" w:color="auto" w:fill="auto"/>
            <w:noWrap/>
            <w:vAlign w:val="center"/>
            <w:hideMark/>
          </w:tcPr>
          <w:p w14:paraId="687AB81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0.5541</w:t>
            </w:r>
          </w:p>
        </w:tc>
        <w:tc>
          <w:tcPr>
            <w:tcW w:w="977" w:type="dxa"/>
            <w:tcBorders>
              <w:top w:val="single" w:sz="4" w:space="0" w:color="auto"/>
            </w:tcBorders>
            <w:shd w:val="clear" w:color="auto" w:fill="auto"/>
            <w:noWrap/>
            <w:vAlign w:val="center"/>
            <w:hideMark/>
          </w:tcPr>
          <w:p w14:paraId="46F4AF3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0.579501</w:t>
            </w:r>
          </w:p>
        </w:tc>
        <w:tc>
          <w:tcPr>
            <w:tcW w:w="696" w:type="dxa"/>
            <w:tcBorders>
              <w:top w:val="single" w:sz="4" w:space="0" w:color="auto"/>
            </w:tcBorders>
            <w:shd w:val="clear" w:color="auto" w:fill="auto"/>
            <w:noWrap/>
            <w:vAlign w:val="center"/>
            <w:hideMark/>
          </w:tcPr>
          <w:p w14:paraId="33F34DB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57.14%</w:t>
            </w:r>
          </w:p>
        </w:tc>
        <w:tc>
          <w:tcPr>
            <w:tcW w:w="839" w:type="dxa"/>
            <w:tcBorders>
              <w:top w:val="single" w:sz="4" w:space="0" w:color="auto"/>
            </w:tcBorders>
            <w:vAlign w:val="center"/>
          </w:tcPr>
          <w:p w14:paraId="17F932C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c>
          <w:tcPr>
            <w:tcW w:w="642" w:type="dxa"/>
            <w:tcBorders>
              <w:top w:val="single" w:sz="4" w:space="0" w:color="auto"/>
            </w:tcBorders>
            <w:shd w:val="clear" w:color="auto" w:fill="auto"/>
            <w:noWrap/>
            <w:vAlign w:val="center"/>
            <w:hideMark/>
          </w:tcPr>
          <w:p w14:paraId="4E1EF40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0.03%</w:t>
            </w:r>
          </w:p>
        </w:tc>
        <w:tc>
          <w:tcPr>
            <w:tcW w:w="675" w:type="dxa"/>
            <w:tcBorders>
              <w:top w:val="single" w:sz="4" w:space="0" w:color="auto"/>
            </w:tcBorders>
            <w:shd w:val="clear" w:color="auto" w:fill="auto"/>
            <w:noWrap/>
            <w:vAlign w:val="center"/>
            <w:hideMark/>
          </w:tcPr>
          <w:p w14:paraId="1485BA8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-0.7669</w:t>
            </w:r>
          </w:p>
        </w:tc>
        <w:tc>
          <w:tcPr>
            <w:tcW w:w="766" w:type="dxa"/>
            <w:tcBorders>
              <w:top w:val="single" w:sz="4" w:space="0" w:color="auto"/>
            </w:tcBorders>
            <w:shd w:val="clear" w:color="auto" w:fill="auto"/>
            <w:noWrap/>
            <w:vAlign w:val="center"/>
            <w:hideMark/>
          </w:tcPr>
          <w:p w14:paraId="6951365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0.443158</w:t>
            </w:r>
          </w:p>
        </w:tc>
        <w:tc>
          <w:tcPr>
            <w:tcW w:w="660" w:type="dxa"/>
            <w:tcBorders>
              <w:top w:val="single" w:sz="4" w:space="0" w:color="auto"/>
            </w:tcBorders>
            <w:shd w:val="clear" w:color="auto" w:fill="auto"/>
            <w:noWrap/>
            <w:vAlign w:val="center"/>
            <w:hideMark/>
          </w:tcPr>
          <w:p w14:paraId="6B9E800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35.71%</w:t>
            </w:r>
          </w:p>
        </w:tc>
        <w:tc>
          <w:tcPr>
            <w:tcW w:w="687" w:type="dxa"/>
            <w:tcBorders>
              <w:top w:val="single" w:sz="4" w:space="0" w:color="auto"/>
            </w:tcBorders>
            <w:shd w:val="clear" w:color="auto" w:fill="auto"/>
            <w:noWrap/>
            <w:vAlign w:val="center"/>
            <w:hideMark/>
          </w:tcPr>
          <w:p w14:paraId="3AA2268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-2.58%</w:t>
            </w:r>
          </w:p>
        </w:tc>
        <w:tc>
          <w:tcPr>
            <w:tcW w:w="656" w:type="dxa"/>
            <w:tcBorders>
              <w:top w:val="single" w:sz="4" w:space="0" w:color="auto"/>
            </w:tcBorders>
            <w:shd w:val="clear" w:color="auto" w:fill="auto"/>
            <w:noWrap/>
            <w:vAlign w:val="center"/>
            <w:hideMark/>
          </w:tcPr>
          <w:p w14:paraId="79AD7D8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-0.7638</w:t>
            </w:r>
          </w:p>
        </w:tc>
        <w:tc>
          <w:tcPr>
            <w:tcW w:w="844" w:type="dxa"/>
            <w:tcBorders>
              <w:top w:val="single" w:sz="4" w:space="0" w:color="auto"/>
            </w:tcBorders>
            <w:shd w:val="clear" w:color="auto" w:fill="auto"/>
            <w:noWrap/>
            <w:vAlign w:val="center"/>
            <w:hideMark/>
          </w:tcPr>
          <w:p w14:paraId="0FB5BED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0.445015</w:t>
            </w:r>
          </w:p>
        </w:tc>
        <w:tc>
          <w:tcPr>
            <w:tcW w:w="714" w:type="dxa"/>
            <w:tcBorders>
              <w:top w:val="single" w:sz="4" w:space="0" w:color="auto"/>
            </w:tcBorders>
            <w:shd w:val="clear" w:color="auto" w:fill="auto"/>
            <w:vAlign w:val="center"/>
          </w:tcPr>
          <w:p w14:paraId="4A6748C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44.44%</w:t>
            </w:r>
          </w:p>
        </w:tc>
        <w:tc>
          <w:tcPr>
            <w:tcW w:w="735" w:type="dxa"/>
            <w:tcBorders>
              <w:top w:val="single" w:sz="4" w:space="0" w:color="auto"/>
            </w:tcBorders>
            <w:vAlign w:val="center"/>
          </w:tcPr>
          <w:p w14:paraId="77609C4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2654777D" w14:textId="77777777" w:rsidTr="00B70718">
        <w:trPr>
          <w:trHeight w:val="300"/>
        </w:trPr>
        <w:tc>
          <w:tcPr>
            <w:tcW w:w="870" w:type="dxa"/>
            <w:shd w:val="clear" w:color="auto" w:fill="auto"/>
            <w:noWrap/>
            <w:vAlign w:val="center"/>
            <w:hideMark/>
          </w:tcPr>
          <w:p w14:paraId="4FB8079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62089DB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-1.27%</w:t>
            </w:r>
          </w:p>
        </w:tc>
        <w:tc>
          <w:tcPr>
            <w:tcW w:w="674" w:type="dxa"/>
            <w:shd w:val="clear" w:color="auto" w:fill="auto"/>
            <w:noWrap/>
            <w:vAlign w:val="center"/>
            <w:hideMark/>
          </w:tcPr>
          <w:p w14:paraId="7F97A8E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-0.8195</w:t>
            </w:r>
          </w:p>
        </w:tc>
        <w:tc>
          <w:tcPr>
            <w:tcW w:w="765" w:type="dxa"/>
            <w:shd w:val="clear" w:color="auto" w:fill="auto"/>
            <w:noWrap/>
            <w:vAlign w:val="center"/>
            <w:hideMark/>
          </w:tcPr>
          <w:p w14:paraId="7838B3C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0.412520</w:t>
            </w:r>
          </w:p>
        </w:tc>
        <w:tc>
          <w:tcPr>
            <w:tcW w:w="695" w:type="dxa"/>
            <w:shd w:val="clear" w:color="auto" w:fill="auto"/>
            <w:noWrap/>
            <w:vAlign w:val="center"/>
            <w:hideMark/>
          </w:tcPr>
          <w:p w14:paraId="325613A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35.56%</w:t>
            </w:r>
          </w:p>
        </w:tc>
        <w:tc>
          <w:tcPr>
            <w:tcW w:w="714" w:type="dxa"/>
            <w:shd w:val="clear" w:color="auto" w:fill="auto"/>
            <w:noWrap/>
            <w:vAlign w:val="center"/>
            <w:hideMark/>
          </w:tcPr>
          <w:p w14:paraId="2B3C4A8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0.52%</w:t>
            </w:r>
          </w:p>
        </w:tc>
        <w:tc>
          <w:tcPr>
            <w:tcW w:w="754" w:type="dxa"/>
            <w:shd w:val="clear" w:color="auto" w:fill="auto"/>
            <w:noWrap/>
            <w:vAlign w:val="center"/>
            <w:hideMark/>
          </w:tcPr>
          <w:p w14:paraId="4303EF9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0.5554</w:t>
            </w:r>
          </w:p>
        </w:tc>
        <w:tc>
          <w:tcPr>
            <w:tcW w:w="977" w:type="dxa"/>
            <w:shd w:val="clear" w:color="auto" w:fill="auto"/>
            <w:noWrap/>
            <w:vAlign w:val="center"/>
            <w:hideMark/>
          </w:tcPr>
          <w:p w14:paraId="090C3A5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0.578616</w:t>
            </w:r>
          </w:p>
        </w:tc>
        <w:tc>
          <w:tcPr>
            <w:tcW w:w="696" w:type="dxa"/>
            <w:shd w:val="clear" w:color="auto" w:fill="auto"/>
            <w:noWrap/>
            <w:vAlign w:val="center"/>
            <w:hideMark/>
          </w:tcPr>
          <w:p w14:paraId="35261EE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55.84%</w:t>
            </w:r>
          </w:p>
        </w:tc>
        <w:tc>
          <w:tcPr>
            <w:tcW w:w="839" w:type="dxa"/>
            <w:vAlign w:val="center"/>
          </w:tcPr>
          <w:p w14:paraId="127D3A5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c>
          <w:tcPr>
            <w:tcW w:w="642" w:type="dxa"/>
            <w:shd w:val="clear" w:color="auto" w:fill="auto"/>
            <w:noWrap/>
            <w:vAlign w:val="center"/>
            <w:hideMark/>
          </w:tcPr>
          <w:p w14:paraId="6934306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-2.20%</w:t>
            </w:r>
          </w:p>
        </w:tc>
        <w:tc>
          <w:tcPr>
            <w:tcW w:w="675" w:type="dxa"/>
            <w:shd w:val="clear" w:color="auto" w:fill="auto"/>
            <w:noWrap/>
            <w:vAlign w:val="center"/>
            <w:hideMark/>
          </w:tcPr>
          <w:p w14:paraId="1232224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-1.5928</w:t>
            </w:r>
          </w:p>
        </w:tc>
        <w:tc>
          <w:tcPr>
            <w:tcW w:w="766" w:type="dxa"/>
            <w:shd w:val="clear" w:color="auto" w:fill="auto"/>
            <w:noWrap/>
            <w:vAlign w:val="center"/>
            <w:hideMark/>
          </w:tcPr>
          <w:p w14:paraId="285AF55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0.111209</w:t>
            </w:r>
          </w:p>
        </w:tc>
        <w:tc>
          <w:tcPr>
            <w:tcW w:w="660" w:type="dxa"/>
            <w:shd w:val="clear" w:color="auto" w:fill="auto"/>
            <w:noWrap/>
            <w:vAlign w:val="center"/>
            <w:hideMark/>
          </w:tcPr>
          <w:p w14:paraId="4482A66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21.43%</w:t>
            </w:r>
          </w:p>
        </w:tc>
        <w:tc>
          <w:tcPr>
            <w:tcW w:w="687" w:type="dxa"/>
            <w:shd w:val="clear" w:color="auto" w:fill="auto"/>
            <w:noWrap/>
            <w:vAlign w:val="center"/>
            <w:hideMark/>
          </w:tcPr>
          <w:p w14:paraId="6336A62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-0.84%</w:t>
            </w:r>
          </w:p>
        </w:tc>
        <w:tc>
          <w:tcPr>
            <w:tcW w:w="656" w:type="dxa"/>
            <w:shd w:val="clear" w:color="auto" w:fill="auto"/>
            <w:noWrap/>
            <w:vAlign w:val="center"/>
            <w:hideMark/>
          </w:tcPr>
          <w:p w14:paraId="429196E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-0.4959</w:t>
            </w:r>
          </w:p>
        </w:tc>
        <w:tc>
          <w:tcPr>
            <w:tcW w:w="844" w:type="dxa"/>
            <w:shd w:val="clear" w:color="auto" w:fill="auto"/>
            <w:noWrap/>
            <w:vAlign w:val="center"/>
            <w:hideMark/>
          </w:tcPr>
          <w:p w14:paraId="665759E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0.619962</w:t>
            </w:r>
          </w:p>
        </w:tc>
        <w:tc>
          <w:tcPr>
            <w:tcW w:w="714" w:type="dxa"/>
            <w:shd w:val="clear" w:color="auto" w:fill="auto"/>
            <w:vAlign w:val="center"/>
          </w:tcPr>
          <w:p w14:paraId="4022183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33.33%</w:t>
            </w:r>
          </w:p>
        </w:tc>
        <w:tc>
          <w:tcPr>
            <w:tcW w:w="735" w:type="dxa"/>
            <w:vAlign w:val="center"/>
          </w:tcPr>
          <w:p w14:paraId="7708C40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40DD39DF" w14:textId="77777777" w:rsidTr="00B70718">
        <w:trPr>
          <w:trHeight w:val="315"/>
        </w:trPr>
        <w:tc>
          <w:tcPr>
            <w:tcW w:w="870" w:type="dxa"/>
            <w:tcBorders>
              <w:bottom w:val="single" w:sz="4" w:space="0" w:color="auto"/>
            </w:tcBorders>
            <w:shd w:val="clear" w:color="auto" w:fill="auto"/>
            <w:noWrap/>
            <w:vAlign w:val="center"/>
            <w:hideMark/>
          </w:tcPr>
          <w:p w14:paraId="1178CC8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tcBorders>
              <w:bottom w:val="single" w:sz="4" w:space="0" w:color="auto"/>
            </w:tcBorders>
            <w:shd w:val="clear" w:color="auto" w:fill="auto"/>
            <w:noWrap/>
            <w:vAlign w:val="center"/>
            <w:hideMark/>
          </w:tcPr>
          <w:p w14:paraId="624A3F6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-2.08%</w:t>
            </w:r>
          </w:p>
        </w:tc>
        <w:tc>
          <w:tcPr>
            <w:tcW w:w="674" w:type="dxa"/>
            <w:tcBorders>
              <w:bottom w:val="single" w:sz="4" w:space="0" w:color="auto"/>
            </w:tcBorders>
            <w:shd w:val="clear" w:color="auto" w:fill="auto"/>
            <w:noWrap/>
            <w:vAlign w:val="center"/>
            <w:hideMark/>
          </w:tcPr>
          <w:p w14:paraId="556EA09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-1.5202</w:t>
            </w:r>
          </w:p>
        </w:tc>
        <w:tc>
          <w:tcPr>
            <w:tcW w:w="765" w:type="dxa"/>
            <w:tcBorders>
              <w:bottom w:val="single" w:sz="4" w:space="0" w:color="auto"/>
            </w:tcBorders>
            <w:shd w:val="clear" w:color="auto" w:fill="auto"/>
            <w:noWrap/>
            <w:vAlign w:val="center"/>
            <w:hideMark/>
          </w:tcPr>
          <w:p w14:paraId="1013A2B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0.128464</w:t>
            </w:r>
          </w:p>
        </w:tc>
        <w:tc>
          <w:tcPr>
            <w:tcW w:w="695" w:type="dxa"/>
            <w:tcBorders>
              <w:bottom w:val="single" w:sz="4" w:space="0" w:color="auto"/>
            </w:tcBorders>
            <w:shd w:val="clear" w:color="auto" w:fill="auto"/>
            <w:noWrap/>
            <w:vAlign w:val="center"/>
            <w:hideMark/>
          </w:tcPr>
          <w:p w14:paraId="5C56027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13.33%</w:t>
            </w:r>
          </w:p>
        </w:tc>
        <w:tc>
          <w:tcPr>
            <w:tcW w:w="714" w:type="dxa"/>
            <w:tcBorders>
              <w:bottom w:val="single" w:sz="4" w:space="0" w:color="auto"/>
            </w:tcBorders>
            <w:shd w:val="clear" w:color="auto" w:fill="auto"/>
            <w:noWrap/>
            <w:vAlign w:val="center"/>
            <w:hideMark/>
          </w:tcPr>
          <w:p w14:paraId="6AAAAEE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-0.25%</w:t>
            </w:r>
          </w:p>
        </w:tc>
        <w:tc>
          <w:tcPr>
            <w:tcW w:w="754" w:type="dxa"/>
            <w:tcBorders>
              <w:bottom w:val="single" w:sz="4" w:space="0" w:color="auto"/>
            </w:tcBorders>
            <w:shd w:val="clear" w:color="auto" w:fill="auto"/>
            <w:noWrap/>
            <w:vAlign w:val="center"/>
            <w:hideMark/>
          </w:tcPr>
          <w:p w14:paraId="3105D6C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-1.1172</w:t>
            </w:r>
          </w:p>
        </w:tc>
        <w:tc>
          <w:tcPr>
            <w:tcW w:w="977" w:type="dxa"/>
            <w:tcBorders>
              <w:bottom w:val="single" w:sz="4" w:space="0" w:color="auto"/>
            </w:tcBorders>
            <w:shd w:val="clear" w:color="auto" w:fill="auto"/>
            <w:noWrap/>
            <w:vAlign w:val="center"/>
            <w:hideMark/>
          </w:tcPr>
          <w:p w14:paraId="480D3C8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0.263892</w:t>
            </w:r>
          </w:p>
        </w:tc>
        <w:tc>
          <w:tcPr>
            <w:tcW w:w="696" w:type="dxa"/>
            <w:tcBorders>
              <w:bottom w:val="single" w:sz="4" w:space="0" w:color="auto"/>
            </w:tcBorders>
            <w:shd w:val="clear" w:color="auto" w:fill="auto"/>
            <w:noWrap/>
            <w:vAlign w:val="center"/>
            <w:hideMark/>
          </w:tcPr>
          <w:p w14:paraId="3ED6DAC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50.65%</w:t>
            </w:r>
          </w:p>
        </w:tc>
        <w:tc>
          <w:tcPr>
            <w:tcW w:w="839" w:type="dxa"/>
            <w:tcBorders>
              <w:bottom w:val="single" w:sz="4" w:space="0" w:color="auto"/>
            </w:tcBorders>
            <w:vAlign w:val="center"/>
          </w:tcPr>
          <w:p w14:paraId="5394142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c>
          <w:tcPr>
            <w:tcW w:w="642" w:type="dxa"/>
            <w:tcBorders>
              <w:bottom w:val="single" w:sz="4" w:space="0" w:color="auto"/>
            </w:tcBorders>
            <w:shd w:val="clear" w:color="auto" w:fill="auto"/>
            <w:noWrap/>
            <w:vAlign w:val="center"/>
            <w:hideMark/>
          </w:tcPr>
          <w:p w14:paraId="72D612C7"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-3.61%</w:t>
            </w:r>
          </w:p>
        </w:tc>
        <w:tc>
          <w:tcPr>
            <w:tcW w:w="675" w:type="dxa"/>
            <w:tcBorders>
              <w:bottom w:val="single" w:sz="4" w:space="0" w:color="auto"/>
            </w:tcBorders>
            <w:shd w:val="clear" w:color="auto" w:fill="auto"/>
            <w:noWrap/>
            <w:vAlign w:val="center"/>
            <w:hideMark/>
          </w:tcPr>
          <w:p w14:paraId="199B4ABD"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-2.2785</w:t>
            </w:r>
          </w:p>
        </w:tc>
        <w:tc>
          <w:tcPr>
            <w:tcW w:w="766" w:type="dxa"/>
            <w:tcBorders>
              <w:bottom w:val="single" w:sz="4" w:space="0" w:color="auto"/>
            </w:tcBorders>
            <w:shd w:val="clear" w:color="auto" w:fill="auto"/>
            <w:noWrap/>
            <w:vAlign w:val="center"/>
            <w:hideMark/>
          </w:tcPr>
          <w:p w14:paraId="758F049B"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0.022694</w:t>
            </w:r>
          </w:p>
        </w:tc>
        <w:tc>
          <w:tcPr>
            <w:tcW w:w="660" w:type="dxa"/>
            <w:tcBorders>
              <w:bottom w:val="single" w:sz="4" w:space="0" w:color="auto"/>
            </w:tcBorders>
            <w:shd w:val="clear" w:color="auto" w:fill="auto"/>
            <w:noWrap/>
            <w:vAlign w:val="center"/>
            <w:hideMark/>
          </w:tcPr>
          <w:p w14:paraId="0AB0A73F"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7.14%</w:t>
            </w:r>
          </w:p>
        </w:tc>
        <w:tc>
          <w:tcPr>
            <w:tcW w:w="687" w:type="dxa"/>
            <w:tcBorders>
              <w:bottom w:val="single" w:sz="4" w:space="0" w:color="auto"/>
            </w:tcBorders>
            <w:shd w:val="clear" w:color="auto" w:fill="auto"/>
            <w:noWrap/>
            <w:vAlign w:val="center"/>
            <w:hideMark/>
          </w:tcPr>
          <w:p w14:paraId="360CD5F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-1.38%</w:t>
            </w:r>
          </w:p>
        </w:tc>
        <w:tc>
          <w:tcPr>
            <w:tcW w:w="656" w:type="dxa"/>
            <w:tcBorders>
              <w:bottom w:val="single" w:sz="4" w:space="0" w:color="auto"/>
            </w:tcBorders>
            <w:shd w:val="clear" w:color="auto" w:fill="auto"/>
            <w:noWrap/>
            <w:vAlign w:val="center"/>
            <w:hideMark/>
          </w:tcPr>
          <w:p w14:paraId="2578E91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-1.0916</w:t>
            </w:r>
          </w:p>
        </w:tc>
        <w:tc>
          <w:tcPr>
            <w:tcW w:w="844" w:type="dxa"/>
            <w:tcBorders>
              <w:bottom w:val="single" w:sz="4" w:space="0" w:color="auto"/>
            </w:tcBorders>
            <w:shd w:val="clear" w:color="auto" w:fill="auto"/>
            <w:noWrap/>
            <w:vAlign w:val="center"/>
            <w:hideMark/>
          </w:tcPr>
          <w:p w14:paraId="2A926C4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0.275029</w:t>
            </w:r>
          </w:p>
        </w:tc>
        <w:tc>
          <w:tcPr>
            <w:tcW w:w="714" w:type="dxa"/>
            <w:tcBorders>
              <w:bottom w:val="single" w:sz="4" w:space="0" w:color="auto"/>
            </w:tcBorders>
            <w:shd w:val="clear" w:color="auto" w:fill="auto"/>
            <w:vAlign w:val="center"/>
          </w:tcPr>
          <w:p w14:paraId="4E50824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11.11%</w:t>
            </w:r>
          </w:p>
        </w:tc>
        <w:tc>
          <w:tcPr>
            <w:tcW w:w="735" w:type="dxa"/>
            <w:tcBorders>
              <w:bottom w:val="single" w:sz="4" w:space="0" w:color="auto"/>
            </w:tcBorders>
            <w:vAlign w:val="center"/>
          </w:tcPr>
          <w:p w14:paraId="01A20D1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r>
      <w:tr w:rsidR="007F6BC9" w:rsidRPr="008C28EB" w14:paraId="2404C858" w14:textId="77777777" w:rsidTr="00B70718">
        <w:trPr>
          <w:trHeight w:val="300"/>
        </w:trPr>
        <w:tc>
          <w:tcPr>
            <w:tcW w:w="870" w:type="dxa"/>
            <w:tcBorders>
              <w:top w:val="single" w:sz="4" w:space="0" w:color="auto"/>
              <w:bottom w:val="single" w:sz="4" w:space="0" w:color="auto"/>
            </w:tcBorders>
            <w:shd w:val="clear" w:color="auto" w:fill="auto"/>
            <w:vAlign w:val="center"/>
            <w:hideMark/>
          </w:tcPr>
          <w:p w14:paraId="0201E5ED"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03/02/2014</w:t>
            </w:r>
          </w:p>
        </w:tc>
        <w:tc>
          <w:tcPr>
            <w:tcW w:w="643" w:type="dxa"/>
            <w:tcBorders>
              <w:top w:val="single" w:sz="4" w:space="0" w:color="auto"/>
              <w:bottom w:val="single" w:sz="4" w:space="0" w:color="auto"/>
            </w:tcBorders>
            <w:shd w:val="clear" w:color="auto" w:fill="auto"/>
            <w:noWrap/>
            <w:vAlign w:val="center"/>
            <w:hideMark/>
          </w:tcPr>
          <w:p w14:paraId="1DDE5FB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770B705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0CE1773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40A69EF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532E4A5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31E6E42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01CC031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0A9E548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771E99F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6C05630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25B5BB9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47EB8AC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3237706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13DFC1D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0A1B0A5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4A68E49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3516D3D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47C9CE8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03F3C5FF" w14:textId="77777777" w:rsidTr="00B70718">
        <w:trPr>
          <w:trHeight w:val="300"/>
        </w:trPr>
        <w:tc>
          <w:tcPr>
            <w:tcW w:w="870" w:type="dxa"/>
            <w:tcBorders>
              <w:top w:val="single" w:sz="4" w:space="0" w:color="auto"/>
            </w:tcBorders>
            <w:shd w:val="clear" w:color="auto" w:fill="auto"/>
            <w:noWrap/>
            <w:vAlign w:val="center"/>
            <w:hideMark/>
          </w:tcPr>
          <w:p w14:paraId="66868D6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52EB22B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1.41%</w:t>
            </w:r>
          </w:p>
        </w:tc>
        <w:tc>
          <w:tcPr>
            <w:tcW w:w="674" w:type="dxa"/>
            <w:tcBorders>
              <w:top w:val="single" w:sz="4" w:space="0" w:color="auto"/>
            </w:tcBorders>
            <w:shd w:val="clear" w:color="auto" w:fill="auto"/>
            <w:noWrap/>
            <w:vAlign w:val="center"/>
            <w:hideMark/>
          </w:tcPr>
          <w:p w14:paraId="219FF48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0.8583</w:t>
            </w:r>
          </w:p>
        </w:tc>
        <w:tc>
          <w:tcPr>
            <w:tcW w:w="765" w:type="dxa"/>
            <w:tcBorders>
              <w:top w:val="single" w:sz="4" w:space="0" w:color="auto"/>
            </w:tcBorders>
            <w:shd w:val="clear" w:color="auto" w:fill="auto"/>
            <w:noWrap/>
            <w:vAlign w:val="center"/>
            <w:hideMark/>
          </w:tcPr>
          <w:p w14:paraId="10752A1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0.390727</w:t>
            </w:r>
          </w:p>
        </w:tc>
        <w:tc>
          <w:tcPr>
            <w:tcW w:w="695" w:type="dxa"/>
            <w:tcBorders>
              <w:top w:val="single" w:sz="4" w:space="0" w:color="auto"/>
            </w:tcBorders>
            <w:shd w:val="clear" w:color="auto" w:fill="auto"/>
            <w:noWrap/>
            <w:vAlign w:val="center"/>
            <w:hideMark/>
          </w:tcPr>
          <w:p w14:paraId="79DCE45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73.33%</w:t>
            </w:r>
          </w:p>
        </w:tc>
        <w:tc>
          <w:tcPr>
            <w:tcW w:w="714" w:type="dxa"/>
            <w:tcBorders>
              <w:top w:val="single" w:sz="4" w:space="0" w:color="auto"/>
            </w:tcBorders>
            <w:shd w:val="clear" w:color="auto" w:fill="auto"/>
            <w:noWrap/>
            <w:vAlign w:val="center"/>
            <w:hideMark/>
          </w:tcPr>
          <w:p w14:paraId="2A31911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0.02%</w:t>
            </w:r>
          </w:p>
        </w:tc>
        <w:tc>
          <w:tcPr>
            <w:tcW w:w="754" w:type="dxa"/>
            <w:tcBorders>
              <w:top w:val="single" w:sz="4" w:space="0" w:color="auto"/>
            </w:tcBorders>
            <w:shd w:val="clear" w:color="auto" w:fill="auto"/>
            <w:noWrap/>
            <w:vAlign w:val="center"/>
            <w:hideMark/>
          </w:tcPr>
          <w:p w14:paraId="4A98CA6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0.6220</w:t>
            </w:r>
          </w:p>
        </w:tc>
        <w:tc>
          <w:tcPr>
            <w:tcW w:w="977" w:type="dxa"/>
            <w:tcBorders>
              <w:top w:val="single" w:sz="4" w:space="0" w:color="auto"/>
            </w:tcBorders>
            <w:shd w:val="clear" w:color="auto" w:fill="auto"/>
            <w:noWrap/>
            <w:vAlign w:val="center"/>
            <w:hideMark/>
          </w:tcPr>
          <w:p w14:paraId="62995BC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0.533942</w:t>
            </w:r>
          </w:p>
        </w:tc>
        <w:tc>
          <w:tcPr>
            <w:tcW w:w="696" w:type="dxa"/>
            <w:tcBorders>
              <w:top w:val="single" w:sz="4" w:space="0" w:color="auto"/>
            </w:tcBorders>
            <w:shd w:val="clear" w:color="auto" w:fill="auto"/>
            <w:noWrap/>
            <w:vAlign w:val="center"/>
            <w:hideMark/>
          </w:tcPr>
          <w:p w14:paraId="3061FDD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54.32%</w:t>
            </w:r>
          </w:p>
        </w:tc>
        <w:tc>
          <w:tcPr>
            <w:tcW w:w="839" w:type="dxa"/>
            <w:tcBorders>
              <w:top w:val="single" w:sz="4" w:space="0" w:color="auto"/>
            </w:tcBorders>
            <w:vAlign w:val="center"/>
          </w:tcPr>
          <w:p w14:paraId="3A54DFB4" w14:textId="77777777" w:rsidR="007F6BC9" w:rsidRPr="008C28EB" w:rsidRDefault="007F6BC9" w:rsidP="00B70718">
            <w:pPr>
              <w:spacing w:after="0" w:line="240" w:lineRule="auto"/>
              <w:jc w:val="center"/>
              <w:rPr>
                <w:rFonts w:ascii="Times New Roman" w:hAnsi="Times New Roman"/>
                <w:sz w:val="16"/>
                <w:szCs w:val="16"/>
                <w:lang w:val="en-US"/>
              </w:rPr>
            </w:pPr>
            <w:r w:rsidRPr="008C28EB">
              <w:rPr>
                <w:rFonts w:ascii="Times New Roman" w:hAnsi="Times New Roman"/>
                <w:sz w:val="16"/>
                <w:szCs w:val="16"/>
                <w:lang w:val="en-US"/>
              </w:rPr>
              <w:t>n.s.</w:t>
            </w:r>
          </w:p>
        </w:tc>
        <w:tc>
          <w:tcPr>
            <w:tcW w:w="642" w:type="dxa"/>
            <w:tcBorders>
              <w:top w:val="single" w:sz="4" w:space="0" w:color="auto"/>
            </w:tcBorders>
            <w:shd w:val="clear" w:color="auto" w:fill="auto"/>
            <w:noWrap/>
            <w:vAlign w:val="center"/>
            <w:hideMark/>
          </w:tcPr>
          <w:p w14:paraId="6516BCC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1.48%</w:t>
            </w:r>
          </w:p>
        </w:tc>
        <w:tc>
          <w:tcPr>
            <w:tcW w:w="675" w:type="dxa"/>
            <w:tcBorders>
              <w:top w:val="single" w:sz="4" w:space="0" w:color="auto"/>
            </w:tcBorders>
            <w:shd w:val="clear" w:color="auto" w:fill="auto"/>
            <w:noWrap/>
            <w:vAlign w:val="center"/>
            <w:hideMark/>
          </w:tcPr>
          <w:p w14:paraId="3454131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0.9491</w:t>
            </w:r>
          </w:p>
        </w:tc>
        <w:tc>
          <w:tcPr>
            <w:tcW w:w="766" w:type="dxa"/>
            <w:tcBorders>
              <w:top w:val="single" w:sz="4" w:space="0" w:color="auto"/>
            </w:tcBorders>
            <w:shd w:val="clear" w:color="auto" w:fill="auto"/>
            <w:noWrap/>
            <w:vAlign w:val="center"/>
            <w:hideMark/>
          </w:tcPr>
          <w:p w14:paraId="186CAD6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0.342551</w:t>
            </w:r>
          </w:p>
        </w:tc>
        <w:tc>
          <w:tcPr>
            <w:tcW w:w="660" w:type="dxa"/>
            <w:tcBorders>
              <w:top w:val="single" w:sz="4" w:space="0" w:color="auto"/>
            </w:tcBorders>
            <w:shd w:val="clear" w:color="auto" w:fill="auto"/>
            <w:noWrap/>
            <w:vAlign w:val="center"/>
            <w:hideMark/>
          </w:tcPr>
          <w:p w14:paraId="1C43FDD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71.43%</w:t>
            </w:r>
          </w:p>
        </w:tc>
        <w:tc>
          <w:tcPr>
            <w:tcW w:w="687" w:type="dxa"/>
            <w:tcBorders>
              <w:top w:val="single" w:sz="4" w:space="0" w:color="auto"/>
            </w:tcBorders>
            <w:shd w:val="clear" w:color="auto" w:fill="auto"/>
            <w:noWrap/>
            <w:vAlign w:val="center"/>
            <w:hideMark/>
          </w:tcPr>
          <w:p w14:paraId="776CE86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1.38%</w:t>
            </w:r>
          </w:p>
        </w:tc>
        <w:tc>
          <w:tcPr>
            <w:tcW w:w="656" w:type="dxa"/>
            <w:tcBorders>
              <w:top w:val="single" w:sz="4" w:space="0" w:color="auto"/>
            </w:tcBorders>
            <w:shd w:val="clear" w:color="auto" w:fill="auto"/>
            <w:noWrap/>
            <w:vAlign w:val="center"/>
            <w:hideMark/>
          </w:tcPr>
          <w:p w14:paraId="281CC17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0.7189</w:t>
            </w:r>
          </w:p>
        </w:tc>
        <w:tc>
          <w:tcPr>
            <w:tcW w:w="844" w:type="dxa"/>
            <w:tcBorders>
              <w:top w:val="single" w:sz="4" w:space="0" w:color="auto"/>
            </w:tcBorders>
            <w:shd w:val="clear" w:color="auto" w:fill="auto"/>
            <w:noWrap/>
            <w:vAlign w:val="center"/>
            <w:hideMark/>
          </w:tcPr>
          <w:p w14:paraId="7235AFA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0.472197</w:t>
            </w:r>
          </w:p>
        </w:tc>
        <w:tc>
          <w:tcPr>
            <w:tcW w:w="714" w:type="dxa"/>
            <w:tcBorders>
              <w:top w:val="single" w:sz="4" w:space="0" w:color="auto"/>
            </w:tcBorders>
            <w:shd w:val="clear" w:color="auto" w:fill="auto"/>
            <w:vAlign w:val="center"/>
          </w:tcPr>
          <w:p w14:paraId="10A00B2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88.89%</w:t>
            </w:r>
          </w:p>
        </w:tc>
        <w:tc>
          <w:tcPr>
            <w:tcW w:w="735" w:type="dxa"/>
            <w:tcBorders>
              <w:top w:val="single" w:sz="4" w:space="0" w:color="auto"/>
            </w:tcBorders>
            <w:vAlign w:val="center"/>
          </w:tcPr>
          <w:p w14:paraId="66D7E83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n.s.</w:t>
            </w:r>
          </w:p>
        </w:tc>
      </w:tr>
      <w:tr w:rsidR="007F6BC9" w:rsidRPr="008C28EB" w14:paraId="272274B5" w14:textId="77777777" w:rsidTr="00B70718">
        <w:trPr>
          <w:trHeight w:val="300"/>
        </w:trPr>
        <w:tc>
          <w:tcPr>
            <w:tcW w:w="870" w:type="dxa"/>
            <w:shd w:val="clear" w:color="auto" w:fill="auto"/>
            <w:noWrap/>
            <w:vAlign w:val="center"/>
            <w:hideMark/>
          </w:tcPr>
          <w:p w14:paraId="39FF767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1870A13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1.03%</w:t>
            </w:r>
          </w:p>
        </w:tc>
        <w:tc>
          <w:tcPr>
            <w:tcW w:w="674" w:type="dxa"/>
            <w:shd w:val="clear" w:color="auto" w:fill="auto"/>
            <w:noWrap/>
            <w:vAlign w:val="center"/>
            <w:hideMark/>
          </w:tcPr>
          <w:p w14:paraId="33E5FA6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0.7251</w:t>
            </w:r>
          </w:p>
        </w:tc>
        <w:tc>
          <w:tcPr>
            <w:tcW w:w="765" w:type="dxa"/>
            <w:shd w:val="clear" w:color="auto" w:fill="auto"/>
            <w:noWrap/>
            <w:vAlign w:val="center"/>
            <w:hideMark/>
          </w:tcPr>
          <w:p w14:paraId="18C4DE9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0.468396</w:t>
            </w:r>
          </w:p>
        </w:tc>
        <w:tc>
          <w:tcPr>
            <w:tcW w:w="695" w:type="dxa"/>
            <w:shd w:val="clear" w:color="auto" w:fill="auto"/>
            <w:noWrap/>
            <w:vAlign w:val="center"/>
            <w:hideMark/>
          </w:tcPr>
          <w:p w14:paraId="539C537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75.56%</w:t>
            </w:r>
          </w:p>
        </w:tc>
        <w:tc>
          <w:tcPr>
            <w:tcW w:w="714" w:type="dxa"/>
            <w:shd w:val="clear" w:color="auto" w:fill="auto"/>
            <w:noWrap/>
            <w:vAlign w:val="center"/>
            <w:hideMark/>
          </w:tcPr>
          <w:p w14:paraId="2F3C06A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0.21%</w:t>
            </w:r>
          </w:p>
        </w:tc>
        <w:tc>
          <w:tcPr>
            <w:tcW w:w="754" w:type="dxa"/>
            <w:shd w:val="clear" w:color="auto" w:fill="auto"/>
            <w:noWrap/>
            <w:vAlign w:val="center"/>
            <w:hideMark/>
          </w:tcPr>
          <w:p w14:paraId="2CD8148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0.7125</w:t>
            </w:r>
          </w:p>
        </w:tc>
        <w:tc>
          <w:tcPr>
            <w:tcW w:w="977" w:type="dxa"/>
            <w:shd w:val="clear" w:color="auto" w:fill="auto"/>
            <w:noWrap/>
            <w:vAlign w:val="center"/>
            <w:hideMark/>
          </w:tcPr>
          <w:p w14:paraId="7897588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0.476172</w:t>
            </w:r>
          </w:p>
        </w:tc>
        <w:tc>
          <w:tcPr>
            <w:tcW w:w="696" w:type="dxa"/>
            <w:shd w:val="clear" w:color="auto" w:fill="auto"/>
            <w:noWrap/>
            <w:vAlign w:val="center"/>
            <w:hideMark/>
          </w:tcPr>
          <w:p w14:paraId="612D023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56.79%</w:t>
            </w:r>
          </w:p>
        </w:tc>
        <w:tc>
          <w:tcPr>
            <w:tcW w:w="839" w:type="dxa"/>
            <w:vAlign w:val="center"/>
          </w:tcPr>
          <w:p w14:paraId="16BA2470" w14:textId="77777777" w:rsidR="007F6BC9" w:rsidRPr="008C28EB" w:rsidRDefault="007F6BC9" w:rsidP="00B70718">
            <w:pPr>
              <w:spacing w:after="0" w:line="240" w:lineRule="auto"/>
              <w:jc w:val="center"/>
              <w:rPr>
                <w:lang w:val="en-US"/>
              </w:rPr>
            </w:pPr>
            <w:r w:rsidRPr="008C28EB">
              <w:rPr>
                <w:rFonts w:ascii="Times New Roman" w:hAnsi="Times New Roman"/>
                <w:sz w:val="16"/>
                <w:szCs w:val="16"/>
                <w:lang w:val="en-US"/>
              </w:rPr>
              <w:t>n.s.</w:t>
            </w:r>
          </w:p>
        </w:tc>
        <w:tc>
          <w:tcPr>
            <w:tcW w:w="642" w:type="dxa"/>
            <w:shd w:val="clear" w:color="auto" w:fill="auto"/>
            <w:noWrap/>
            <w:vAlign w:val="center"/>
            <w:hideMark/>
          </w:tcPr>
          <w:p w14:paraId="7E14A23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0.67%</w:t>
            </w:r>
          </w:p>
        </w:tc>
        <w:tc>
          <w:tcPr>
            <w:tcW w:w="675" w:type="dxa"/>
            <w:shd w:val="clear" w:color="auto" w:fill="auto"/>
            <w:noWrap/>
            <w:vAlign w:val="center"/>
            <w:hideMark/>
          </w:tcPr>
          <w:p w14:paraId="78A02DC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0.4124</w:t>
            </w:r>
          </w:p>
        </w:tc>
        <w:tc>
          <w:tcPr>
            <w:tcW w:w="766" w:type="dxa"/>
            <w:shd w:val="clear" w:color="auto" w:fill="auto"/>
            <w:noWrap/>
            <w:vAlign w:val="center"/>
            <w:hideMark/>
          </w:tcPr>
          <w:p w14:paraId="34086F9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0.680022</w:t>
            </w:r>
          </w:p>
        </w:tc>
        <w:tc>
          <w:tcPr>
            <w:tcW w:w="660" w:type="dxa"/>
            <w:shd w:val="clear" w:color="auto" w:fill="auto"/>
            <w:noWrap/>
            <w:vAlign w:val="center"/>
            <w:hideMark/>
          </w:tcPr>
          <w:p w14:paraId="42AD3D3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71.43%</w:t>
            </w:r>
          </w:p>
        </w:tc>
        <w:tc>
          <w:tcPr>
            <w:tcW w:w="687" w:type="dxa"/>
            <w:shd w:val="clear" w:color="auto" w:fill="auto"/>
            <w:noWrap/>
            <w:vAlign w:val="center"/>
            <w:hideMark/>
          </w:tcPr>
          <w:p w14:paraId="0B12F0A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1.19%</w:t>
            </w:r>
          </w:p>
        </w:tc>
        <w:tc>
          <w:tcPr>
            <w:tcW w:w="656" w:type="dxa"/>
            <w:shd w:val="clear" w:color="auto" w:fill="auto"/>
            <w:noWrap/>
            <w:vAlign w:val="center"/>
            <w:hideMark/>
          </w:tcPr>
          <w:p w14:paraId="70A7FA6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0.8383</w:t>
            </w:r>
          </w:p>
        </w:tc>
        <w:tc>
          <w:tcPr>
            <w:tcW w:w="844" w:type="dxa"/>
            <w:shd w:val="clear" w:color="auto" w:fill="auto"/>
            <w:noWrap/>
            <w:vAlign w:val="center"/>
            <w:hideMark/>
          </w:tcPr>
          <w:p w14:paraId="773F492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0.401842</w:t>
            </w:r>
          </w:p>
        </w:tc>
        <w:tc>
          <w:tcPr>
            <w:tcW w:w="714" w:type="dxa"/>
            <w:shd w:val="clear" w:color="auto" w:fill="auto"/>
            <w:vAlign w:val="center"/>
          </w:tcPr>
          <w:p w14:paraId="51E5DB9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88.89%</w:t>
            </w:r>
          </w:p>
        </w:tc>
        <w:tc>
          <w:tcPr>
            <w:tcW w:w="735" w:type="dxa"/>
            <w:vAlign w:val="center"/>
          </w:tcPr>
          <w:p w14:paraId="7A26373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n.s.</w:t>
            </w:r>
          </w:p>
        </w:tc>
      </w:tr>
      <w:tr w:rsidR="007F6BC9" w:rsidRPr="008C28EB" w14:paraId="100A6E6B" w14:textId="77777777" w:rsidTr="00B70718">
        <w:trPr>
          <w:trHeight w:val="315"/>
        </w:trPr>
        <w:tc>
          <w:tcPr>
            <w:tcW w:w="870" w:type="dxa"/>
            <w:tcBorders>
              <w:bottom w:val="single" w:sz="4" w:space="0" w:color="auto"/>
            </w:tcBorders>
            <w:shd w:val="clear" w:color="auto" w:fill="auto"/>
            <w:noWrap/>
            <w:vAlign w:val="center"/>
            <w:hideMark/>
          </w:tcPr>
          <w:p w14:paraId="6FE4114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tcBorders>
              <w:bottom w:val="single" w:sz="4" w:space="0" w:color="auto"/>
            </w:tcBorders>
            <w:shd w:val="clear" w:color="auto" w:fill="auto"/>
            <w:noWrap/>
            <w:vAlign w:val="center"/>
            <w:hideMark/>
          </w:tcPr>
          <w:p w14:paraId="1B78B71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-0.42%</w:t>
            </w:r>
          </w:p>
        </w:tc>
        <w:tc>
          <w:tcPr>
            <w:tcW w:w="674" w:type="dxa"/>
            <w:tcBorders>
              <w:bottom w:val="single" w:sz="4" w:space="0" w:color="auto"/>
            </w:tcBorders>
            <w:shd w:val="clear" w:color="auto" w:fill="auto"/>
            <w:noWrap/>
            <w:vAlign w:val="center"/>
            <w:hideMark/>
          </w:tcPr>
          <w:p w14:paraId="01152B4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-0.4043</w:t>
            </w:r>
          </w:p>
        </w:tc>
        <w:tc>
          <w:tcPr>
            <w:tcW w:w="765" w:type="dxa"/>
            <w:tcBorders>
              <w:bottom w:val="single" w:sz="4" w:space="0" w:color="auto"/>
            </w:tcBorders>
            <w:shd w:val="clear" w:color="auto" w:fill="auto"/>
            <w:noWrap/>
            <w:vAlign w:val="center"/>
            <w:hideMark/>
          </w:tcPr>
          <w:p w14:paraId="242AEE0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0.685987</w:t>
            </w:r>
          </w:p>
        </w:tc>
        <w:tc>
          <w:tcPr>
            <w:tcW w:w="695" w:type="dxa"/>
            <w:tcBorders>
              <w:bottom w:val="single" w:sz="4" w:space="0" w:color="auto"/>
            </w:tcBorders>
            <w:shd w:val="clear" w:color="auto" w:fill="auto"/>
            <w:noWrap/>
            <w:vAlign w:val="center"/>
            <w:hideMark/>
          </w:tcPr>
          <w:p w14:paraId="1DFB7B1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46.67%</w:t>
            </w:r>
          </w:p>
        </w:tc>
        <w:tc>
          <w:tcPr>
            <w:tcW w:w="714" w:type="dxa"/>
            <w:tcBorders>
              <w:bottom w:val="single" w:sz="4" w:space="0" w:color="auto"/>
            </w:tcBorders>
            <w:shd w:val="clear" w:color="auto" w:fill="auto"/>
            <w:noWrap/>
            <w:vAlign w:val="center"/>
            <w:hideMark/>
          </w:tcPr>
          <w:p w14:paraId="53ACC9F9"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0.67%</w:t>
            </w:r>
          </w:p>
        </w:tc>
        <w:tc>
          <w:tcPr>
            <w:tcW w:w="754" w:type="dxa"/>
            <w:tcBorders>
              <w:bottom w:val="single" w:sz="4" w:space="0" w:color="auto"/>
            </w:tcBorders>
            <w:shd w:val="clear" w:color="auto" w:fill="auto"/>
            <w:noWrap/>
            <w:vAlign w:val="center"/>
            <w:hideMark/>
          </w:tcPr>
          <w:p w14:paraId="26CD3DA6"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1.8789</w:t>
            </w:r>
          </w:p>
        </w:tc>
        <w:tc>
          <w:tcPr>
            <w:tcW w:w="977" w:type="dxa"/>
            <w:tcBorders>
              <w:bottom w:val="single" w:sz="4" w:space="0" w:color="auto"/>
            </w:tcBorders>
            <w:shd w:val="clear" w:color="auto" w:fill="auto"/>
            <w:noWrap/>
            <w:vAlign w:val="center"/>
            <w:hideMark/>
          </w:tcPr>
          <w:p w14:paraId="2AC2BF8E"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0.060258</w:t>
            </w:r>
          </w:p>
        </w:tc>
        <w:tc>
          <w:tcPr>
            <w:tcW w:w="696" w:type="dxa"/>
            <w:tcBorders>
              <w:bottom w:val="single" w:sz="4" w:space="0" w:color="auto"/>
            </w:tcBorders>
            <w:shd w:val="clear" w:color="auto" w:fill="auto"/>
            <w:noWrap/>
            <w:vAlign w:val="center"/>
            <w:hideMark/>
          </w:tcPr>
          <w:p w14:paraId="0C3B718C"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69.14%</w:t>
            </w:r>
          </w:p>
        </w:tc>
        <w:tc>
          <w:tcPr>
            <w:tcW w:w="839" w:type="dxa"/>
            <w:tcBorders>
              <w:bottom w:val="single" w:sz="4" w:space="0" w:color="auto"/>
            </w:tcBorders>
            <w:vAlign w:val="center"/>
          </w:tcPr>
          <w:p w14:paraId="5F7FBBDC" w14:textId="77777777" w:rsidR="007F6BC9" w:rsidRPr="008C28EB" w:rsidRDefault="007F6BC9" w:rsidP="00B70718">
            <w:pPr>
              <w:spacing w:after="0" w:line="240" w:lineRule="auto"/>
              <w:jc w:val="center"/>
              <w:rPr>
                <w:lang w:val="en-US"/>
              </w:rPr>
            </w:pPr>
            <w:r w:rsidRPr="008C28EB">
              <w:rPr>
                <w:rFonts w:ascii="Times New Roman" w:hAnsi="Times New Roman"/>
                <w:sz w:val="16"/>
                <w:szCs w:val="16"/>
                <w:lang w:val="en-US"/>
              </w:rPr>
              <w:t>n.s.</w:t>
            </w:r>
          </w:p>
        </w:tc>
        <w:tc>
          <w:tcPr>
            <w:tcW w:w="642" w:type="dxa"/>
            <w:tcBorders>
              <w:bottom w:val="single" w:sz="4" w:space="0" w:color="auto"/>
            </w:tcBorders>
            <w:shd w:val="clear" w:color="auto" w:fill="auto"/>
            <w:noWrap/>
            <w:vAlign w:val="center"/>
            <w:hideMark/>
          </w:tcPr>
          <w:p w14:paraId="4256C30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-1.08%</w:t>
            </w:r>
          </w:p>
        </w:tc>
        <w:tc>
          <w:tcPr>
            <w:tcW w:w="675" w:type="dxa"/>
            <w:tcBorders>
              <w:bottom w:val="single" w:sz="4" w:space="0" w:color="auto"/>
            </w:tcBorders>
            <w:shd w:val="clear" w:color="auto" w:fill="auto"/>
            <w:noWrap/>
            <w:vAlign w:val="center"/>
            <w:hideMark/>
          </w:tcPr>
          <w:p w14:paraId="158406A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-0.5304</w:t>
            </w:r>
          </w:p>
        </w:tc>
        <w:tc>
          <w:tcPr>
            <w:tcW w:w="766" w:type="dxa"/>
            <w:tcBorders>
              <w:bottom w:val="single" w:sz="4" w:space="0" w:color="auto"/>
            </w:tcBorders>
            <w:shd w:val="clear" w:color="auto" w:fill="auto"/>
            <w:noWrap/>
            <w:vAlign w:val="center"/>
            <w:hideMark/>
          </w:tcPr>
          <w:p w14:paraId="04FF45B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0.595813</w:t>
            </w:r>
          </w:p>
        </w:tc>
        <w:tc>
          <w:tcPr>
            <w:tcW w:w="660" w:type="dxa"/>
            <w:tcBorders>
              <w:bottom w:val="single" w:sz="4" w:space="0" w:color="auto"/>
            </w:tcBorders>
            <w:shd w:val="clear" w:color="auto" w:fill="auto"/>
            <w:noWrap/>
            <w:vAlign w:val="center"/>
            <w:hideMark/>
          </w:tcPr>
          <w:p w14:paraId="5021BD7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50.00%</w:t>
            </w:r>
          </w:p>
        </w:tc>
        <w:tc>
          <w:tcPr>
            <w:tcW w:w="687" w:type="dxa"/>
            <w:tcBorders>
              <w:bottom w:val="single" w:sz="4" w:space="0" w:color="auto"/>
            </w:tcBorders>
            <w:shd w:val="clear" w:color="auto" w:fill="auto"/>
            <w:noWrap/>
            <w:vAlign w:val="center"/>
            <w:hideMark/>
          </w:tcPr>
          <w:p w14:paraId="396F5FF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-0.12%</w:t>
            </w:r>
          </w:p>
        </w:tc>
        <w:tc>
          <w:tcPr>
            <w:tcW w:w="656" w:type="dxa"/>
            <w:tcBorders>
              <w:bottom w:val="single" w:sz="4" w:space="0" w:color="auto"/>
            </w:tcBorders>
            <w:shd w:val="clear" w:color="auto" w:fill="auto"/>
            <w:noWrap/>
            <w:vAlign w:val="center"/>
            <w:hideMark/>
          </w:tcPr>
          <w:p w14:paraId="00C174B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-0.2975</w:t>
            </w:r>
          </w:p>
        </w:tc>
        <w:tc>
          <w:tcPr>
            <w:tcW w:w="844" w:type="dxa"/>
            <w:tcBorders>
              <w:bottom w:val="single" w:sz="4" w:space="0" w:color="auto"/>
            </w:tcBorders>
            <w:shd w:val="clear" w:color="auto" w:fill="auto"/>
            <w:noWrap/>
            <w:vAlign w:val="center"/>
            <w:hideMark/>
          </w:tcPr>
          <w:p w14:paraId="18A7CFE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0.766052</w:t>
            </w:r>
          </w:p>
        </w:tc>
        <w:tc>
          <w:tcPr>
            <w:tcW w:w="714" w:type="dxa"/>
            <w:tcBorders>
              <w:bottom w:val="single" w:sz="4" w:space="0" w:color="auto"/>
            </w:tcBorders>
            <w:shd w:val="clear" w:color="auto" w:fill="auto"/>
            <w:vAlign w:val="center"/>
          </w:tcPr>
          <w:p w14:paraId="78E06E1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66.67%</w:t>
            </w:r>
          </w:p>
        </w:tc>
        <w:tc>
          <w:tcPr>
            <w:tcW w:w="735" w:type="dxa"/>
            <w:tcBorders>
              <w:bottom w:val="single" w:sz="4" w:space="0" w:color="auto"/>
            </w:tcBorders>
            <w:vAlign w:val="center"/>
          </w:tcPr>
          <w:p w14:paraId="54EC807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n.s.</w:t>
            </w:r>
          </w:p>
        </w:tc>
      </w:tr>
      <w:tr w:rsidR="007F6BC9" w:rsidRPr="008C28EB" w14:paraId="76CD44EB" w14:textId="77777777" w:rsidTr="00B70718">
        <w:trPr>
          <w:trHeight w:val="300"/>
        </w:trPr>
        <w:tc>
          <w:tcPr>
            <w:tcW w:w="870" w:type="dxa"/>
            <w:tcBorders>
              <w:top w:val="single" w:sz="4" w:space="0" w:color="auto"/>
              <w:bottom w:val="single" w:sz="4" w:space="0" w:color="auto"/>
            </w:tcBorders>
            <w:shd w:val="clear" w:color="auto" w:fill="auto"/>
            <w:vAlign w:val="center"/>
            <w:hideMark/>
          </w:tcPr>
          <w:p w14:paraId="7B3AB00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11/03/2014</w:t>
            </w:r>
          </w:p>
        </w:tc>
        <w:tc>
          <w:tcPr>
            <w:tcW w:w="643" w:type="dxa"/>
            <w:tcBorders>
              <w:top w:val="single" w:sz="4" w:space="0" w:color="auto"/>
              <w:bottom w:val="single" w:sz="4" w:space="0" w:color="auto"/>
            </w:tcBorders>
            <w:shd w:val="clear" w:color="auto" w:fill="auto"/>
            <w:noWrap/>
            <w:vAlign w:val="center"/>
            <w:hideMark/>
          </w:tcPr>
          <w:p w14:paraId="157FB60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5F76773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5EC868E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496E0DC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1E14A38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18D1558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31CA97F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4435F2D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64B12C5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7BFE0AF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5BF6D8D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27EA159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5A4BE98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2D4A8A1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1F9FF74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56DE731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2EF18BA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038740C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6A96E7A2" w14:textId="77777777" w:rsidTr="00B70718">
        <w:trPr>
          <w:trHeight w:val="300"/>
        </w:trPr>
        <w:tc>
          <w:tcPr>
            <w:tcW w:w="870" w:type="dxa"/>
            <w:tcBorders>
              <w:top w:val="single" w:sz="4" w:space="0" w:color="auto"/>
            </w:tcBorders>
            <w:shd w:val="clear" w:color="auto" w:fill="auto"/>
            <w:noWrap/>
            <w:vAlign w:val="center"/>
            <w:hideMark/>
          </w:tcPr>
          <w:p w14:paraId="3BD9ECC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325D361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2.21%</w:t>
            </w:r>
          </w:p>
        </w:tc>
        <w:tc>
          <w:tcPr>
            <w:tcW w:w="674" w:type="dxa"/>
            <w:tcBorders>
              <w:top w:val="single" w:sz="4" w:space="0" w:color="auto"/>
            </w:tcBorders>
            <w:shd w:val="clear" w:color="auto" w:fill="auto"/>
            <w:noWrap/>
            <w:vAlign w:val="center"/>
            <w:hideMark/>
          </w:tcPr>
          <w:p w14:paraId="3CF0886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0.4057</w:t>
            </w:r>
          </w:p>
        </w:tc>
        <w:tc>
          <w:tcPr>
            <w:tcW w:w="765" w:type="dxa"/>
            <w:tcBorders>
              <w:top w:val="single" w:sz="4" w:space="0" w:color="auto"/>
            </w:tcBorders>
            <w:shd w:val="clear" w:color="auto" w:fill="auto"/>
            <w:noWrap/>
            <w:vAlign w:val="center"/>
            <w:hideMark/>
          </w:tcPr>
          <w:p w14:paraId="72AE1A9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0.684961</w:t>
            </w:r>
          </w:p>
        </w:tc>
        <w:tc>
          <w:tcPr>
            <w:tcW w:w="695" w:type="dxa"/>
            <w:tcBorders>
              <w:top w:val="single" w:sz="4" w:space="0" w:color="auto"/>
            </w:tcBorders>
            <w:shd w:val="clear" w:color="auto" w:fill="auto"/>
            <w:noWrap/>
            <w:vAlign w:val="center"/>
            <w:hideMark/>
          </w:tcPr>
          <w:p w14:paraId="1C3F8CD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62.22%</w:t>
            </w:r>
          </w:p>
        </w:tc>
        <w:tc>
          <w:tcPr>
            <w:tcW w:w="714" w:type="dxa"/>
            <w:tcBorders>
              <w:top w:val="single" w:sz="4" w:space="0" w:color="auto"/>
            </w:tcBorders>
            <w:shd w:val="clear" w:color="auto" w:fill="auto"/>
            <w:noWrap/>
            <w:vAlign w:val="center"/>
            <w:hideMark/>
          </w:tcPr>
          <w:p w14:paraId="4D0A05F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-0.63%</w:t>
            </w:r>
          </w:p>
        </w:tc>
        <w:tc>
          <w:tcPr>
            <w:tcW w:w="754" w:type="dxa"/>
            <w:tcBorders>
              <w:top w:val="single" w:sz="4" w:space="0" w:color="auto"/>
            </w:tcBorders>
            <w:shd w:val="clear" w:color="auto" w:fill="auto"/>
            <w:noWrap/>
            <w:vAlign w:val="center"/>
            <w:hideMark/>
          </w:tcPr>
          <w:p w14:paraId="1493BEF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-1.6060</w:t>
            </w:r>
          </w:p>
        </w:tc>
        <w:tc>
          <w:tcPr>
            <w:tcW w:w="977" w:type="dxa"/>
            <w:tcBorders>
              <w:top w:val="single" w:sz="4" w:space="0" w:color="auto"/>
            </w:tcBorders>
            <w:shd w:val="clear" w:color="auto" w:fill="auto"/>
            <w:noWrap/>
            <w:vAlign w:val="center"/>
            <w:hideMark/>
          </w:tcPr>
          <w:p w14:paraId="03126C6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0.108284</w:t>
            </w:r>
          </w:p>
        </w:tc>
        <w:tc>
          <w:tcPr>
            <w:tcW w:w="696" w:type="dxa"/>
            <w:tcBorders>
              <w:top w:val="single" w:sz="4" w:space="0" w:color="auto"/>
            </w:tcBorders>
            <w:shd w:val="clear" w:color="auto" w:fill="auto"/>
            <w:noWrap/>
            <w:vAlign w:val="center"/>
            <w:hideMark/>
          </w:tcPr>
          <w:p w14:paraId="74D4FD8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32.50%</w:t>
            </w:r>
          </w:p>
        </w:tc>
        <w:tc>
          <w:tcPr>
            <w:tcW w:w="839" w:type="dxa"/>
            <w:tcBorders>
              <w:top w:val="single" w:sz="4" w:space="0" w:color="auto"/>
            </w:tcBorders>
            <w:vAlign w:val="center"/>
          </w:tcPr>
          <w:p w14:paraId="2A1050D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w:t>
            </w:r>
          </w:p>
        </w:tc>
        <w:tc>
          <w:tcPr>
            <w:tcW w:w="642" w:type="dxa"/>
            <w:tcBorders>
              <w:top w:val="single" w:sz="4" w:space="0" w:color="auto"/>
            </w:tcBorders>
            <w:shd w:val="clear" w:color="auto" w:fill="auto"/>
            <w:noWrap/>
            <w:vAlign w:val="center"/>
            <w:hideMark/>
          </w:tcPr>
          <w:p w14:paraId="4EFAE6B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5.37%</w:t>
            </w:r>
          </w:p>
        </w:tc>
        <w:tc>
          <w:tcPr>
            <w:tcW w:w="675" w:type="dxa"/>
            <w:tcBorders>
              <w:top w:val="single" w:sz="4" w:space="0" w:color="auto"/>
            </w:tcBorders>
            <w:shd w:val="clear" w:color="auto" w:fill="auto"/>
            <w:noWrap/>
            <w:vAlign w:val="center"/>
            <w:hideMark/>
          </w:tcPr>
          <w:p w14:paraId="0A717EFB"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1.9520</w:t>
            </w:r>
          </w:p>
        </w:tc>
        <w:tc>
          <w:tcPr>
            <w:tcW w:w="766" w:type="dxa"/>
            <w:tcBorders>
              <w:top w:val="single" w:sz="4" w:space="0" w:color="auto"/>
            </w:tcBorders>
            <w:shd w:val="clear" w:color="auto" w:fill="auto"/>
            <w:noWrap/>
            <w:vAlign w:val="center"/>
            <w:hideMark/>
          </w:tcPr>
          <w:p w14:paraId="3F2112C3"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0.050936</w:t>
            </w:r>
          </w:p>
        </w:tc>
        <w:tc>
          <w:tcPr>
            <w:tcW w:w="660" w:type="dxa"/>
            <w:tcBorders>
              <w:top w:val="single" w:sz="4" w:space="0" w:color="auto"/>
            </w:tcBorders>
            <w:shd w:val="clear" w:color="auto" w:fill="auto"/>
            <w:noWrap/>
            <w:vAlign w:val="center"/>
            <w:hideMark/>
          </w:tcPr>
          <w:p w14:paraId="72D9A9CA"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85.71%</w:t>
            </w:r>
          </w:p>
        </w:tc>
        <w:tc>
          <w:tcPr>
            <w:tcW w:w="687" w:type="dxa"/>
            <w:tcBorders>
              <w:top w:val="single" w:sz="4" w:space="0" w:color="auto"/>
            </w:tcBorders>
            <w:shd w:val="clear" w:color="auto" w:fill="auto"/>
            <w:noWrap/>
            <w:vAlign w:val="center"/>
            <w:hideMark/>
          </w:tcPr>
          <w:p w14:paraId="23539A4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0.79%</w:t>
            </w:r>
          </w:p>
        </w:tc>
        <w:tc>
          <w:tcPr>
            <w:tcW w:w="656" w:type="dxa"/>
            <w:tcBorders>
              <w:top w:val="single" w:sz="4" w:space="0" w:color="auto"/>
            </w:tcBorders>
            <w:shd w:val="clear" w:color="auto" w:fill="auto"/>
            <w:noWrap/>
            <w:vAlign w:val="center"/>
            <w:hideMark/>
          </w:tcPr>
          <w:p w14:paraId="59516A6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0.0854</w:t>
            </w:r>
          </w:p>
        </w:tc>
        <w:tc>
          <w:tcPr>
            <w:tcW w:w="844" w:type="dxa"/>
            <w:tcBorders>
              <w:top w:val="single" w:sz="4" w:space="0" w:color="auto"/>
            </w:tcBorders>
            <w:shd w:val="clear" w:color="auto" w:fill="auto"/>
            <w:noWrap/>
            <w:vAlign w:val="center"/>
            <w:hideMark/>
          </w:tcPr>
          <w:p w14:paraId="236CEE5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0.931944</w:t>
            </w:r>
          </w:p>
        </w:tc>
        <w:tc>
          <w:tcPr>
            <w:tcW w:w="714" w:type="dxa"/>
            <w:tcBorders>
              <w:top w:val="single" w:sz="4" w:space="0" w:color="auto"/>
            </w:tcBorders>
            <w:shd w:val="clear" w:color="auto" w:fill="auto"/>
            <w:vAlign w:val="center"/>
          </w:tcPr>
          <w:p w14:paraId="2500DE3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100.00%</w:t>
            </w:r>
          </w:p>
        </w:tc>
        <w:tc>
          <w:tcPr>
            <w:tcW w:w="735" w:type="dxa"/>
            <w:tcBorders>
              <w:top w:val="single" w:sz="4" w:space="0" w:color="auto"/>
            </w:tcBorders>
            <w:vAlign w:val="center"/>
          </w:tcPr>
          <w:p w14:paraId="2D59D6E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w:t>
            </w:r>
          </w:p>
        </w:tc>
      </w:tr>
      <w:tr w:rsidR="007F6BC9" w:rsidRPr="008C28EB" w14:paraId="19771C00" w14:textId="77777777" w:rsidTr="00B70718">
        <w:trPr>
          <w:trHeight w:val="429"/>
        </w:trPr>
        <w:tc>
          <w:tcPr>
            <w:tcW w:w="870" w:type="dxa"/>
            <w:shd w:val="clear" w:color="auto" w:fill="auto"/>
            <w:noWrap/>
            <w:vAlign w:val="center"/>
            <w:hideMark/>
          </w:tcPr>
          <w:p w14:paraId="3A41322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722CF4A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0.88%</w:t>
            </w:r>
          </w:p>
        </w:tc>
        <w:tc>
          <w:tcPr>
            <w:tcW w:w="674" w:type="dxa"/>
            <w:shd w:val="clear" w:color="auto" w:fill="auto"/>
            <w:noWrap/>
            <w:vAlign w:val="center"/>
            <w:hideMark/>
          </w:tcPr>
          <w:p w14:paraId="41B199C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0.0372</w:t>
            </w:r>
          </w:p>
        </w:tc>
        <w:tc>
          <w:tcPr>
            <w:tcW w:w="765" w:type="dxa"/>
            <w:shd w:val="clear" w:color="auto" w:fill="auto"/>
            <w:noWrap/>
            <w:vAlign w:val="center"/>
            <w:hideMark/>
          </w:tcPr>
          <w:p w14:paraId="5564763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0.970323</w:t>
            </w:r>
          </w:p>
        </w:tc>
        <w:tc>
          <w:tcPr>
            <w:tcW w:w="695" w:type="dxa"/>
            <w:shd w:val="clear" w:color="auto" w:fill="auto"/>
            <w:noWrap/>
            <w:vAlign w:val="center"/>
            <w:hideMark/>
          </w:tcPr>
          <w:p w14:paraId="0A18653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44.44%</w:t>
            </w:r>
          </w:p>
        </w:tc>
        <w:tc>
          <w:tcPr>
            <w:tcW w:w="714" w:type="dxa"/>
            <w:shd w:val="clear" w:color="auto" w:fill="auto"/>
            <w:noWrap/>
            <w:vAlign w:val="center"/>
            <w:hideMark/>
          </w:tcPr>
          <w:p w14:paraId="64F0AAA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-0.73%</w:t>
            </w:r>
          </w:p>
        </w:tc>
        <w:tc>
          <w:tcPr>
            <w:tcW w:w="754" w:type="dxa"/>
            <w:shd w:val="clear" w:color="auto" w:fill="auto"/>
            <w:noWrap/>
            <w:vAlign w:val="center"/>
            <w:hideMark/>
          </w:tcPr>
          <w:p w14:paraId="7FCFAC2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-1.6425</w:t>
            </w:r>
          </w:p>
        </w:tc>
        <w:tc>
          <w:tcPr>
            <w:tcW w:w="977" w:type="dxa"/>
            <w:shd w:val="clear" w:color="auto" w:fill="auto"/>
            <w:noWrap/>
            <w:vAlign w:val="center"/>
            <w:hideMark/>
          </w:tcPr>
          <w:p w14:paraId="5D0CF63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0.100482</w:t>
            </w:r>
          </w:p>
        </w:tc>
        <w:tc>
          <w:tcPr>
            <w:tcW w:w="696" w:type="dxa"/>
            <w:shd w:val="clear" w:color="auto" w:fill="auto"/>
            <w:noWrap/>
            <w:vAlign w:val="center"/>
            <w:hideMark/>
          </w:tcPr>
          <w:p w14:paraId="554E7AE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35.00%</w:t>
            </w:r>
          </w:p>
        </w:tc>
        <w:tc>
          <w:tcPr>
            <w:tcW w:w="839" w:type="dxa"/>
            <w:vAlign w:val="center"/>
          </w:tcPr>
          <w:p w14:paraId="3ECE422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 *</w:t>
            </w:r>
          </w:p>
        </w:tc>
        <w:tc>
          <w:tcPr>
            <w:tcW w:w="642" w:type="dxa"/>
            <w:shd w:val="clear" w:color="auto" w:fill="auto"/>
            <w:noWrap/>
            <w:vAlign w:val="center"/>
            <w:hideMark/>
          </w:tcPr>
          <w:p w14:paraId="09CD395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3.25%</w:t>
            </w:r>
          </w:p>
        </w:tc>
        <w:tc>
          <w:tcPr>
            <w:tcW w:w="675" w:type="dxa"/>
            <w:shd w:val="clear" w:color="auto" w:fill="auto"/>
            <w:noWrap/>
            <w:vAlign w:val="center"/>
            <w:hideMark/>
          </w:tcPr>
          <w:p w14:paraId="211CE67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1.3782</w:t>
            </w:r>
          </w:p>
        </w:tc>
        <w:tc>
          <w:tcPr>
            <w:tcW w:w="766" w:type="dxa"/>
            <w:shd w:val="clear" w:color="auto" w:fill="auto"/>
            <w:noWrap/>
            <w:vAlign w:val="center"/>
            <w:hideMark/>
          </w:tcPr>
          <w:p w14:paraId="6CC3323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0.168128</w:t>
            </w:r>
          </w:p>
        </w:tc>
        <w:tc>
          <w:tcPr>
            <w:tcW w:w="660" w:type="dxa"/>
            <w:shd w:val="clear" w:color="auto" w:fill="auto"/>
            <w:noWrap/>
            <w:vAlign w:val="center"/>
            <w:hideMark/>
          </w:tcPr>
          <w:p w14:paraId="176B060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71.43%</w:t>
            </w:r>
          </w:p>
        </w:tc>
        <w:tc>
          <w:tcPr>
            <w:tcW w:w="687" w:type="dxa"/>
            <w:shd w:val="clear" w:color="auto" w:fill="auto"/>
            <w:noWrap/>
            <w:vAlign w:val="center"/>
            <w:hideMark/>
          </w:tcPr>
          <w:p w14:paraId="7FD4346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-0.18%</w:t>
            </w:r>
          </w:p>
        </w:tc>
        <w:tc>
          <w:tcPr>
            <w:tcW w:w="656" w:type="dxa"/>
            <w:shd w:val="clear" w:color="auto" w:fill="auto"/>
            <w:noWrap/>
            <w:vAlign w:val="center"/>
            <w:hideMark/>
          </w:tcPr>
          <w:p w14:paraId="0AEB542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-0.2434</w:t>
            </w:r>
          </w:p>
        </w:tc>
        <w:tc>
          <w:tcPr>
            <w:tcW w:w="844" w:type="dxa"/>
            <w:shd w:val="clear" w:color="auto" w:fill="auto"/>
            <w:noWrap/>
            <w:vAlign w:val="center"/>
            <w:hideMark/>
          </w:tcPr>
          <w:p w14:paraId="0107EBA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0.807706</w:t>
            </w:r>
          </w:p>
        </w:tc>
        <w:tc>
          <w:tcPr>
            <w:tcW w:w="714" w:type="dxa"/>
            <w:shd w:val="clear" w:color="auto" w:fill="auto"/>
            <w:vAlign w:val="center"/>
          </w:tcPr>
          <w:p w14:paraId="27E93CB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88.89%</w:t>
            </w:r>
          </w:p>
        </w:tc>
        <w:tc>
          <w:tcPr>
            <w:tcW w:w="735" w:type="dxa"/>
            <w:vAlign w:val="center"/>
          </w:tcPr>
          <w:p w14:paraId="39CA1AE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5498C449" w14:textId="77777777" w:rsidTr="00B70718">
        <w:trPr>
          <w:trHeight w:val="315"/>
        </w:trPr>
        <w:tc>
          <w:tcPr>
            <w:tcW w:w="870" w:type="dxa"/>
            <w:tcBorders>
              <w:bottom w:val="single" w:sz="4" w:space="0" w:color="auto"/>
            </w:tcBorders>
            <w:shd w:val="clear" w:color="auto" w:fill="auto"/>
            <w:noWrap/>
            <w:vAlign w:val="center"/>
            <w:hideMark/>
          </w:tcPr>
          <w:p w14:paraId="0979E26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tcBorders>
              <w:bottom w:val="single" w:sz="4" w:space="0" w:color="auto"/>
            </w:tcBorders>
            <w:shd w:val="clear" w:color="auto" w:fill="auto"/>
            <w:noWrap/>
            <w:vAlign w:val="center"/>
            <w:hideMark/>
          </w:tcPr>
          <w:p w14:paraId="23EF37F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1.53%</w:t>
            </w:r>
          </w:p>
        </w:tc>
        <w:tc>
          <w:tcPr>
            <w:tcW w:w="674" w:type="dxa"/>
            <w:tcBorders>
              <w:bottom w:val="single" w:sz="4" w:space="0" w:color="auto"/>
            </w:tcBorders>
            <w:shd w:val="clear" w:color="auto" w:fill="auto"/>
            <w:noWrap/>
            <w:vAlign w:val="center"/>
            <w:hideMark/>
          </w:tcPr>
          <w:p w14:paraId="2B42376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0.4691</w:t>
            </w:r>
          </w:p>
        </w:tc>
        <w:tc>
          <w:tcPr>
            <w:tcW w:w="765" w:type="dxa"/>
            <w:tcBorders>
              <w:bottom w:val="single" w:sz="4" w:space="0" w:color="auto"/>
            </w:tcBorders>
            <w:shd w:val="clear" w:color="auto" w:fill="auto"/>
            <w:noWrap/>
            <w:vAlign w:val="center"/>
            <w:hideMark/>
          </w:tcPr>
          <w:p w14:paraId="265420E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0.639005</w:t>
            </w:r>
          </w:p>
        </w:tc>
        <w:tc>
          <w:tcPr>
            <w:tcW w:w="695" w:type="dxa"/>
            <w:tcBorders>
              <w:bottom w:val="single" w:sz="4" w:space="0" w:color="auto"/>
            </w:tcBorders>
            <w:shd w:val="clear" w:color="auto" w:fill="auto"/>
            <w:noWrap/>
            <w:vAlign w:val="center"/>
            <w:hideMark/>
          </w:tcPr>
          <w:p w14:paraId="047EA6B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55.56%</w:t>
            </w:r>
          </w:p>
        </w:tc>
        <w:tc>
          <w:tcPr>
            <w:tcW w:w="714" w:type="dxa"/>
            <w:tcBorders>
              <w:bottom w:val="single" w:sz="4" w:space="0" w:color="auto"/>
            </w:tcBorders>
            <w:shd w:val="clear" w:color="auto" w:fill="auto"/>
            <w:noWrap/>
            <w:vAlign w:val="center"/>
            <w:hideMark/>
          </w:tcPr>
          <w:p w14:paraId="09CDA24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0.14%</w:t>
            </w:r>
          </w:p>
        </w:tc>
        <w:tc>
          <w:tcPr>
            <w:tcW w:w="754" w:type="dxa"/>
            <w:tcBorders>
              <w:bottom w:val="single" w:sz="4" w:space="0" w:color="auto"/>
            </w:tcBorders>
            <w:shd w:val="clear" w:color="auto" w:fill="auto"/>
            <w:noWrap/>
            <w:vAlign w:val="center"/>
            <w:hideMark/>
          </w:tcPr>
          <w:p w14:paraId="30D8412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0.4235</w:t>
            </w:r>
          </w:p>
        </w:tc>
        <w:tc>
          <w:tcPr>
            <w:tcW w:w="977" w:type="dxa"/>
            <w:tcBorders>
              <w:bottom w:val="single" w:sz="4" w:space="0" w:color="auto"/>
            </w:tcBorders>
            <w:shd w:val="clear" w:color="auto" w:fill="auto"/>
            <w:noWrap/>
            <w:vAlign w:val="center"/>
            <w:hideMark/>
          </w:tcPr>
          <w:p w14:paraId="7349806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0.671961</w:t>
            </w:r>
          </w:p>
        </w:tc>
        <w:tc>
          <w:tcPr>
            <w:tcW w:w="696" w:type="dxa"/>
            <w:tcBorders>
              <w:bottom w:val="single" w:sz="4" w:space="0" w:color="auto"/>
            </w:tcBorders>
            <w:shd w:val="clear" w:color="auto" w:fill="auto"/>
            <w:noWrap/>
            <w:vAlign w:val="center"/>
            <w:hideMark/>
          </w:tcPr>
          <w:p w14:paraId="65D0424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53.75%</w:t>
            </w:r>
          </w:p>
        </w:tc>
        <w:tc>
          <w:tcPr>
            <w:tcW w:w="839" w:type="dxa"/>
            <w:tcBorders>
              <w:bottom w:val="single" w:sz="4" w:space="0" w:color="auto"/>
            </w:tcBorders>
            <w:vAlign w:val="center"/>
          </w:tcPr>
          <w:p w14:paraId="018B09F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w:t>
            </w:r>
          </w:p>
        </w:tc>
        <w:tc>
          <w:tcPr>
            <w:tcW w:w="642" w:type="dxa"/>
            <w:tcBorders>
              <w:bottom w:val="single" w:sz="4" w:space="0" w:color="auto"/>
            </w:tcBorders>
            <w:shd w:val="clear" w:color="auto" w:fill="auto"/>
            <w:noWrap/>
            <w:vAlign w:val="center"/>
            <w:hideMark/>
          </w:tcPr>
          <w:p w14:paraId="4E0910D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3.02%</w:t>
            </w:r>
          </w:p>
        </w:tc>
        <w:tc>
          <w:tcPr>
            <w:tcW w:w="675" w:type="dxa"/>
            <w:tcBorders>
              <w:bottom w:val="single" w:sz="4" w:space="0" w:color="auto"/>
            </w:tcBorders>
            <w:shd w:val="clear" w:color="auto" w:fill="auto"/>
            <w:noWrap/>
            <w:vAlign w:val="center"/>
            <w:hideMark/>
          </w:tcPr>
          <w:p w14:paraId="4CD8852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1.2065</w:t>
            </w:r>
          </w:p>
        </w:tc>
        <w:tc>
          <w:tcPr>
            <w:tcW w:w="766" w:type="dxa"/>
            <w:tcBorders>
              <w:bottom w:val="single" w:sz="4" w:space="0" w:color="auto"/>
            </w:tcBorders>
            <w:shd w:val="clear" w:color="auto" w:fill="auto"/>
            <w:noWrap/>
            <w:vAlign w:val="center"/>
            <w:hideMark/>
          </w:tcPr>
          <w:p w14:paraId="2978846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0.227620</w:t>
            </w:r>
          </w:p>
        </w:tc>
        <w:tc>
          <w:tcPr>
            <w:tcW w:w="660" w:type="dxa"/>
            <w:tcBorders>
              <w:bottom w:val="single" w:sz="4" w:space="0" w:color="auto"/>
            </w:tcBorders>
            <w:shd w:val="clear" w:color="auto" w:fill="auto"/>
            <w:noWrap/>
            <w:vAlign w:val="center"/>
            <w:hideMark/>
          </w:tcPr>
          <w:p w14:paraId="0F7B4FF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71.43%</w:t>
            </w:r>
          </w:p>
        </w:tc>
        <w:tc>
          <w:tcPr>
            <w:tcW w:w="687" w:type="dxa"/>
            <w:tcBorders>
              <w:bottom w:val="single" w:sz="4" w:space="0" w:color="auto"/>
            </w:tcBorders>
            <w:shd w:val="clear" w:color="auto" w:fill="auto"/>
            <w:noWrap/>
            <w:vAlign w:val="center"/>
            <w:hideMark/>
          </w:tcPr>
          <w:p w14:paraId="08B7583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0.86%</w:t>
            </w:r>
          </w:p>
        </w:tc>
        <w:tc>
          <w:tcPr>
            <w:tcW w:w="656" w:type="dxa"/>
            <w:tcBorders>
              <w:bottom w:val="single" w:sz="4" w:space="0" w:color="auto"/>
            </w:tcBorders>
            <w:shd w:val="clear" w:color="auto" w:fill="auto"/>
            <w:noWrap/>
            <w:vAlign w:val="center"/>
            <w:hideMark/>
          </w:tcPr>
          <w:p w14:paraId="7CC063F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0.2685</w:t>
            </w:r>
          </w:p>
        </w:tc>
        <w:tc>
          <w:tcPr>
            <w:tcW w:w="844" w:type="dxa"/>
            <w:tcBorders>
              <w:bottom w:val="single" w:sz="4" w:space="0" w:color="auto"/>
            </w:tcBorders>
            <w:shd w:val="clear" w:color="auto" w:fill="auto"/>
            <w:noWrap/>
            <w:vAlign w:val="center"/>
            <w:hideMark/>
          </w:tcPr>
          <w:p w14:paraId="7BC7CBB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0.788328</w:t>
            </w:r>
          </w:p>
        </w:tc>
        <w:tc>
          <w:tcPr>
            <w:tcW w:w="714" w:type="dxa"/>
            <w:tcBorders>
              <w:bottom w:val="single" w:sz="4" w:space="0" w:color="auto"/>
            </w:tcBorders>
            <w:shd w:val="clear" w:color="auto" w:fill="auto"/>
            <w:vAlign w:val="center"/>
          </w:tcPr>
          <w:p w14:paraId="3ADF860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77.78%</w:t>
            </w:r>
          </w:p>
        </w:tc>
        <w:tc>
          <w:tcPr>
            <w:tcW w:w="735" w:type="dxa"/>
            <w:tcBorders>
              <w:bottom w:val="single" w:sz="4" w:space="0" w:color="auto"/>
            </w:tcBorders>
            <w:vAlign w:val="center"/>
          </w:tcPr>
          <w:p w14:paraId="2C264E5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3FA9DD76" w14:textId="77777777" w:rsidTr="00B70718">
        <w:trPr>
          <w:trHeight w:val="300"/>
        </w:trPr>
        <w:tc>
          <w:tcPr>
            <w:tcW w:w="870" w:type="dxa"/>
            <w:tcBorders>
              <w:top w:val="single" w:sz="4" w:space="0" w:color="auto"/>
              <w:bottom w:val="single" w:sz="4" w:space="0" w:color="auto"/>
            </w:tcBorders>
            <w:shd w:val="clear" w:color="auto" w:fill="auto"/>
            <w:vAlign w:val="center"/>
            <w:hideMark/>
          </w:tcPr>
          <w:p w14:paraId="03AF0C73"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29/04/2014</w:t>
            </w:r>
          </w:p>
        </w:tc>
        <w:tc>
          <w:tcPr>
            <w:tcW w:w="643" w:type="dxa"/>
            <w:tcBorders>
              <w:top w:val="single" w:sz="4" w:space="0" w:color="auto"/>
              <w:bottom w:val="single" w:sz="4" w:space="0" w:color="auto"/>
            </w:tcBorders>
            <w:shd w:val="clear" w:color="auto" w:fill="auto"/>
            <w:noWrap/>
            <w:vAlign w:val="center"/>
            <w:hideMark/>
          </w:tcPr>
          <w:p w14:paraId="6D7D48C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7A5DF28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012EF99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022A052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21136C5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013081D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3CF2B93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46B83E7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25417A3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5BFAEDD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44834B1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7BE4801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081361F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6AA2897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7880654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70BB61A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5F9F7C9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047CB7F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01C0D957" w14:textId="77777777" w:rsidTr="00B70718">
        <w:trPr>
          <w:trHeight w:val="300"/>
        </w:trPr>
        <w:tc>
          <w:tcPr>
            <w:tcW w:w="870" w:type="dxa"/>
            <w:tcBorders>
              <w:top w:val="single" w:sz="4" w:space="0" w:color="auto"/>
            </w:tcBorders>
            <w:shd w:val="clear" w:color="auto" w:fill="auto"/>
            <w:noWrap/>
            <w:vAlign w:val="center"/>
            <w:hideMark/>
          </w:tcPr>
          <w:p w14:paraId="72A1DF3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46FC472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-0.58%</w:t>
            </w:r>
          </w:p>
        </w:tc>
        <w:tc>
          <w:tcPr>
            <w:tcW w:w="674" w:type="dxa"/>
            <w:tcBorders>
              <w:top w:val="single" w:sz="4" w:space="0" w:color="auto"/>
            </w:tcBorders>
            <w:shd w:val="clear" w:color="auto" w:fill="auto"/>
            <w:noWrap/>
            <w:vAlign w:val="center"/>
            <w:hideMark/>
          </w:tcPr>
          <w:p w14:paraId="5742497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-0.4725</w:t>
            </w:r>
          </w:p>
        </w:tc>
        <w:tc>
          <w:tcPr>
            <w:tcW w:w="765" w:type="dxa"/>
            <w:tcBorders>
              <w:top w:val="single" w:sz="4" w:space="0" w:color="auto"/>
            </w:tcBorders>
            <w:shd w:val="clear" w:color="auto" w:fill="auto"/>
            <w:noWrap/>
            <w:vAlign w:val="center"/>
            <w:hideMark/>
          </w:tcPr>
          <w:p w14:paraId="2508E06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0.636547</w:t>
            </w:r>
          </w:p>
        </w:tc>
        <w:tc>
          <w:tcPr>
            <w:tcW w:w="695" w:type="dxa"/>
            <w:tcBorders>
              <w:top w:val="single" w:sz="4" w:space="0" w:color="auto"/>
            </w:tcBorders>
            <w:shd w:val="clear" w:color="auto" w:fill="auto"/>
            <w:noWrap/>
            <w:vAlign w:val="center"/>
            <w:hideMark/>
          </w:tcPr>
          <w:p w14:paraId="609498A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45.65%</w:t>
            </w:r>
          </w:p>
        </w:tc>
        <w:tc>
          <w:tcPr>
            <w:tcW w:w="714" w:type="dxa"/>
            <w:tcBorders>
              <w:top w:val="single" w:sz="4" w:space="0" w:color="auto"/>
            </w:tcBorders>
            <w:shd w:val="clear" w:color="auto" w:fill="auto"/>
            <w:noWrap/>
            <w:vAlign w:val="center"/>
            <w:hideMark/>
          </w:tcPr>
          <w:p w14:paraId="3FB1B12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-0.44%</w:t>
            </w:r>
          </w:p>
        </w:tc>
        <w:tc>
          <w:tcPr>
            <w:tcW w:w="754" w:type="dxa"/>
            <w:tcBorders>
              <w:top w:val="single" w:sz="4" w:space="0" w:color="auto"/>
            </w:tcBorders>
            <w:shd w:val="clear" w:color="auto" w:fill="auto"/>
            <w:noWrap/>
            <w:vAlign w:val="center"/>
            <w:hideMark/>
          </w:tcPr>
          <w:p w14:paraId="1EE55D7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-0.2479</w:t>
            </w:r>
          </w:p>
        </w:tc>
        <w:tc>
          <w:tcPr>
            <w:tcW w:w="977" w:type="dxa"/>
            <w:tcBorders>
              <w:top w:val="single" w:sz="4" w:space="0" w:color="auto"/>
            </w:tcBorders>
            <w:shd w:val="clear" w:color="auto" w:fill="auto"/>
            <w:noWrap/>
            <w:vAlign w:val="center"/>
            <w:hideMark/>
          </w:tcPr>
          <w:p w14:paraId="603F583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0.804186</w:t>
            </w:r>
          </w:p>
        </w:tc>
        <w:tc>
          <w:tcPr>
            <w:tcW w:w="696" w:type="dxa"/>
            <w:tcBorders>
              <w:top w:val="single" w:sz="4" w:space="0" w:color="auto"/>
            </w:tcBorders>
            <w:shd w:val="clear" w:color="auto" w:fill="auto"/>
            <w:noWrap/>
            <w:vAlign w:val="center"/>
            <w:hideMark/>
          </w:tcPr>
          <w:p w14:paraId="7928732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40.24%</w:t>
            </w:r>
          </w:p>
        </w:tc>
        <w:tc>
          <w:tcPr>
            <w:tcW w:w="839" w:type="dxa"/>
            <w:tcBorders>
              <w:top w:val="single" w:sz="4" w:space="0" w:color="auto"/>
            </w:tcBorders>
            <w:vAlign w:val="center"/>
          </w:tcPr>
          <w:p w14:paraId="1FD7517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c>
          <w:tcPr>
            <w:tcW w:w="642" w:type="dxa"/>
            <w:tcBorders>
              <w:top w:val="single" w:sz="4" w:space="0" w:color="auto"/>
            </w:tcBorders>
            <w:shd w:val="clear" w:color="auto" w:fill="auto"/>
            <w:noWrap/>
            <w:vAlign w:val="center"/>
            <w:hideMark/>
          </w:tcPr>
          <w:p w14:paraId="225D7DC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1.23%</w:t>
            </w:r>
          </w:p>
        </w:tc>
        <w:tc>
          <w:tcPr>
            <w:tcW w:w="675" w:type="dxa"/>
            <w:tcBorders>
              <w:top w:val="single" w:sz="4" w:space="0" w:color="auto"/>
            </w:tcBorders>
            <w:shd w:val="clear" w:color="auto" w:fill="auto"/>
            <w:noWrap/>
            <w:vAlign w:val="center"/>
            <w:hideMark/>
          </w:tcPr>
          <w:p w14:paraId="77AF079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0.3301</w:t>
            </w:r>
          </w:p>
        </w:tc>
        <w:tc>
          <w:tcPr>
            <w:tcW w:w="766" w:type="dxa"/>
            <w:tcBorders>
              <w:top w:val="single" w:sz="4" w:space="0" w:color="auto"/>
            </w:tcBorders>
            <w:shd w:val="clear" w:color="auto" w:fill="auto"/>
            <w:noWrap/>
            <w:vAlign w:val="center"/>
            <w:hideMark/>
          </w:tcPr>
          <w:p w14:paraId="10C2426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0.741349</w:t>
            </w:r>
          </w:p>
        </w:tc>
        <w:tc>
          <w:tcPr>
            <w:tcW w:w="660" w:type="dxa"/>
            <w:tcBorders>
              <w:top w:val="single" w:sz="4" w:space="0" w:color="auto"/>
            </w:tcBorders>
            <w:shd w:val="clear" w:color="auto" w:fill="auto"/>
            <w:noWrap/>
            <w:vAlign w:val="center"/>
            <w:hideMark/>
          </w:tcPr>
          <w:p w14:paraId="077B607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64.29%</w:t>
            </w:r>
          </w:p>
        </w:tc>
        <w:tc>
          <w:tcPr>
            <w:tcW w:w="687" w:type="dxa"/>
            <w:tcBorders>
              <w:top w:val="single" w:sz="4" w:space="0" w:color="auto"/>
            </w:tcBorders>
            <w:shd w:val="clear" w:color="auto" w:fill="auto"/>
            <w:noWrap/>
            <w:vAlign w:val="center"/>
            <w:hideMark/>
          </w:tcPr>
          <w:p w14:paraId="232F607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-1.37%</w:t>
            </w:r>
          </w:p>
        </w:tc>
        <w:tc>
          <w:tcPr>
            <w:tcW w:w="656" w:type="dxa"/>
            <w:tcBorders>
              <w:top w:val="single" w:sz="4" w:space="0" w:color="auto"/>
            </w:tcBorders>
            <w:shd w:val="clear" w:color="auto" w:fill="auto"/>
            <w:noWrap/>
            <w:vAlign w:val="center"/>
            <w:hideMark/>
          </w:tcPr>
          <w:p w14:paraId="6B93618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-0.6467</w:t>
            </w:r>
          </w:p>
        </w:tc>
        <w:tc>
          <w:tcPr>
            <w:tcW w:w="844" w:type="dxa"/>
            <w:tcBorders>
              <w:top w:val="single" w:sz="4" w:space="0" w:color="auto"/>
            </w:tcBorders>
            <w:shd w:val="clear" w:color="auto" w:fill="auto"/>
            <w:noWrap/>
            <w:vAlign w:val="center"/>
            <w:hideMark/>
          </w:tcPr>
          <w:p w14:paraId="10127F9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0.517815</w:t>
            </w:r>
          </w:p>
        </w:tc>
        <w:tc>
          <w:tcPr>
            <w:tcW w:w="714" w:type="dxa"/>
            <w:tcBorders>
              <w:top w:val="single" w:sz="4" w:space="0" w:color="auto"/>
            </w:tcBorders>
            <w:shd w:val="clear" w:color="auto" w:fill="auto"/>
            <w:vAlign w:val="center"/>
          </w:tcPr>
          <w:p w14:paraId="30B6B42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77.78%</w:t>
            </w:r>
          </w:p>
        </w:tc>
        <w:tc>
          <w:tcPr>
            <w:tcW w:w="735" w:type="dxa"/>
            <w:tcBorders>
              <w:top w:val="single" w:sz="4" w:space="0" w:color="auto"/>
            </w:tcBorders>
            <w:vAlign w:val="center"/>
          </w:tcPr>
          <w:p w14:paraId="6C2926C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n.s.</w:t>
            </w:r>
          </w:p>
        </w:tc>
      </w:tr>
      <w:tr w:rsidR="007F6BC9" w:rsidRPr="008C28EB" w14:paraId="445A041A" w14:textId="77777777" w:rsidTr="00B70718">
        <w:trPr>
          <w:trHeight w:val="300"/>
        </w:trPr>
        <w:tc>
          <w:tcPr>
            <w:tcW w:w="870" w:type="dxa"/>
            <w:shd w:val="clear" w:color="auto" w:fill="auto"/>
            <w:noWrap/>
            <w:vAlign w:val="center"/>
            <w:hideMark/>
          </w:tcPr>
          <w:p w14:paraId="5E5E91A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6D05C21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0.11%</w:t>
            </w:r>
          </w:p>
        </w:tc>
        <w:tc>
          <w:tcPr>
            <w:tcW w:w="674" w:type="dxa"/>
            <w:shd w:val="clear" w:color="auto" w:fill="auto"/>
            <w:noWrap/>
            <w:vAlign w:val="center"/>
            <w:hideMark/>
          </w:tcPr>
          <w:p w14:paraId="10F35C0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0.0326</w:t>
            </w:r>
          </w:p>
        </w:tc>
        <w:tc>
          <w:tcPr>
            <w:tcW w:w="765" w:type="dxa"/>
            <w:shd w:val="clear" w:color="auto" w:fill="auto"/>
            <w:noWrap/>
            <w:vAlign w:val="center"/>
            <w:hideMark/>
          </w:tcPr>
          <w:p w14:paraId="631E153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0.973974</w:t>
            </w:r>
          </w:p>
        </w:tc>
        <w:tc>
          <w:tcPr>
            <w:tcW w:w="695" w:type="dxa"/>
            <w:shd w:val="clear" w:color="auto" w:fill="auto"/>
            <w:noWrap/>
            <w:vAlign w:val="center"/>
            <w:hideMark/>
          </w:tcPr>
          <w:p w14:paraId="1421B4C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50.00%</w:t>
            </w:r>
          </w:p>
        </w:tc>
        <w:tc>
          <w:tcPr>
            <w:tcW w:w="714" w:type="dxa"/>
            <w:shd w:val="clear" w:color="auto" w:fill="auto"/>
            <w:noWrap/>
            <w:vAlign w:val="center"/>
            <w:hideMark/>
          </w:tcPr>
          <w:p w14:paraId="6C220F0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0.26%</w:t>
            </w:r>
          </w:p>
        </w:tc>
        <w:tc>
          <w:tcPr>
            <w:tcW w:w="754" w:type="dxa"/>
            <w:shd w:val="clear" w:color="auto" w:fill="auto"/>
            <w:noWrap/>
            <w:vAlign w:val="center"/>
            <w:hideMark/>
          </w:tcPr>
          <w:p w14:paraId="71A7C20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0.6012</w:t>
            </w:r>
          </w:p>
        </w:tc>
        <w:tc>
          <w:tcPr>
            <w:tcW w:w="977" w:type="dxa"/>
            <w:shd w:val="clear" w:color="auto" w:fill="auto"/>
            <w:noWrap/>
            <w:vAlign w:val="center"/>
            <w:hideMark/>
          </w:tcPr>
          <w:p w14:paraId="4BCC819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0.547705</w:t>
            </w:r>
          </w:p>
        </w:tc>
        <w:tc>
          <w:tcPr>
            <w:tcW w:w="696" w:type="dxa"/>
            <w:shd w:val="clear" w:color="auto" w:fill="auto"/>
            <w:noWrap/>
            <w:vAlign w:val="center"/>
            <w:hideMark/>
          </w:tcPr>
          <w:p w14:paraId="7F94EE2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56.10%</w:t>
            </w:r>
          </w:p>
        </w:tc>
        <w:tc>
          <w:tcPr>
            <w:tcW w:w="839" w:type="dxa"/>
            <w:vAlign w:val="center"/>
          </w:tcPr>
          <w:p w14:paraId="0F8115A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c>
          <w:tcPr>
            <w:tcW w:w="642" w:type="dxa"/>
            <w:shd w:val="clear" w:color="auto" w:fill="auto"/>
            <w:noWrap/>
            <w:vAlign w:val="center"/>
            <w:hideMark/>
          </w:tcPr>
          <w:p w14:paraId="6628663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1.43%</w:t>
            </w:r>
          </w:p>
        </w:tc>
        <w:tc>
          <w:tcPr>
            <w:tcW w:w="675" w:type="dxa"/>
            <w:shd w:val="clear" w:color="auto" w:fill="auto"/>
            <w:noWrap/>
            <w:vAlign w:val="center"/>
            <w:hideMark/>
          </w:tcPr>
          <w:p w14:paraId="36E6D8F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0.5400</w:t>
            </w:r>
          </w:p>
        </w:tc>
        <w:tc>
          <w:tcPr>
            <w:tcW w:w="766" w:type="dxa"/>
            <w:shd w:val="clear" w:color="auto" w:fill="auto"/>
            <w:noWrap/>
            <w:vAlign w:val="center"/>
            <w:hideMark/>
          </w:tcPr>
          <w:p w14:paraId="511EA5B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0.589218</w:t>
            </w:r>
          </w:p>
        </w:tc>
        <w:tc>
          <w:tcPr>
            <w:tcW w:w="660" w:type="dxa"/>
            <w:shd w:val="clear" w:color="auto" w:fill="auto"/>
            <w:noWrap/>
            <w:vAlign w:val="center"/>
            <w:hideMark/>
          </w:tcPr>
          <w:p w14:paraId="1FC9495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71.43%</w:t>
            </w:r>
          </w:p>
        </w:tc>
        <w:tc>
          <w:tcPr>
            <w:tcW w:w="687" w:type="dxa"/>
            <w:shd w:val="clear" w:color="auto" w:fill="auto"/>
            <w:noWrap/>
            <w:vAlign w:val="center"/>
            <w:hideMark/>
          </w:tcPr>
          <w:p w14:paraId="080F1D8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-0.47%</w:t>
            </w:r>
          </w:p>
        </w:tc>
        <w:tc>
          <w:tcPr>
            <w:tcW w:w="656" w:type="dxa"/>
            <w:shd w:val="clear" w:color="auto" w:fill="auto"/>
            <w:noWrap/>
            <w:vAlign w:val="center"/>
            <w:hideMark/>
          </w:tcPr>
          <w:p w14:paraId="46EC306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-0.1256</w:t>
            </w:r>
          </w:p>
        </w:tc>
        <w:tc>
          <w:tcPr>
            <w:tcW w:w="844" w:type="dxa"/>
            <w:shd w:val="clear" w:color="auto" w:fill="auto"/>
            <w:noWrap/>
            <w:vAlign w:val="center"/>
            <w:hideMark/>
          </w:tcPr>
          <w:p w14:paraId="6E0A15B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0.900048</w:t>
            </w:r>
          </w:p>
        </w:tc>
        <w:tc>
          <w:tcPr>
            <w:tcW w:w="714" w:type="dxa"/>
            <w:shd w:val="clear" w:color="auto" w:fill="auto"/>
            <w:vAlign w:val="center"/>
          </w:tcPr>
          <w:p w14:paraId="13F00B1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77.78%</w:t>
            </w:r>
          </w:p>
        </w:tc>
        <w:tc>
          <w:tcPr>
            <w:tcW w:w="735" w:type="dxa"/>
            <w:vAlign w:val="center"/>
          </w:tcPr>
          <w:p w14:paraId="7AE528C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n.s.</w:t>
            </w:r>
          </w:p>
        </w:tc>
      </w:tr>
      <w:tr w:rsidR="007F6BC9" w:rsidRPr="008C28EB" w14:paraId="124B8767" w14:textId="77777777" w:rsidTr="00B70718">
        <w:trPr>
          <w:trHeight w:val="315"/>
        </w:trPr>
        <w:tc>
          <w:tcPr>
            <w:tcW w:w="870" w:type="dxa"/>
            <w:shd w:val="clear" w:color="auto" w:fill="auto"/>
            <w:noWrap/>
            <w:vAlign w:val="center"/>
            <w:hideMark/>
          </w:tcPr>
          <w:p w14:paraId="4C5C411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shd w:val="clear" w:color="auto" w:fill="auto"/>
            <w:noWrap/>
            <w:vAlign w:val="center"/>
            <w:hideMark/>
          </w:tcPr>
          <w:p w14:paraId="0A39316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0.83%</w:t>
            </w:r>
          </w:p>
        </w:tc>
        <w:tc>
          <w:tcPr>
            <w:tcW w:w="674" w:type="dxa"/>
            <w:shd w:val="clear" w:color="auto" w:fill="auto"/>
            <w:noWrap/>
            <w:vAlign w:val="center"/>
            <w:hideMark/>
          </w:tcPr>
          <w:p w14:paraId="4F28D21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1.2775</w:t>
            </w:r>
          </w:p>
        </w:tc>
        <w:tc>
          <w:tcPr>
            <w:tcW w:w="765" w:type="dxa"/>
            <w:shd w:val="clear" w:color="auto" w:fill="auto"/>
            <w:noWrap/>
            <w:vAlign w:val="center"/>
            <w:hideMark/>
          </w:tcPr>
          <w:p w14:paraId="6C0FE95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0.201434</w:t>
            </w:r>
          </w:p>
        </w:tc>
        <w:tc>
          <w:tcPr>
            <w:tcW w:w="695" w:type="dxa"/>
            <w:shd w:val="clear" w:color="auto" w:fill="auto"/>
            <w:noWrap/>
            <w:vAlign w:val="center"/>
            <w:hideMark/>
          </w:tcPr>
          <w:p w14:paraId="3977583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78.26%</w:t>
            </w:r>
          </w:p>
        </w:tc>
        <w:tc>
          <w:tcPr>
            <w:tcW w:w="714" w:type="dxa"/>
            <w:shd w:val="clear" w:color="auto" w:fill="auto"/>
            <w:noWrap/>
            <w:vAlign w:val="center"/>
            <w:hideMark/>
          </w:tcPr>
          <w:p w14:paraId="327F227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-0.08%</w:t>
            </w:r>
          </w:p>
        </w:tc>
        <w:tc>
          <w:tcPr>
            <w:tcW w:w="754" w:type="dxa"/>
            <w:shd w:val="clear" w:color="auto" w:fill="auto"/>
            <w:noWrap/>
            <w:vAlign w:val="center"/>
            <w:hideMark/>
          </w:tcPr>
          <w:p w14:paraId="525956A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0.0490</w:t>
            </w:r>
          </w:p>
        </w:tc>
        <w:tc>
          <w:tcPr>
            <w:tcW w:w="977" w:type="dxa"/>
            <w:shd w:val="clear" w:color="auto" w:fill="auto"/>
            <w:noWrap/>
            <w:vAlign w:val="center"/>
            <w:hideMark/>
          </w:tcPr>
          <w:p w14:paraId="485E9D2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0.960895</w:t>
            </w:r>
          </w:p>
        </w:tc>
        <w:tc>
          <w:tcPr>
            <w:tcW w:w="696" w:type="dxa"/>
            <w:shd w:val="clear" w:color="auto" w:fill="auto"/>
            <w:noWrap/>
            <w:vAlign w:val="center"/>
            <w:hideMark/>
          </w:tcPr>
          <w:p w14:paraId="70BF185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51.22%</w:t>
            </w:r>
          </w:p>
        </w:tc>
        <w:tc>
          <w:tcPr>
            <w:tcW w:w="839" w:type="dxa"/>
            <w:vAlign w:val="center"/>
          </w:tcPr>
          <w:p w14:paraId="6E15862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w:t>
            </w:r>
          </w:p>
        </w:tc>
        <w:tc>
          <w:tcPr>
            <w:tcW w:w="642" w:type="dxa"/>
            <w:shd w:val="clear" w:color="auto" w:fill="auto"/>
            <w:noWrap/>
            <w:vAlign w:val="center"/>
            <w:hideMark/>
          </w:tcPr>
          <w:p w14:paraId="4AC8DAE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1.34%</w:t>
            </w:r>
          </w:p>
        </w:tc>
        <w:tc>
          <w:tcPr>
            <w:tcW w:w="675" w:type="dxa"/>
            <w:shd w:val="clear" w:color="auto" w:fill="auto"/>
            <w:noWrap/>
            <w:vAlign w:val="center"/>
            <w:hideMark/>
          </w:tcPr>
          <w:p w14:paraId="16822A6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1.4583</w:t>
            </w:r>
          </w:p>
        </w:tc>
        <w:tc>
          <w:tcPr>
            <w:tcW w:w="766" w:type="dxa"/>
            <w:shd w:val="clear" w:color="auto" w:fill="auto"/>
            <w:noWrap/>
            <w:vAlign w:val="center"/>
            <w:hideMark/>
          </w:tcPr>
          <w:p w14:paraId="1AA0A50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0.144767</w:t>
            </w:r>
          </w:p>
        </w:tc>
        <w:tc>
          <w:tcPr>
            <w:tcW w:w="660" w:type="dxa"/>
            <w:shd w:val="clear" w:color="auto" w:fill="auto"/>
            <w:noWrap/>
            <w:vAlign w:val="center"/>
            <w:hideMark/>
          </w:tcPr>
          <w:p w14:paraId="1FE6E21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85.71%</w:t>
            </w:r>
          </w:p>
        </w:tc>
        <w:tc>
          <w:tcPr>
            <w:tcW w:w="687" w:type="dxa"/>
            <w:shd w:val="clear" w:color="auto" w:fill="auto"/>
            <w:noWrap/>
            <w:vAlign w:val="center"/>
            <w:hideMark/>
          </w:tcPr>
          <w:p w14:paraId="777B83A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0.60%</w:t>
            </w:r>
          </w:p>
        </w:tc>
        <w:tc>
          <w:tcPr>
            <w:tcW w:w="656" w:type="dxa"/>
            <w:shd w:val="clear" w:color="auto" w:fill="auto"/>
            <w:noWrap/>
            <w:vAlign w:val="center"/>
            <w:hideMark/>
          </w:tcPr>
          <w:p w14:paraId="5877C4C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1.0870</w:t>
            </w:r>
          </w:p>
        </w:tc>
        <w:tc>
          <w:tcPr>
            <w:tcW w:w="844" w:type="dxa"/>
            <w:shd w:val="clear" w:color="auto" w:fill="auto"/>
            <w:noWrap/>
            <w:vAlign w:val="center"/>
            <w:hideMark/>
          </w:tcPr>
          <w:p w14:paraId="05C548B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0.277040</w:t>
            </w:r>
          </w:p>
        </w:tc>
        <w:tc>
          <w:tcPr>
            <w:tcW w:w="714" w:type="dxa"/>
            <w:shd w:val="clear" w:color="auto" w:fill="auto"/>
            <w:vAlign w:val="center"/>
          </w:tcPr>
          <w:p w14:paraId="7C84157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88.89%</w:t>
            </w:r>
          </w:p>
        </w:tc>
        <w:tc>
          <w:tcPr>
            <w:tcW w:w="735" w:type="dxa"/>
            <w:vAlign w:val="center"/>
          </w:tcPr>
          <w:p w14:paraId="723910E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n.s.</w:t>
            </w:r>
          </w:p>
        </w:tc>
      </w:tr>
      <w:tr w:rsidR="007F6BC9" w:rsidRPr="008C28EB" w14:paraId="35C8336D" w14:textId="77777777" w:rsidTr="00B70718">
        <w:trPr>
          <w:trHeight w:val="300"/>
        </w:trPr>
        <w:tc>
          <w:tcPr>
            <w:tcW w:w="870" w:type="dxa"/>
            <w:tcBorders>
              <w:bottom w:val="single" w:sz="4" w:space="0" w:color="auto"/>
            </w:tcBorders>
            <w:shd w:val="clear" w:color="auto" w:fill="auto"/>
            <w:vAlign w:val="center"/>
          </w:tcPr>
          <w:p w14:paraId="7696478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43" w:type="dxa"/>
            <w:tcBorders>
              <w:bottom w:val="single" w:sz="4" w:space="0" w:color="auto"/>
            </w:tcBorders>
            <w:shd w:val="clear" w:color="auto" w:fill="auto"/>
            <w:noWrap/>
            <w:vAlign w:val="center"/>
          </w:tcPr>
          <w:p w14:paraId="7E428FA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74" w:type="dxa"/>
            <w:tcBorders>
              <w:bottom w:val="single" w:sz="4" w:space="0" w:color="auto"/>
            </w:tcBorders>
            <w:shd w:val="clear" w:color="auto" w:fill="auto"/>
            <w:noWrap/>
            <w:vAlign w:val="center"/>
          </w:tcPr>
          <w:p w14:paraId="5A8D1D4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765" w:type="dxa"/>
            <w:tcBorders>
              <w:bottom w:val="single" w:sz="4" w:space="0" w:color="auto"/>
            </w:tcBorders>
            <w:shd w:val="clear" w:color="auto" w:fill="auto"/>
            <w:noWrap/>
            <w:vAlign w:val="center"/>
          </w:tcPr>
          <w:p w14:paraId="72A92E7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95" w:type="dxa"/>
            <w:tcBorders>
              <w:bottom w:val="single" w:sz="4" w:space="0" w:color="auto"/>
            </w:tcBorders>
            <w:shd w:val="clear" w:color="auto" w:fill="auto"/>
            <w:noWrap/>
            <w:vAlign w:val="center"/>
          </w:tcPr>
          <w:p w14:paraId="5F6981B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714" w:type="dxa"/>
            <w:tcBorders>
              <w:bottom w:val="single" w:sz="4" w:space="0" w:color="auto"/>
            </w:tcBorders>
            <w:shd w:val="clear" w:color="auto" w:fill="auto"/>
            <w:noWrap/>
            <w:vAlign w:val="center"/>
          </w:tcPr>
          <w:p w14:paraId="6DA26A0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754" w:type="dxa"/>
            <w:tcBorders>
              <w:bottom w:val="single" w:sz="4" w:space="0" w:color="auto"/>
            </w:tcBorders>
            <w:shd w:val="clear" w:color="auto" w:fill="auto"/>
            <w:noWrap/>
            <w:vAlign w:val="center"/>
          </w:tcPr>
          <w:p w14:paraId="0ACB586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977" w:type="dxa"/>
            <w:tcBorders>
              <w:bottom w:val="single" w:sz="4" w:space="0" w:color="auto"/>
            </w:tcBorders>
            <w:shd w:val="clear" w:color="auto" w:fill="auto"/>
            <w:noWrap/>
            <w:vAlign w:val="center"/>
          </w:tcPr>
          <w:p w14:paraId="360A4B3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96" w:type="dxa"/>
            <w:tcBorders>
              <w:bottom w:val="single" w:sz="4" w:space="0" w:color="auto"/>
            </w:tcBorders>
            <w:shd w:val="clear" w:color="auto" w:fill="auto"/>
            <w:noWrap/>
            <w:vAlign w:val="center"/>
          </w:tcPr>
          <w:p w14:paraId="43F37B5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839" w:type="dxa"/>
            <w:tcBorders>
              <w:bottom w:val="single" w:sz="4" w:space="0" w:color="auto"/>
            </w:tcBorders>
          </w:tcPr>
          <w:p w14:paraId="6ED022C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42" w:type="dxa"/>
            <w:tcBorders>
              <w:bottom w:val="single" w:sz="4" w:space="0" w:color="auto"/>
            </w:tcBorders>
            <w:shd w:val="clear" w:color="auto" w:fill="auto"/>
            <w:noWrap/>
            <w:vAlign w:val="center"/>
          </w:tcPr>
          <w:p w14:paraId="41D2380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75" w:type="dxa"/>
            <w:tcBorders>
              <w:bottom w:val="single" w:sz="4" w:space="0" w:color="auto"/>
            </w:tcBorders>
            <w:shd w:val="clear" w:color="auto" w:fill="auto"/>
            <w:noWrap/>
            <w:vAlign w:val="center"/>
          </w:tcPr>
          <w:p w14:paraId="38BB5BC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766" w:type="dxa"/>
            <w:tcBorders>
              <w:bottom w:val="single" w:sz="4" w:space="0" w:color="auto"/>
            </w:tcBorders>
            <w:shd w:val="clear" w:color="auto" w:fill="auto"/>
            <w:noWrap/>
            <w:vAlign w:val="center"/>
          </w:tcPr>
          <w:p w14:paraId="06BD8E5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60" w:type="dxa"/>
            <w:tcBorders>
              <w:bottom w:val="single" w:sz="4" w:space="0" w:color="auto"/>
            </w:tcBorders>
            <w:shd w:val="clear" w:color="auto" w:fill="auto"/>
            <w:noWrap/>
            <w:vAlign w:val="center"/>
          </w:tcPr>
          <w:p w14:paraId="310B0C7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87" w:type="dxa"/>
            <w:tcBorders>
              <w:bottom w:val="single" w:sz="4" w:space="0" w:color="auto"/>
            </w:tcBorders>
            <w:shd w:val="clear" w:color="auto" w:fill="auto"/>
            <w:noWrap/>
            <w:vAlign w:val="center"/>
          </w:tcPr>
          <w:p w14:paraId="0FE99E5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656" w:type="dxa"/>
            <w:tcBorders>
              <w:bottom w:val="single" w:sz="4" w:space="0" w:color="auto"/>
            </w:tcBorders>
            <w:shd w:val="clear" w:color="auto" w:fill="auto"/>
            <w:noWrap/>
            <w:vAlign w:val="center"/>
          </w:tcPr>
          <w:p w14:paraId="106C9ED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844" w:type="dxa"/>
            <w:tcBorders>
              <w:bottom w:val="single" w:sz="4" w:space="0" w:color="auto"/>
            </w:tcBorders>
            <w:shd w:val="clear" w:color="auto" w:fill="auto"/>
            <w:noWrap/>
            <w:vAlign w:val="center"/>
          </w:tcPr>
          <w:p w14:paraId="321758A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c>
          <w:tcPr>
            <w:tcW w:w="714" w:type="dxa"/>
            <w:tcBorders>
              <w:bottom w:val="single" w:sz="4" w:space="0" w:color="auto"/>
            </w:tcBorders>
            <w:shd w:val="clear" w:color="auto" w:fill="auto"/>
            <w:vAlign w:val="bottom"/>
          </w:tcPr>
          <w:p w14:paraId="44B0ECBD" w14:textId="77777777" w:rsidR="007F6BC9" w:rsidRPr="008C28EB" w:rsidRDefault="007F6BC9" w:rsidP="00B70718">
            <w:pPr>
              <w:spacing w:line="240" w:lineRule="auto"/>
              <w:jc w:val="center"/>
              <w:rPr>
                <w:rFonts w:ascii="Times New Roman" w:hAnsi="Times New Roman"/>
                <w:sz w:val="16"/>
                <w:szCs w:val="16"/>
                <w:lang w:val="en-US"/>
              </w:rPr>
            </w:pPr>
          </w:p>
        </w:tc>
        <w:tc>
          <w:tcPr>
            <w:tcW w:w="735" w:type="dxa"/>
            <w:tcBorders>
              <w:bottom w:val="single" w:sz="4" w:space="0" w:color="auto"/>
            </w:tcBorders>
          </w:tcPr>
          <w:p w14:paraId="5276E1FB" w14:textId="77777777" w:rsidR="007F6BC9" w:rsidRPr="008C28EB" w:rsidRDefault="007F6BC9" w:rsidP="00B70718">
            <w:pPr>
              <w:spacing w:line="240" w:lineRule="auto"/>
              <w:jc w:val="center"/>
              <w:rPr>
                <w:rFonts w:ascii="Times New Roman" w:hAnsi="Times New Roman"/>
                <w:sz w:val="16"/>
                <w:szCs w:val="16"/>
                <w:lang w:val="en-US"/>
              </w:rPr>
            </w:pPr>
          </w:p>
        </w:tc>
      </w:tr>
      <w:tr w:rsidR="007F6BC9" w:rsidRPr="008C28EB" w14:paraId="5826CFD8" w14:textId="77777777" w:rsidTr="00B70718">
        <w:trPr>
          <w:trHeight w:val="300"/>
        </w:trPr>
        <w:tc>
          <w:tcPr>
            <w:tcW w:w="870" w:type="dxa"/>
            <w:tcBorders>
              <w:top w:val="single" w:sz="4" w:space="0" w:color="auto"/>
              <w:bottom w:val="single" w:sz="4" w:space="0" w:color="auto"/>
            </w:tcBorders>
            <w:shd w:val="clear" w:color="auto" w:fill="auto"/>
            <w:vAlign w:val="center"/>
            <w:hideMark/>
          </w:tcPr>
          <w:p w14:paraId="5C699CE2"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17/07/2014</w:t>
            </w:r>
          </w:p>
        </w:tc>
        <w:tc>
          <w:tcPr>
            <w:tcW w:w="643" w:type="dxa"/>
            <w:tcBorders>
              <w:top w:val="single" w:sz="4" w:space="0" w:color="auto"/>
              <w:bottom w:val="single" w:sz="4" w:space="0" w:color="auto"/>
            </w:tcBorders>
            <w:shd w:val="clear" w:color="auto" w:fill="auto"/>
            <w:noWrap/>
            <w:vAlign w:val="center"/>
            <w:hideMark/>
          </w:tcPr>
          <w:p w14:paraId="5AB4847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5A4A6E1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746E76A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4CCA6F4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0D1CFBC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2BF2A44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1694319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4E3F883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765939F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5812657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54CC70C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42108D7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100FE70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4D1E8E0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283B428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0474711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02243C3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43275CF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52997C47" w14:textId="77777777" w:rsidTr="00B70718">
        <w:trPr>
          <w:trHeight w:val="300"/>
        </w:trPr>
        <w:tc>
          <w:tcPr>
            <w:tcW w:w="870" w:type="dxa"/>
            <w:tcBorders>
              <w:top w:val="single" w:sz="4" w:space="0" w:color="auto"/>
            </w:tcBorders>
            <w:shd w:val="clear" w:color="auto" w:fill="auto"/>
            <w:noWrap/>
            <w:vAlign w:val="center"/>
            <w:hideMark/>
          </w:tcPr>
          <w:p w14:paraId="640066F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7E7ACED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0.21%</w:t>
            </w:r>
          </w:p>
        </w:tc>
        <w:tc>
          <w:tcPr>
            <w:tcW w:w="674" w:type="dxa"/>
            <w:tcBorders>
              <w:top w:val="single" w:sz="4" w:space="0" w:color="auto"/>
            </w:tcBorders>
            <w:shd w:val="clear" w:color="auto" w:fill="auto"/>
            <w:noWrap/>
            <w:vAlign w:val="center"/>
            <w:hideMark/>
          </w:tcPr>
          <w:p w14:paraId="485F233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0.2808</w:t>
            </w:r>
          </w:p>
        </w:tc>
        <w:tc>
          <w:tcPr>
            <w:tcW w:w="765" w:type="dxa"/>
            <w:tcBorders>
              <w:top w:val="single" w:sz="4" w:space="0" w:color="auto"/>
            </w:tcBorders>
            <w:shd w:val="clear" w:color="auto" w:fill="auto"/>
            <w:noWrap/>
            <w:vAlign w:val="center"/>
            <w:hideMark/>
          </w:tcPr>
          <w:p w14:paraId="04D7E07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0.778868</w:t>
            </w:r>
          </w:p>
        </w:tc>
        <w:tc>
          <w:tcPr>
            <w:tcW w:w="695" w:type="dxa"/>
            <w:tcBorders>
              <w:top w:val="single" w:sz="4" w:space="0" w:color="auto"/>
            </w:tcBorders>
            <w:shd w:val="clear" w:color="auto" w:fill="auto"/>
            <w:noWrap/>
            <w:vAlign w:val="center"/>
            <w:hideMark/>
          </w:tcPr>
          <w:p w14:paraId="68CAC7A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59.57%</w:t>
            </w:r>
          </w:p>
        </w:tc>
        <w:tc>
          <w:tcPr>
            <w:tcW w:w="714" w:type="dxa"/>
            <w:tcBorders>
              <w:top w:val="single" w:sz="4" w:space="0" w:color="auto"/>
            </w:tcBorders>
            <w:shd w:val="clear" w:color="auto" w:fill="auto"/>
            <w:noWrap/>
            <w:vAlign w:val="center"/>
            <w:hideMark/>
          </w:tcPr>
          <w:p w14:paraId="465A927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-0.09%</w:t>
            </w:r>
          </w:p>
        </w:tc>
        <w:tc>
          <w:tcPr>
            <w:tcW w:w="754" w:type="dxa"/>
            <w:tcBorders>
              <w:top w:val="single" w:sz="4" w:space="0" w:color="auto"/>
            </w:tcBorders>
            <w:shd w:val="clear" w:color="auto" w:fill="auto"/>
            <w:noWrap/>
            <w:vAlign w:val="center"/>
            <w:hideMark/>
          </w:tcPr>
          <w:p w14:paraId="1BB17A3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-0.1015</w:t>
            </w:r>
          </w:p>
        </w:tc>
        <w:tc>
          <w:tcPr>
            <w:tcW w:w="977" w:type="dxa"/>
            <w:tcBorders>
              <w:top w:val="single" w:sz="4" w:space="0" w:color="auto"/>
            </w:tcBorders>
            <w:shd w:val="clear" w:color="auto" w:fill="auto"/>
            <w:noWrap/>
            <w:vAlign w:val="center"/>
            <w:hideMark/>
          </w:tcPr>
          <w:p w14:paraId="02AA05B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0.919126</w:t>
            </w:r>
          </w:p>
        </w:tc>
        <w:tc>
          <w:tcPr>
            <w:tcW w:w="696" w:type="dxa"/>
            <w:tcBorders>
              <w:top w:val="single" w:sz="4" w:space="0" w:color="auto"/>
            </w:tcBorders>
            <w:shd w:val="clear" w:color="auto" w:fill="auto"/>
            <w:noWrap/>
            <w:vAlign w:val="center"/>
            <w:hideMark/>
          </w:tcPr>
          <w:p w14:paraId="4FAA1BB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49.40%</w:t>
            </w:r>
          </w:p>
        </w:tc>
        <w:tc>
          <w:tcPr>
            <w:tcW w:w="839" w:type="dxa"/>
            <w:tcBorders>
              <w:top w:val="single" w:sz="4" w:space="0" w:color="auto"/>
            </w:tcBorders>
            <w:vAlign w:val="center"/>
          </w:tcPr>
          <w:p w14:paraId="4BF70ED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n.s.</w:t>
            </w:r>
          </w:p>
        </w:tc>
        <w:tc>
          <w:tcPr>
            <w:tcW w:w="642" w:type="dxa"/>
            <w:tcBorders>
              <w:top w:val="single" w:sz="4" w:space="0" w:color="auto"/>
            </w:tcBorders>
            <w:shd w:val="clear" w:color="auto" w:fill="auto"/>
            <w:noWrap/>
            <w:vAlign w:val="center"/>
            <w:hideMark/>
          </w:tcPr>
          <w:p w14:paraId="6000E4C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0.23%</w:t>
            </w:r>
          </w:p>
        </w:tc>
        <w:tc>
          <w:tcPr>
            <w:tcW w:w="675" w:type="dxa"/>
            <w:tcBorders>
              <w:top w:val="single" w:sz="4" w:space="0" w:color="auto"/>
            </w:tcBorders>
            <w:shd w:val="clear" w:color="auto" w:fill="auto"/>
            <w:noWrap/>
            <w:vAlign w:val="center"/>
            <w:hideMark/>
          </w:tcPr>
          <w:p w14:paraId="1D56B47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0.3250</w:t>
            </w:r>
          </w:p>
        </w:tc>
        <w:tc>
          <w:tcPr>
            <w:tcW w:w="766" w:type="dxa"/>
            <w:tcBorders>
              <w:top w:val="single" w:sz="4" w:space="0" w:color="auto"/>
            </w:tcBorders>
            <w:shd w:val="clear" w:color="auto" w:fill="auto"/>
            <w:noWrap/>
            <w:vAlign w:val="center"/>
            <w:hideMark/>
          </w:tcPr>
          <w:p w14:paraId="2255F5D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0.745203</w:t>
            </w:r>
          </w:p>
        </w:tc>
        <w:tc>
          <w:tcPr>
            <w:tcW w:w="660" w:type="dxa"/>
            <w:tcBorders>
              <w:top w:val="single" w:sz="4" w:space="0" w:color="auto"/>
            </w:tcBorders>
            <w:shd w:val="clear" w:color="auto" w:fill="auto"/>
            <w:noWrap/>
            <w:vAlign w:val="center"/>
            <w:hideMark/>
          </w:tcPr>
          <w:p w14:paraId="56C55DA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53.33%</w:t>
            </w:r>
          </w:p>
        </w:tc>
        <w:tc>
          <w:tcPr>
            <w:tcW w:w="687" w:type="dxa"/>
            <w:tcBorders>
              <w:top w:val="single" w:sz="4" w:space="0" w:color="auto"/>
            </w:tcBorders>
            <w:shd w:val="clear" w:color="auto" w:fill="auto"/>
            <w:noWrap/>
            <w:vAlign w:val="center"/>
            <w:hideMark/>
          </w:tcPr>
          <w:p w14:paraId="6CA67EA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0.20%</w:t>
            </w:r>
          </w:p>
        </w:tc>
        <w:tc>
          <w:tcPr>
            <w:tcW w:w="656" w:type="dxa"/>
            <w:tcBorders>
              <w:top w:val="single" w:sz="4" w:space="0" w:color="auto"/>
            </w:tcBorders>
            <w:shd w:val="clear" w:color="auto" w:fill="auto"/>
            <w:noWrap/>
            <w:vAlign w:val="center"/>
            <w:hideMark/>
          </w:tcPr>
          <w:p w14:paraId="4A557BD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0.2418</w:t>
            </w:r>
          </w:p>
        </w:tc>
        <w:tc>
          <w:tcPr>
            <w:tcW w:w="844" w:type="dxa"/>
            <w:tcBorders>
              <w:top w:val="single" w:sz="4" w:space="0" w:color="auto"/>
            </w:tcBorders>
            <w:shd w:val="clear" w:color="auto" w:fill="auto"/>
            <w:noWrap/>
            <w:vAlign w:val="center"/>
            <w:hideMark/>
          </w:tcPr>
          <w:p w14:paraId="4C7E04A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0.808953</w:t>
            </w:r>
          </w:p>
        </w:tc>
        <w:tc>
          <w:tcPr>
            <w:tcW w:w="714" w:type="dxa"/>
            <w:tcBorders>
              <w:top w:val="single" w:sz="4" w:space="0" w:color="auto"/>
            </w:tcBorders>
            <w:shd w:val="clear" w:color="auto" w:fill="auto"/>
            <w:vAlign w:val="center"/>
          </w:tcPr>
          <w:p w14:paraId="1984A6E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44.44%</w:t>
            </w:r>
          </w:p>
        </w:tc>
        <w:tc>
          <w:tcPr>
            <w:tcW w:w="735" w:type="dxa"/>
            <w:tcBorders>
              <w:top w:val="single" w:sz="4" w:space="0" w:color="auto"/>
            </w:tcBorders>
            <w:vAlign w:val="center"/>
          </w:tcPr>
          <w:p w14:paraId="11039C8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73833B48" w14:textId="77777777" w:rsidTr="00B70718">
        <w:trPr>
          <w:trHeight w:val="300"/>
        </w:trPr>
        <w:tc>
          <w:tcPr>
            <w:tcW w:w="870" w:type="dxa"/>
            <w:shd w:val="clear" w:color="auto" w:fill="auto"/>
            <w:noWrap/>
            <w:vAlign w:val="center"/>
            <w:hideMark/>
          </w:tcPr>
          <w:p w14:paraId="65418C5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1EB158D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-1.29%</w:t>
            </w:r>
          </w:p>
        </w:tc>
        <w:tc>
          <w:tcPr>
            <w:tcW w:w="674" w:type="dxa"/>
            <w:shd w:val="clear" w:color="auto" w:fill="auto"/>
            <w:noWrap/>
            <w:vAlign w:val="center"/>
            <w:hideMark/>
          </w:tcPr>
          <w:p w14:paraId="14AB1B2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-0.8244</w:t>
            </w:r>
          </w:p>
        </w:tc>
        <w:tc>
          <w:tcPr>
            <w:tcW w:w="765" w:type="dxa"/>
            <w:shd w:val="clear" w:color="auto" w:fill="auto"/>
            <w:noWrap/>
            <w:vAlign w:val="center"/>
            <w:hideMark/>
          </w:tcPr>
          <w:p w14:paraId="033CC31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0.409715</w:t>
            </w:r>
          </w:p>
        </w:tc>
        <w:tc>
          <w:tcPr>
            <w:tcW w:w="695" w:type="dxa"/>
            <w:shd w:val="clear" w:color="auto" w:fill="auto"/>
            <w:noWrap/>
            <w:vAlign w:val="center"/>
            <w:hideMark/>
          </w:tcPr>
          <w:p w14:paraId="4D14233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23.40%</w:t>
            </w:r>
          </w:p>
        </w:tc>
        <w:tc>
          <w:tcPr>
            <w:tcW w:w="714" w:type="dxa"/>
            <w:shd w:val="clear" w:color="auto" w:fill="auto"/>
            <w:noWrap/>
            <w:vAlign w:val="center"/>
            <w:hideMark/>
          </w:tcPr>
          <w:p w14:paraId="1898C09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-0.10%</w:t>
            </w:r>
          </w:p>
        </w:tc>
        <w:tc>
          <w:tcPr>
            <w:tcW w:w="754" w:type="dxa"/>
            <w:shd w:val="clear" w:color="auto" w:fill="auto"/>
            <w:noWrap/>
            <w:vAlign w:val="center"/>
            <w:hideMark/>
          </w:tcPr>
          <w:p w14:paraId="372235A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-0.8474</w:t>
            </w:r>
          </w:p>
        </w:tc>
        <w:tc>
          <w:tcPr>
            <w:tcW w:w="977" w:type="dxa"/>
            <w:shd w:val="clear" w:color="auto" w:fill="auto"/>
            <w:noWrap/>
            <w:vAlign w:val="center"/>
            <w:hideMark/>
          </w:tcPr>
          <w:p w14:paraId="36703F3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0.396780</w:t>
            </w:r>
          </w:p>
        </w:tc>
        <w:tc>
          <w:tcPr>
            <w:tcW w:w="696" w:type="dxa"/>
            <w:shd w:val="clear" w:color="auto" w:fill="auto"/>
            <w:noWrap/>
            <w:vAlign w:val="center"/>
            <w:hideMark/>
          </w:tcPr>
          <w:p w14:paraId="0B36507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44.58%</w:t>
            </w:r>
          </w:p>
        </w:tc>
        <w:tc>
          <w:tcPr>
            <w:tcW w:w="839" w:type="dxa"/>
            <w:vAlign w:val="center"/>
          </w:tcPr>
          <w:p w14:paraId="3DB9A82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neg***</w:t>
            </w:r>
          </w:p>
        </w:tc>
        <w:tc>
          <w:tcPr>
            <w:tcW w:w="642" w:type="dxa"/>
            <w:shd w:val="clear" w:color="auto" w:fill="auto"/>
            <w:noWrap/>
            <w:vAlign w:val="center"/>
            <w:hideMark/>
          </w:tcPr>
          <w:p w14:paraId="16744ECA"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-1.75%</w:t>
            </w:r>
          </w:p>
        </w:tc>
        <w:tc>
          <w:tcPr>
            <w:tcW w:w="675" w:type="dxa"/>
            <w:shd w:val="clear" w:color="auto" w:fill="auto"/>
            <w:noWrap/>
            <w:vAlign w:val="center"/>
            <w:hideMark/>
          </w:tcPr>
          <w:p w14:paraId="06FF4978"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-1.8508</w:t>
            </w:r>
          </w:p>
        </w:tc>
        <w:tc>
          <w:tcPr>
            <w:tcW w:w="766" w:type="dxa"/>
            <w:shd w:val="clear" w:color="auto" w:fill="auto"/>
            <w:noWrap/>
            <w:vAlign w:val="center"/>
            <w:hideMark/>
          </w:tcPr>
          <w:p w14:paraId="0AB228E9"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0.064198</w:t>
            </w:r>
          </w:p>
        </w:tc>
        <w:tc>
          <w:tcPr>
            <w:tcW w:w="660" w:type="dxa"/>
            <w:shd w:val="clear" w:color="auto" w:fill="auto"/>
            <w:noWrap/>
            <w:vAlign w:val="center"/>
            <w:hideMark/>
          </w:tcPr>
          <w:p w14:paraId="6FD81B7A"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26.67%</w:t>
            </w:r>
          </w:p>
        </w:tc>
        <w:tc>
          <w:tcPr>
            <w:tcW w:w="687" w:type="dxa"/>
            <w:shd w:val="clear" w:color="auto" w:fill="auto"/>
            <w:noWrap/>
            <w:vAlign w:val="center"/>
            <w:hideMark/>
          </w:tcPr>
          <w:p w14:paraId="50A3174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-1.08%</w:t>
            </w:r>
          </w:p>
        </w:tc>
        <w:tc>
          <w:tcPr>
            <w:tcW w:w="656" w:type="dxa"/>
            <w:shd w:val="clear" w:color="auto" w:fill="auto"/>
            <w:noWrap/>
            <w:vAlign w:val="center"/>
            <w:hideMark/>
          </w:tcPr>
          <w:p w14:paraId="1BC1A1B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-0.5814</w:t>
            </w:r>
          </w:p>
        </w:tc>
        <w:tc>
          <w:tcPr>
            <w:tcW w:w="844" w:type="dxa"/>
            <w:shd w:val="clear" w:color="auto" w:fill="auto"/>
            <w:noWrap/>
            <w:vAlign w:val="center"/>
            <w:hideMark/>
          </w:tcPr>
          <w:p w14:paraId="6E66B56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0.560955</w:t>
            </w:r>
          </w:p>
        </w:tc>
        <w:tc>
          <w:tcPr>
            <w:tcW w:w="714" w:type="dxa"/>
            <w:shd w:val="clear" w:color="auto" w:fill="auto"/>
            <w:vAlign w:val="center"/>
          </w:tcPr>
          <w:p w14:paraId="754A709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33.33%</w:t>
            </w:r>
          </w:p>
        </w:tc>
        <w:tc>
          <w:tcPr>
            <w:tcW w:w="735" w:type="dxa"/>
            <w:vAlign w:val="center"/>
          </w:tcPr>
          <w:p w14:paraId="43CEE71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54308DD6" w14:textId="77777777" w:rsidTr="00B70718">
        <w:trPr>
          <w:trHeight w:val="315"/>
        </w:trPr>
        <w:tc>
          <w:tcPr>
            <w:tcW w:w="870" w:type="dxa"/>
            <w:tcBorders>
              <w:bottom w:val="single" w:sz="4" w:space="0" w:color="auto"/>
            </w:tcBorders>
            <w:shd w:val="clear" w:color="auto" w:fill="auto"/>
            <w:noWrap/>
            <w:vAlign w:val="center"/>
            <w:hideMark/>
          </w:tcPr>
          <w:p w14:paraId="0C863DA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tcBorders>
              <w:bottom w:val="single" w:sz="4" w:space="0" w:color="auto"/>
            </w:tcBorders>
            <w:shd w:val="clear" w:color="auto" w:fill="auto"/>
            <w:noWrap/>
            <w:vAlign w:val="center"/>
            <w:hideMark/>
          </w:tcPr>
          <w:p w14:paraId="14F728B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-0.18%</w:t>
            </w:r>
          </w:p>
        </w:tc>
        <w:tc>
          <w:tcPr>
            <w:tcW w:w="674" w:type="dxa"/>
            <w:tcBorders>
              <w:bottom w:val="single" w:sz="4" w:space="0" w:color="auto"/>
            </w:tcBorders>
            <w:shd w:val="clear" w:color="auto" w:fill="auto"/>
            <w:noWrap/>
            <w:vAlign w:val="center"/>
            <w:hideMark/>
          </w:tcPr>
          <w:p w14:paraId="68E215E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-0.4430</w:t>
            </w:r>
          </w:p>
        </w:tc>
        <w:tc>
          <w:tcPr>
            <w:tcW w:w="765" w:type="dxa"/>
            <w:tcBorders>
              <w:bottom w:val="single" w:sz="4" w:space="0" w:color="auto"/>
            </w:tcBorders>
            <w:shd w:val="clear" w:color="auto" w:fill="auto"/>
            <w:noWrap/>
            <w:vAlign w:val="center"/>
            <w:hideMark/>
          </w:tcPr>
          <w:p w14:paraId="446E15F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0.657736</w:t>
            </w:r>
          </w:p>
        </w:tc>
        <w:tc>
          <w:tcPr>
            <w:tcW w:w="695" w:type="dxa"/>
            <w:tcBorders>
              <w:bottom w:val="single" w:sz="4" w:space="0" w:color="auto"/>
            </w:tcBorders>
            <w:shd w:val="clear" w:color="auto" w:fill="auto"/>
            <w:noWrap/>
            <w:vAlign w:val="center"/>
            <w:hideMark/>
          </w:tcPr>
          <w:p w14:paraId="4E4D1AD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31.91%</w:t>
            </w:r>
          </w:p>
        </w:tc>
        <w:tc>
          <w:tcPr>
            <w:tcW w:w="714" w:type="dxa"/>
            <w:tcBorders>
              <w:bottom w:val="single" w:sz="4" w:space="0" w:color="auto"/>
            </w:tcBorders>
            <w:shd w:val="clear" w:color="auto" w:fill="auto"/>
            <w:noWrap/>
            <w:vAlign w:val="center"/>
            <w:hideMark/>
          </w:tcPr>
          <w:p w14:paraId="7F0B84D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0.53%</w:t>
            </w:r>
          </w:p>
        </w:tc>
        <w:tc>
          <w:tcPr>
            <w:tcW w:w="754" w:type="dxa"/>
            <w:tcBorders>
              <w:bottom w:val="single" w:sz="4" w:space="0" w:color="auto"/>
            </w:tcBorders>
            <w:shd w:val="clear" w:color="auto" w:fill="auto"/>
            <w:noWrap/>
            <w:vAlign w:val="center"/>
            <w:hideMark/>
          </w:tcPr>
          <w:p w14:paraId="77F42B0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0.8020</w:t>
            </w:r>
          </w:p>
        </w:tc>
        <w:tc>
          <w:tcPr>
            <w:tcW w:w="977" w:type="dxa"/>
            <w:tcBorders>
              <w:bottom w:val="single" w:sz="4" w:space="0" w:color="auto"/>
            </w:tcBorders>
            <w:shd w:val="clear" w:color="auto" w:fill="auto"/>
            <w:noWrap/>
            <w:vAlign w:val="center"/>
            <w:hideMark/>
          </w:tcPr>
          <w:p w14:paraId="6D23C6B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0.422555</w:t>
            </w:r>
          </w:p>
        </w:tc>
        <w:tc>
          <w:tcPr>
            <w:tcW w:w="696" w:type="dxa"/>
            <w:tcBorders>
              <w:bottom w:val="single" w:sz="4" w:space="0" w:color="auto"/>
            </w:tcBorders>
            <w:shd w:val="clear" w:color="auto" w:fill="auto"/>
            <w:noWrap/>
            <w:vAlign w:val="center"/>
            <w:hideMark/>
          </w:tcPr>
          <w:p w14:paraId="108B619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55.42%</w:t>
            </w:r>
          </w:p>
        </w:tc>
        <w:tc>
          <w:tcPr>
            <w:tcW w:w="839" w:type="dxa"/>
            <w:tcBorders>
              <w:bottom w:val="single" w:sz="4" w:space="0" w:color="auto"/>
            </w:tcBorders>
            <w:vAlign w:val="center"/>
          </w:tcPr>
          <w:p w14:paraId="4E2B316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neg*</w:t>
            </w:r>
          </w:p>
        </w:tc>
        <w:tc>
          <w:tcPr>
            <w:tcW w:w="642" w:type="dxa"/>
            <w:tcBorders>
              <w:bottom w:val="single" w:sz="4" w:space="0" w:color="auto"/>
            </w:tcBorders>
            <w:shd w:val="clear" w:color="auto" w:fill="auto"/>
            <w:noWrap/>
            <w:vAlign w:val="center"/>
            <w:hideMark/>
          </w:tcPr>
          <w:p w14:paraId="6A13E11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-0.69%</w:t>
            </w:r>
          </w:p>
        </w:tc>
        <w:tc>
          <w:tcPr>
            <w:tcW w:w="675" w:type="dxa"/>
            <w:tcBorders>
              <w:bottom w:val="single" w:sz="4" w:space="0" w:color="auto"/>
            </w:tcBorders>
            <w:shd w:val="clear" w:color="auto" w:fill="auto"/>
            <w:noWrap/>
            <w:vAlign w:val="center"/>
            <w:hideMark/>
          </w:tcPr>
          <w:p w14:paraId="17AEF59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-1.2527</w:t>
            </w:r>
          </w:p>
        </w:tc>
        <w:tc>
          <w:tcPr>
            <w:tcW w:w="766" w:type="dxa"/>
            <w:tcBorders>
              <w:bottom w:val="single" w:sz="4" w:space="0" w:color="auto"/>
            </w:tcBorders>
            <w:shd w:val="clear" w:color="auto" w:fill="auto"/>
            <w:noWrap/>
            <w:vAlign w:val="center"/>
            <w:hideMark/>
          </w:tcPr>
          <w:p w14:paraId="2E0F76B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0.210326</w:t>
            </w:r>
          </w:p>
        </w:tc>
        <w:tc>
          <w:tcPr>
            <w:tcW w:w="660" w:type="dxa"/>
            <w:tcBorders>
              <w:bottom w:val="single" w:sz="4" w:space="0" w:color="auto"/>
            </w:tcBorders>
            <w:shd w:val="clear" w:color="auto" w:fill="auto"/>
            <w:noWrap/>
            <w:vAlign w:val="center"/>
            <w:hideMark/>
          </w:tcPr>
          <w:p w14:paraId="224A4FC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26.67%</w:t>
            </w:r>
          </w:p>
        </w:tc>
        <w:tc>
          <w:tcPr>
            <w:tcW w:w="687" w:type="dxa"/>
            <w:tcBorders>
              <w:bottom w:val="single" w:sz="4" w:space="0" w:color="auto"/>
            </w:tcBorders>
            <w:shd w:val="clear" w:color="auto" w:fill="auto"/>
            <w:noWrap/>
            <w:vAlign w:val="center"/>
            <w:hideMark/>
          </w:tcPr>
          <w:p w14:paraId="17E3647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0.05%</w:t>
            </w:r>
          </w:p>
        </w:tc>
        <w:tc>
          <w:tcPr>
            <w:tcW w:w="656" w:type="dxa"/>
            <w:tcBorders>
              <w:bottom w:val="single" w:sz="4" w:space="0" w:color="auto"/>
            </w:tcBorders>
            <w:shd w:val="clear" w:color="auto" w:fill="auto"/>
            <w:noWrap/>
            <w:vAlign w:val="center"/>
            <w:hideMark/>
          </w:tcPr>
          <w:p w14:paraId="099183D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-0.2202</w:t>
            </w:r>
          </w:p>
        </w:tc>
        <w:tc>
          <w:tcPr>
            <w:tcW w:w="844" w:type="dxa"/>
            <w:tcBorders>
              <w:bottom w:val="single" w:sz="4" w:space="0" w:color="auto"/>
            </w:tcBorders>
            <w:shd w:val="clear" w:color="auto" w:fill="auto"/>
            <w:noWrap/>
            <w:vAlign w:val="center"/>
            <w:hideMark/>
          </w:tcPr>
          <w:p w14:paraId="2E7BB6C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0.825715</w:t>
            </w:r>
          </w:p>
        </w:tc>
        <w:tc>
          <w:tcPr>
            <w:tcW w:w="714" w:type="dxa"/>
            <w:tcBorders>
              <w:bottom w:val="single" w:sz="4" w:space="0" w:color="auto"/>
            </w:tcBorders>
            <w:shd w:val="clear" w:color="auto" w:fill="auto"/>
            <w:vAlign w:val="center"/>
          </w:tcPr>
          <w:p w14:paraId="5B20E5A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33.33%</w:t>
            </w:r>
          </w:p>
        </w:tc>
        <w:tc>
          <w:tcPr>
            <w:tcW w:w="735" w:type="dxa"/>
            <w:tcBorders>
              <w:bottom w:val="single" w:sz="4" w:space="0" w:color="auto"/>
            </w:tcBorders>
            <w:vAlign w:val="center"/>
          </w:tcPr>
          <w:p w14:paraId="181762A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345E90FC" w14:textId="77777777" w:rsidTr="00B70718">
        <w:trPr>
          <w:trHeight w:val="300"/>
        </w:trPr>
        <w:tc>
          <w:tcPr>
            <w:tcW w:w="870" w:type="dxa"/>
            <w:tcBorders>
              <w:top w:val="single" w:sz="4" w:space="0" w:color="auto"/>
              <w:bottom w:val="single" w:sz="4" w:space="0" w:color="auto"/>
            </w:tcBorders>
            <w:shd w:val="clear" w:color="auto" w:fill="auto"/>
            <w:vAlign w:val="center"/>
            <w:hideMark/>
          </w:tcPr>
          <w:p w14:paraId="65BE3D88"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10/10/2014</w:t>
            </w:r>
          </w:p>
        </w:tc>
        <w:tc>
          <w:tcPr>
            <w:tcW w:w="643" w:type="dxa"/>
            <w:tcBorders>
              <w:top w:val="single" w:sz="4" w:space="0" w:color="auto"/>
              <w:bottom w:val="single" w:sz="4" w:space="0" w:color="auto"/>
            </w:tcBorders>
            <w:shd w:val="clear" w:color="auto" w:fill="auto"/>
            <w:noWrap/>
            <w:vAlign w:val="center"/>
            <w:hideMark/>
          </w:tcPr>
          <w:p w14:paraId="4E4B6EB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3EE4047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4C8BAE0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25A0453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108C46C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70849E3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2AB7180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4D2168E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15C1839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3BE2EBE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0B8032B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50275D3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1130F28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1DD5318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16DA1E5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48CB246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34408F1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2BBE08A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02936FF5" w14:textId="77777777" w:rsidTr="00B70718">
        <w:trPr>
          <w:trHeight w:val="300"/>
        </w:trPr>
        <w:tc>
          <w:tcPr>
            <w:tcW w:w="870" w:type="dxa"/>
            <w:tcBorders>
              <w:top w:val="single" w:sz="4" w:space="0" w:color="auto"/>
            </w:tcBorders>
            <w:shd w:val="clear" w:color="auto" w:fill="auto"/>
            <w:noWrap/>
            <w:vAlign w:val="center"/>
            <w:hideMark/>
          </w:tcPr>
          <w:p w14:paraId="2AECF4B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5F7573F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3.38%</w:t>
            </w:r>
          </w:p>
        </w:tc>
        <w:tc>
          <w:tcPr>
            <w:tcW w:w="674" w:type="dxa"/>
            <w:tcBorders>
              <w:top w:val="single" w:sz="4" w:space="0" w:color="auto"/>
            </w:tcBorders>
            <w:shd w:val="clear" w:color="auto" w:fill="auto"/>
            <w:noWrap/>
            <w:vAlign w:val="center"/>
            <w:hideMark/>
          </w:tcPr>
          <w:p w14:paraId="37EE8FE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1.5101</w:t>
            </w:r>
          </w:p>
        </w:tc>
        <w:tc>
          <w:tcPr>
            <w:tcW w:w="765" w:type="dxa"/>
            <w:tcBorders>
              <w:top w:val="single" w:sz="4" w:space="0" w:color="auto"/>
            </w:tcBorders>
            <w:shd w:val="clear" w:color="auto" w:fill="auto"/>
            <w:noWrap/>
            <w:vAlign w:val="center"/>
            <w:hideMark/>
          </w:tcPr>
          <w:p w14:paraId="5612EA6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0.131008</w:t>
            </w:r>
          </w:p>
        </w:tc>
        <w:tc>
          <w:tcPr>
            <w:tcW w:w="695" w:type="dxa"/>
            <w:tcBorders>
              <w:top w:val="single" w:sz="4" w:space="0" w:color="auto"/>
            </w:tcBorders>
            <w:shd w:val="clear" w:color="auto" w:fill="auto"/>
            <w:noWrap/>
            <w:vAlign w:val="center"/>
            <w:hideMark/>
          </w:tcPr>
          <w:p w14:paraId="2EB763A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82.22%</w:t>
            </w:r>
          </w:p>
        </w:tc>
        <w:tc>
          <w:tcPr>
            <w:tcW w:w="714" w:type="dxa"/>
            <w:tcBorders>
              <w:top w:val="single" w:sz="4" w:space="0" w:color="auto"/>
            </w:tcBorders>
            <w:shd w:val="clear" w:color="auto" w:fill="auto"/>
            <w:noWrap/>
            <w:vAlign w:val="center"/>
            <w:hideMark/>
          </w:tcPr>
          <w:p w14:paraId="4C780A7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0.02%</w:t>
            </w:r>
          </w:p>
        </w:tc>
        <w:tc>
          <w:tcPr>
            <w:tcW w:w="754" w:type="dxa"/>
            <w:tcBorders>
              <w:top w:val="single" w:sz="4" w:space="0" w:color="auto"/>
            </w:tcBorders>
            <w:shd w:val="clear" w:color="auto" w:fill="auto"/>
            <w:noWrap/>
            <w:vAlign w:val="center"/>
            <w:hideMark/>
          </w:tcPr>
          <w:p w14:paraId="3437360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0.3189</w:t>
            </w:r>
          </w:p>
        </w:tc>
        <w:tc>
          <w:tcPr>
            <w:tcW w:w="977" w:type="dxa"/>
            <w:tcBorders>
              <w:top w:val="single" w:sz="4" w:space="0" w:color="auto"/>
            </w:tcBorders>
            <w:shd w:val="clear" w:color="auto" w:fill="auto"/>
            <w:noWrap/>
            <w:vAlign w:val="center"/>
            <w:hideMark/>
          </w:tcPr>
          <w:p w14:paraId="452165F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0.749813</w:t>
            </w:r>
          </w:p>
        </w:tc>
        <w:tc>
          <w:tcPr>
            <w:tcW w:w="696" w:type="dxa"/>
            <w:tcBorders>
              <w:top w:val="single" w:sz="4" w:space="0" w:color="auto"/>
            </w:tcBorders>
            <w:shd w:val="clear" w:color="auto" w:fill="auto"/>
            <w:noWrap/>
            <w:vAlign w:val="center"/>
            <w:hideMark/>
          </w:tcPr>
          <w:p w14:paraId="2D528FE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45.68%</w:t>
            </w:r>
          </w:p>
        </w:tc>
        <w:tc>
          <w:tcPr>
            <w:tcW w:w="839" w:type="dxa"/>
            <w:tcBorders>
              <w:top w:val="single" w:sz="4" w:space="0" w:color="auto"/>
            </w:tcBorders>
            <w:vAlign w:val="center"/>
          </w:tcPr>
          <w:p w14:paraId="53664C9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w:t>
            </w:r>
          </w:p>
        </w:tc>
        <w:tc>
          <w:tcPr>
            <w:tcW w:w="642" w:type="dxa"/>
            <w:tcBorders>
              <w:top w:val="single" w:sz="4" w:space="0" w:color="auto"/>
            </w:tcBorders>
            <w:shd w:val="clear" w:color="auto" w:fill="auto"/>
            <w:noWrap/>
            <w:vAlign w:val="center"/>
            <w:hideMark/>
          </w:tcPr>
          <w:p w14:paraId="1695B40C"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4.36%</w:t>
            </w:r>
          </w:p>
        </w:tc>
        <w:tc>
          <w:tcPr>
            <w:tcW w:w="675" w:type="dxa"/>
            <w:tcBorders>
              <w:top w:val="single" w:sz="4" w:space="0" w:color="auto"/>
            </w:tcBorders>
            <w:shd w:val="clear" w:color="auto" w:fill="auto"/>
            <w:noWrap/>
            <w:vAlign w:val="center"/>
            <w:hideMark/>
          </w:tcPr>
          <w:p w14:paraId="0828ECC1"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1.7379</w:t>
            </w:r>
          </w:p>
        </w:tc>
        <w:tc>
          <w:tcPr>
            <w:tcW w:w="766" w:type="dxa"/>
            <w:tcBorders>
              <w:top w:val="single" w:sz="4" w:space="0" w:color="auto"/>
            </w:tcBorders>
            <w:shd w:val="clear" w:color="auto" w:fill="auto"/>
            <w:noWrap/>
            <w:vAlign w:val="center"/>
            <w:hideMark/>
          </w:tcPr>
          <w:p w14:paraId="250F6B07"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0.082233</w:t>
            </w:r>
          </w:p>
        </w:tc>
        <w:tc>
          <w:tcPr>
            <w:tcW w:w="660" w:type="dxa"/>
            <w:tcBorders>
              <w:top w:val="single" w:sz="4" w:space="0" w:color="auto"/>
            </w:tcBorders>
            <w:shd w:val="clear" w:color="auto" w:fill="auto"/>
            <w:noWrap/>
            <w:vAlign w:val="center"/>
            <w:hideMark/>
          </w:tcPr>
          <w:p w14:paraId="5B89A6E3"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85.71%</w:t>
            </w:r>
          </w:p>
        </w:tc>
        <w:tc>
          <w:tcPr>
            <w:tcW w:w="687" w:type="dxa"/>
            <w:tcBorders>
              <w:top w:val="single" w:sz="4" w:space="0" w:color="auto"/>
            </w:tcBorders>
            <w:shd w:val="clear" w:color="auto" w:fill="auto"/>
            <w:noWrap/>
            <w:vAlign w:val="center"/>
            <w:hideMark/>
          </w:tcPr>
          <w:p w14:paraId="4AD426E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2.93%</w:t>
            </w:r>
          </w:p>
        </w:tc>
        <w:tc>
          <w:tcPr>
            <w:tcW w:w="656" w:type="dxa"/>
            <w:tcBorders>
              <w:top w:val="single" w:sz="4" w:space="0" w:color="auto"/>
            </w:tcBorders>
            <w:shd w:val="clear" w:color="auto" w:fill="auto"/>
            <w:noWrap/>
            <w:vAlign w:val="center"/>
            <w:hideMark/>
          </w:tcPr>
          <w:p w14:paraId="47E5875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1.2813</w:t>
            </w:r>
          </w:p>
        </w:tc>
        <w:tc>
          <w:tcPr>
            <w:tcW w:w="844" w:type="dxa"/>
            <w:tcBorders>
              <w:top w:val="single" w:sz="4" w:space="0" w:color="auto"/>
            </w:tcBorders>
            <w:shd w:val="clear" w:color="auto" w:fill="auto"/>
            <w:noWrap/>
            <w:vAlign w:val="center"/>
            <w:hideMark/>
          </w:tcPr>
          <w:p w14:paraId="4B8523F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0.200103</w:t>
            </w:r>
          </w:p>
        </w:tc>
        <w:tc>
          <w:tcPr>
            <w:tcW w:w="714" w:type="dxa"/>
            <w:tcBorders>
              <w:top w:val="single" w:sz="4" w:space="0" w:color="auto"/>
            </w:tcBorders>
            <w:shd w:val="clear" w:color="auto" w:fill="auto"/>
            <w:vAlign w:val="center"/>
          </w:tcPr>
          <w:p w14:paraId="4DC27A8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75.00%</w:t>
            </w:r>
          </w:p>
        </w:tc>
        <w:tc>
          <w:tcPr>
            <w:tcW w:w="735" w:type="dxa"/>
            <w:tcBorders>
              <w:top w:val="single" w:sz="4" w:space="0" w:color="auto"/>
            </w:tcBorders>
            <w:vAlign w:val="center"/>
          </w:tcPr>
          <w:p w14:paraId="38E349D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7F58F6AA" w14:textId="77777777" w:rsidTr="00B70718">
        <w:trPr>
          <w:trHeight w:val="300"/>
        </w:trPr>
        <w:tc>
          <w:tcPr>
            <w:tcW w:w="870" w:type="dxa"/>
            <w:shd w:val="clear" w:color="auto" w:fill="auto"/>
            <w:noWrap/>
            <w:vAlign w:val="center"/>
            <w:hideMark/>
          </w:tcPr>
          <w:p w14:paraId="6D3AB0B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7F9B3F5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2.49%</w:t>
            </w:r>
          </w:p>
        </w:tc>
        <w:tc>
          <w:tcPr>
            <w:tcW w:w="674" w:type="dxa"/>
            <w:shd w:val="clear" w:color="auto" w:fill="auto"/>
            <w:noWrap/>
            <w:vAlign w:val="center"/>
            <w:hideMark/>
          </w:tcPr>
          <w:p w14:paraId="01D9E71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1.3628</w:t>
            </w:r>
          </w:p>
        </w:tc>
        <w:tc>
          <w:tcPr>
            <w:tcW w:w="765" w:type="dxa"/>
            <w:shd w:val="clear" w:color="auto" w:fill="auto"/>
            <w:noWrap/>
            <w:vAlign w:val="center"/>
            <w:hideMark/>
          </w:tcPr>
          <w:p w14:paraId="1F841CC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0.172944</w:t>
            </w:r>
          </w:p>
        </w:tc>
        <w:tc>
          <w:tcPr>
            <w:tcW w:w="695" w:type="dxa"/>
            <w:shd w:val="clear" w:color="auto" w:fill="auto"/>
            <w:noWrap/>
            <w:vAlign w:val="center"/>
            <w:hideMark/>
          </w:tcPr>
          <w:p w14:paraId="2A50BE9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82.22%</w:t>
            </w:r>
          </w:p>
        </w:tc>
        <w:tc>
          <w:tcPr>
            <w:tcW w:w="714" w:type="dxa"/>
            <w:shd w:val="clear" w:color="auto" w:fill="auto"/>
            <w:noWrap/>
            <w:vAlign w:val="center"/>
            <w:hideMark/>
          </w:tcPr>
          <w:p w14:paraId="76AC452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0.01%</w:t>
            </w:r>
          </w:p>
        </w:tc>
        <w:tc>
          <w:tcPr>
            <w:tcW w:w="754" w:type="dxa"/>
            <w:shd w:val="clear" w:color="auto" w:fill="auto"/>
            <w:noWrap/>
            <w:vAlign w:val="center"/>
            <w:hideMark/>
          </w:tcPr>
          <w:p w14:paraId="49E4C52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0.1796</w:t>
            </w:r>
          </w:p>
        </w:tc>
        <w:tc>
          <w:tcPr>
            <w:tcW w:w="977" w:type="dxa"/>
            <w:shd w:val="clear" w:color="auto" w:fill="auto"/>
            <w:noWrap/>
            <w:vAlign w:val="center"/>
            <w:hideMark/>
          </w:tcPr>
          <w:p w14:paraId="686C2BA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0.857468</w:t>
            </w:r>
          </w:p>
        </w:tc>
        <w:tc>
          <w:tcPr>
            <w:tcW w:w="696" w:type="dxa"/>
            <w:shd w:val="clear" w:color="auto" w:fill="auto"/>
            <w:noWrap/>
            <w:vAlign w:val="center"/>
            <w:hideMark/>
          </w:tcPr>
          <w:p w14:paraId="18D29DC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50.62%</w:t>
            </w:r>
          </w:p>
        </w:tc>
        <w:tc>
          <w:tcPr>
            <w:tcW w:w="839" w:type="dxa"/>
            <w:vAlign w:val="center"/>
          </w:tcPr>
          <w:p w14:paraId="62FA958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w:t>
            </w:r>
          </w:p>
        </w:tc>
        <w:tc>
          <w:tcPr>
            <w:tcW w:w="642" w:type="dxa"/>
            <w:shd w:val="clear" w:color="auto" w:fill="auto"/>
            <w:noWrap/>
            <w:vAlign w:val="center"/>
            <w:hideMark/>
          </w:tcPr>
          <w:p w14:paraId="42485B60"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2.95%</w:t>
            </w:r>
          </w:p>
        </w:tc>
        <w:tc>
          <w:tcPr>
            <w:tcW w:w="675" w:type="dxa"/>
            <w:shd w:val="clear" w:color="auto" w:fill="auto"/>
            <w:noWrap/>
            <w:vAlign w:val="center"/>
            <w:hideMark/>
          </w:tcPr>
          <w:p w14:paraId="6CE65634"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1.7086</w:t>
            </w:r>
          </w:p>
        </w:tc>
        <w:tc>
          <w:tcPr>
            <w:tcW w:w="766" w:type="dxa"/>
            <w:shd w:val="clear" w:color="auto" w:fill="auto"/>
            <w:noWrap/>
            <w:vAlign w:val="center"/>
            <w:hideMark/>
          </w:tcPr>
          <w:p w14:paraId="5B85EB0C"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0.087531</w:t>
            </w:r>
          </w:p>
        </w:tc>
        <w:tc>
          <w:tcPr>
            <w:tcW w:w="660" w:type="dxa"/>
            <w:shd w:val="clear" w:color="auto" w:fill="auto"/>
            <w:noWrap/>
            <w:vAlign w:val="center"/>
            <w:hideMark/>
          </w:tcPr>
          <w:p w14:paraId="3B970367"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85.71%</w:t>
            </w:r>
          </w:p>
        </w:tc>
        <w:tc>
          <w:tcPr>
            <w:tcW w:w="687" w:type="dxa"/>
            <w:shd w:val="clear" w:color="auto" w:fill="auto"/>
            <w:noWrap/>
            <w:vAlign w:val="center"/>
            <w:hideMark/>
          </w:tcPr>
          <w:p w14:paraId="2B6A4A4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2.28%</w:t>
            </w:r>
          </w:p>
        </w:tc>
        <w:tc>
          <w:tcPr>
            <w:tcW w:w="656" w:type="dxa"/>
            <w:shd w:val="clear" w:color="auto" w:fill="auto"/>
            <w:noWrap/>
            <w:vAlign w:val="center"/>
            <w:hideMark/>
          </w:tcPr>
          <w:p w14:paraId="27B15B8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1.1368</w:t>
            </w:r>
          </w:p>
        </w:tc>
        <w:tc>
          <w:tcPr>
            <w:tcW w:w="844" w:type="dxa"/>
            <w:shd w:val="clear" w:color="auto" w:fill="auto"/>
            <w:noWrap/>
            <w:vAlign w:val="center"/>
            <w:hideMark/>
          </w:tcPr>
          <w:p w14:paraId="5A11A8B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0.255642</w:t>
            </w:r>
          </w:p>
        </w:tc>
        <w:tc>
          <w:tcPr>
            <w:tcW w:w="714" w:type="dxa"/>
            <w:shd w:val="clear" w:color="auto" w:fill="auto"/>
            <w:vAlign w:val="center"/>
          </w:tcPr>
          <w:p w14:paraId="7282E17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75.00%</w:t>
            </w:r>
          </w:p>
        </w:tc>
        <w:tc>
          <w:tcPr>
            <w:tcW w:w="735" w:type="dxa"/>
            <w:vAlign w:val="center"/>
          </w:tcPr>
          <w:p w14:paraId="2210F37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028B5299" w14:textId="77777777" w:rsidTr="00B70718">
        <w:trPr>
          <w:trHeight w:val="315"/>
        </w:trPr>
        <w:tc>
          <w:tcPr>
            <w:tcW w:w="870" w:type="dxa"/>
            <w:tcBorders>
              <w:bottom w:val="single" w:sz="4" w:space="0" w:color="auto"/>
            </w:tcBorders>
            <w:shd w:val="clear" w:color="auto" w:fill="auto"/>
            <w:noWrap/>
            <w:vAlign w:val="center"/>
            <w:hideMark/>
          </w:tcPr>
          <w:p w14:paraId="12FBE12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tcBorders>
              <w:bottom w:val="single" w:sz="4" w:space="0" w:color="auto"/>
            </w:tcBorders>
            <w:shd w:val="clear" w:color="auto" w:fill="auto"/>
            <w:noWrap/>
            <w:vAlign w:val="center"/>
            <w:hideMark/>
          </w:tcPr>
          <w:p w14:paraId="63FA5A4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1.14%</w:t>
            </w:r>
          </w:p>
        </w:tc>
        <w:tc>
          <w:tcPr>
            <w:tcW w:w="674" w:type="dxa"/>
            <w:tcBorders>
              <w:bottom w:val="single" w:sz="4" w:space="0" w:color="auto"/>
            </w:tcBorders>
            <w:shd w:val="clear" w:color="auto" w:fill="auto"/>
            <w:noWrap/>
            <w:vAlign w:val="center"/>
            <w:hideMark/>
          </w:tcPr>
          <w:p w14:paraId="16665B5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0.8389</w:t>
            </w:r>
          </w:p>
        </w:tc>
        <w:tc>
          <w:tcPr>
            <w:tcW w:w="765" w:type="dxa"/>
            <w:tcBorders>
              <w:bottom w:val="single" w:sz="4" w:space="0" w:color="auto"/>
            </w:tcBorders>
            <w:shd w:val="clear" w:color="auto" w:fill="auto"/>
            <w:noWrap/>
            <w:vAlign w:val="center"/>
            <w:hideMark/>
          </w:tcPr>
          <w:p w14:paraId="6FCA002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0.401514</w:t>
            </w:r>
          </w:p>
        </w:tc>
        <w:tc>
          <w:tcPr>
            <w:tcW w:w="695" w:type="dxa"/>
            <w:tcBorders>
              <w:bottom w:val="single" w:sz="4" w:space="0" w:color="auto"/>
            </w:tcBorders>
            <w:shd w:val="clear" w:color="auto" w:fill="auto"/>
            <w:noWrap/>
            <w:vAlign w:val="center"/>
            <w:hideMark/>
          </w:tcPr>
          <w:p w14:paraId="3373B35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75.56%</w:t>
            </w:r>
          </w:p>
        </w:tc>
        <w:tc>
          <w:tcPr>
            <w:tcW w:w="714" w:type="dxa"/>
            <w:tcBorders>
              <w:bottom w:val="single" w:sz="4" w:space="0" w:color="auto"/>
            </w:tcBorders>
            <w:shd w:val="clear" w:color="auto" w:fill="auto"/>
            <w:noWrap/>
            <w:vAlign w:val="center"/>
            <w:hideMark/>
          </w:tcPr>
          <w:p w14:paraId="78B35FF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-0.02%</w:t>
            </w:r>
          </w:p>
        </w:tc>
        <w:tc>
          <w:tcPr>
            <w:tcW w:w="754" w:type="dxa"/>
            <w:tcBorders>
              <w:bottom w:val="single" w:sz="4" w:space="0" w:color="auto"/>
            </w:tcBorders>
            <w:shd w:val="clear" w:color="auto" w:fill="auto"/>
            <w:noWrap/>
            <w:vAlign w:val="center"/>
            <w:hideMark/>
          </w:tcPr>
          <w:p w14:paraId="1475D81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0.0711</w:t>
            </w:r>
          </w:p>
        </w:tc>
        <w:tc>
          <w:tcPr>
            <w:tcW w:w="977" w:type="dxa"/>
            <w:tcBorders>
              <w:bottom w:val="single" w:sz="4" w:space="0" w:color="auto"/>
            </w:tcBorders>
            <w:shd w:val="clear" w:color="auto" w:fill="auto"/>
            <w:noWrap/>
            <w:vAlign w:val="center"/>
            <w:hideMark/>
          </w:tcPr>
          <w:p w14:paraId="07EF649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0.943295</w:t>
            </w:r>
          </w:p>
        </w:tc>
        <w:tc>
          <w:tcPr>
            <w:tcW w:w="696" w:type="dxa"/>
            <w:tcBorders>
              <w:bottom w:val="single" w:sz="4" w:space="0" w:color="auto"/>
            </w:tcBorders>
            <w:shd w:val="clear" w:color="auto" w:fill="auto"/>
            <w:noWrap/>
            <w:vAlign w:val="center"/>
            <w:hideMark/>
          </w:tcPr>
          <w:p w14:paraId="05F2A8D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51.85%</w:t>
            </w:r>
          </w:p>
        </w:tc>
        <w:tc>
          <w:tcPr>
            <w:tcW w:w="839" w:type="dxa"/>
            <w:tcBorders>
              <w:bottom w:val="single" w:sz="4" w:space="0" w:color="auto"/>
            </w:tcBorders>
            <w:vAlign w:val="center"/>
          </w:tcPr>
          <w:p w14:paraId="4944B5A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pos**</w:t>
            </w:r>
          </w:p>
        </w:tc>
        <w:tc>
          <w:tcPr>
            <w:tcW w:w="642" w:type="dxa"/>
            <w:tcBorders>
              <w:bottom w:val="single" w:sz="4" w:space="0" w:color="auto"/>
            </w:tcBorders>
            <w:shd w:val="clear" w:color="auto" w:fill="auto"/>
            <w:noWrap/>
            <w:vAlign w:val="center"/>
            <w:hideMark/>
          </w:tcPr>
          <w:p w14:paraId="6BF95DD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1.40%</w:t>
            </w:r>
          </w:p>
        </w:tc>
        <w:tc>
          <w:tcPr>
            <w:tcW w:w="675" w:type="dxa"/>
            <w:tcBorders>
              <w:bottom w:val="single" w:sz="4" w:space="0" w:color="auto"/>
            </w:tcBorders>
            <w:shd w:val="clear" w:color="auto" w:fill="auto"/>
            <w:noWrap/>
            <w:vAlign w:val="center"/>
            <w:hideMark/>
          </w:tcPr>
          <w:p w14:paraId="58921EA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1.1292</w:t>
            </w:r>
          </w:p>
        </w:tc>
        <w:tc>
          <w:tcPr>
            <w:tcW w:w="766" w:type="dxa"/>
            <w:tcBorders>
              <w:bottom w:val="single" w:sz="4" w:space="0" w:color="auto"/>
            </w:tcBorders>
            <w:shd w:val="clear" w:color="auto" w:fill="auto"/>
            <w:noWrap/>
            <w:vAlign w:val="center"/>
            <w:hideMark/>
          </w:tcPr>
          <w:p w14:paraId="78AFD2B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0.258804</w:t>
            </w:r>
          </w:p>
        </w:tc>
        <w:tc>
          <w:tcPr>
            <w:tcW w:w="660" w:type="dxa"/>
            <w:tcBorders>
              <w:bottom w:val="single" w:sz="4" w:space="0" w:color="auto"/>
            </w:tcBorders>
            <w:shd w:val="clear" w:color="auto" w:fill="auto"/>
            <w:noWrap/>
            <w:vAlign w:val="center"/>
            <w:hideMark/>
          </w:tcPr>
          <w:p w14:paraId="0C34EBE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64.29%</w:t>
            </w:r>
          </w:p>
        </w:tc>
        <w:tc>
          <w:tcPr>
            <w:tcW w:w="687" w:type="dxa"/>
            <w:tcBorders>
              <w:bottom w:val="single" w:sz="4" w:space="0" w:color="auto"/>
            </w:tcBorders>
            <w:shd w:val="clear" w:color="auto" w:fill="auto"/>
            <w:noWrap/>
            <w:vAlign w:val="center"/>
            <w:hideMark/>
          </w:tcPr>
          <w:p w14:paraId="654B33A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1.02%</w:t>
            </w:r>
          </w:p>
        </w:tc>
        <w:tc>
          <w:tcPr>
            <w:tcW w:w="656" w:type="dxa"/>
            <w:tcBorders>
              <w:bottom w:val="single" w:sz="4" w:space="0" w:color="auto"/>
            </w:tcBorders>
            <w:shd w:val="clear" w:color="auto" w:fill="auto"/>
            <w:noWrap/>
            <w:vAlign w:val="center"/>
            <w:hideMark/>
          </w:tcPr>
          <w:p w14:paraId="110A01C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0.6645</w:t>
            </w:r>
          </w:p>
        </w:tc>
        <w:tc>
          <w:tcPr>
            <w:tcW w:w="844" w:type="dxa"/>
            <w:tcBorders>
              <w:bottom w:val="single" w:sz="4" w:space="0" w:color="auto"/>
            </w:tcBorders>
            <w:shd w:val="clear" w:color="auto" w:fill="auto"/>
            <w:noWrap/>
            <w:vAlign w:val="center"/>
            <w:hideMark/>
          </w:tcPr>
          <w:p w14:paraId="47F34D9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0.506375</w:t>
            </w:r>
          </w:p>
        </w:tc>
        <w:tc>
          <w:tcPr>
            <w:tcW w:w="714" w:type="dxa"/>
            <w:tcBorders>
              <w:bottom w:val="single" w:sz="4" w:space="0" w:color="auto"/>
            </w:tcBorders>
            <w:shd w:val="clear" w:color="auto" w:fill="auto"/>
            <w:vAlign w:val="center"/>
          </w:tcPr>
          <w:p w14:paraId="5BF578D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62.50%</w:t>
            </w:r>
          </w:p>
        </w:tc>
        <w:tc>
          <w:tcPr>
            <w:tcW w:w="735" w:type="dxa"/>
            <w:tcBorders>
              <w:bottom w:val="single" w:sz="4" w:space="0" w:color="auto"/>
            </w:tcBorders>
            <w:vAlign w:val="center"/>
          </w:tcPr>
          <w:p w14:paraId="7328E2A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762EBF13" w14:textId="77777777" w:rsidTr="00B70718">
        <w:trPr>
          <w:trHeight w:val="300"/>
        </w:trPr>
        <w:tc>
          <w:tcPr>
            <w:tcW w:w="870" w:type="dxa"/>
            <w:tcBorders>
              <w:top w:val="single" w:sz="4" w:space="0" w:color="auto"/>
              <w:bottom w:val="single" w:sz="4" w:space="0" w:color="auto"/>
            </w:tcBorders>
            <w:shd w:val="clear" w:color="auto" w:fill="auto"/>
            <w:vAlign w:val="center"/>
            <w:hideMark/>
          </w:tcPr>
          <w:p w14:paraId="35EC60DE"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22/10/2014</w:t>
            </w:r>
          </w:p>
        </w:tc>
        <w:tc>
          <w:tcPr>
            <w:tcW w:w="643" w:type="dxa"/>
            <w:tcBorders>
              <w:top w:val="single" w:sz="4" w:space="0" w:color="auto"/>
              <w:bottom w:val="single" w:sz="4" w:space="0" w:color="auto"/>
            </w:tcBorders>
            <w:shd w:val="clear" w:color="auto" w:fill="auto"/>
            <w:noWrap/>
            <w:vAlign w:val="center"/>
            <w:hideMark/>
          </w:tcPr>
          <w:p w14:paraId="484D01B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4D47848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4BB3E79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4FC9513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793CB8D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298CDDF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1C2CF56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03CE1BC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150C41B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1242BC1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25367C5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364C37F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250B16C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3576B92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26A9B84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580E5A1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39A34BA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489AD01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01BE6D14" w14:textId="77777777" w:rsidTr="00B70718">
        <w:trPr>
          <w:trHeight w:val="300"/>
        </w:trPr>
        <w:tc>
          <w:tcPr>
            <w:tcW w:w="870" w:type="dxa"/>
            <w:tcBorders>
              <w:top w:val="single" w:sz="4" w:space="0" w:color="auto"/>
            </w:tcBorders>
            <w:shd w:val="clear" w:color="auto" w:fill="auto"/>
            <w:noWrap/>
            <w:vAlign w:val="center"/>
            <w:hideMark/>
          </w:tcPr>
          <w:p w14:paraId="7A65343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1791D736"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2.48%</w:t>
            </w:r>
          </w:p>
        </w:tc>
        <w:tc>
          <w:tcPr>
            <w:tcW w:w="674" w:type="dxa"/>
            <w:tcBorders>
              <w:top w:val="single" w:sz="4" w:space="0" w:color="auto"/>
            </w:tcBorders>
            <w:shd w:val="clear" w:color="auto" w:fill="auto"/>
            <w:noWrap/>
            <w:vAlign w:val="center"/>
            <w:hideMark/>
          </w:tcPr>
          <w:p w14:paraId="50F9FE5E"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1.7506</w:t>
            </w:r>
          </w:p>
        </w:tc>
        <w:tc>
          <w:tcPr>
            <w:tcW w:w="765" w:type="dxa"/>
            <w:tcBorders>
              <w:top w:val="single" w:sz="4" w:space="0" w:color="auto"/>
            </w:tcBorders>
            <w:shd w:val="clear" w:color="auto" w:fill="auto"/>
            <w:noWrap/>
            <w:vAlign w:val="center"/>
            <w:hideMark/>
          </w:tcPr>
          <w:p w14:paraId="21A04E7E"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0.080014</w:t>
            </w:r>
          </w:p>
        </w:tc>
        <w:tc>
          <w:tcPr>
            <w:tcW w:w="695" w:type="dxa"/>
            <w:tcBorders>
              <w:top w:val="single" w:sz="4" w:space="0" w:color="auto"/>
            </w:tcBorders>
            <w:shd w:val="clear" w:color="auto" w:fill="auto"/>
            <w:noWrap/>
            <w:vAlign w:val="center"/>
            <w:hideMark/>
          </w:tcPr>
          <w:p w14:paraId="1DEFF24B"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84.44%</w:t>
            </w:r>
          </w:p>
        </w:tc>
        <w:tc>
          <w:tcPr>
            <w:tcW w:w="714" w:type="dxa"/>
            <w:tcBorders>
              <w:top w:val="single" w:sz="4" w:space="0" w:color="auto"/>
            </w:tcBorders>
            <w:shd w:val="clear" w:color="auto" w:fill="auto"/>
            <w:noWrap/>
            <w:vAlign w:val="center"/>
            <w:hideMark/>
          </w:tcPr>
          <w:p w14:paraId="192EFBC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1.15%</w:t>
            </w:r>
          </w:p>
        </w:tc>
        <w:tc>
          <w:tcPr>
            <w:tcW w:w="754" w:type="dxa"/>
            <w:tcBorders>
              <w:top w:val="single" w:sz="4" w:space="0" w:color="auto"/>
            </w:tcBorders>
            <w:shd w:val="clear" w:color="auto" w:fill="auto"/>
            <w:noWrap/>
            <w:vAlign w:val="center"/>
            <w:hideMark/>
          </w:tcPr>
          <w:p w14:paraId="3A7D63D9"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1.7308</w:t>
            </w:r>
          </w:p>
        </w:tc>
        <w:tc>
          <w:tcPr>
            <w:tcW w:w="977" w:type="dxa"/>
            <w:tcBorders>
              <w:top w:val="single" w:sz="4" w:space="0" w:color="auto"/>
            </w:tcBorders>
            <w:shd w:val="clear" w:color="auto" w:fill="auto"/>
            <w:noWrap/>
            <w:vAlign w:val="center"/>
            <w:hideMark/>
          </w:tcPr>
          <w:p w14:paraId="776C46E8"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0.083496</w:t>
            </w:r>
          </w:p>
        </w:tc>
        <w:tc>
          <w:tcPr>
            <w:tcW w:w="696" w:type="dxa"/>
            <w:tcBorders>
              <w:top w:val="single" w:sz="4" w:space="0" w:color="auto"/>
            </w:tcBorders>
            <w:shd w:val="clear" w:color="auto" w:fill="auto"/>
            <w:noWrap/>
            <w:vAlign w:val="center"/>
            <w:hideMark/>
          </w:tcPr>
          <w:p w14:paraId="0FE932A3"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65.43%</w:t>
            </w:r>
          </w:p>
        </w:tc>
        <w:tc>
          <w:tcPr>
            <w:tcW w:w="839" w:type="dxa"/>
            <w:tcBorders>
              <w:top w:val="single" w:sz="4" w:space="0" w:color="auto"/>
            </w:tcBorders>
            <w:vAlign w:val="center"/>
          </w:tcPr>
          <w:p w14:paraId="0048508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hAnsi="Times New Roman"/>
                <w:sz w:val="16"/>
                <w:szCs w:val="16"/>
                <w:lang w:val="en-US"/>
              </w:rPr>
              <w:t>pos**</w:t>
            </w:r>
          </w:p>
        </w:tc>
        <w:tc>
          <w:tcPr>
            <w:tcW w:w="642" w:type="dxa"/>
            <w:tcBorders>
              <w:top w:val="single" w:sz="4" w:space="0" w:color="auto"/>
            </w:tcBorders>
            <w:shd w:val="clear" w:color="auto" w:fill="auto"/>
            <w:noWrap/>
            <w:vAlign w:val="center"/>
            <w:hideMark/>
          </w:tcPr>
          <w:p w14:paraId="71466FE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2.86%</w:t>
            </w:r>
          </w:p>
        </w:tc>
        <w:tc>
          <w:tcPr>
            <w:tcW w:w="675" w:type="dxa"/>
            <w:tcBorders>
              <w:top w:val="single" w:sz="4" w:space="0" w:color="auto"/>
            </w:tcBorders>
            <w:shd w:val="clear" w:color="auto" w:fill="auto"/>
            <w:noWrap/>
            <w:vAlign w:val="center"/>
            <w:hideMark/>
          </w:tcPr>
          <w:p w14:paraId="363F225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1.2677</w:t>
            </w:r>
          </w:p>
        </w:tc>
        <w:tc>
          <w:tcPr>
            <w:tcW w:w="766" w:type="dxa"/>
            <w:tcBorders>
              <w:top w:val="single" w:sz="4" w:space="0" w:color="auto"/>
            </w:tcBorders>
            <w:shd w:val="clear" w:color="auto" w:fill="auto"/>
            <w:noWrap/>
            <w:vAlign w:val="center"/>
            <w:hideMark/>
          </w:tcPr>
          <w:p w14:paraId="2F14775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0.204915</w:t>
            </w:r>
          </w:p>
        </w:tc>
        <w:tc>
          <w:tcPr>
            <w:tcW w:w="660" w:type="dxa"/>
            <w:tcBorders>
              <w:top w:val="single" w:sz="4" w:space="0" w:color="auto"/>
            </w:tcBorders>
            <w:shd w:val="clear" w:color="auto" w:fill="auto"/>
            <w:noWrap/>
            <w:vAlign w:val="center"/>
            <w:hideMark/>
          </w:tcPr>
          <w:p w14:paraId="3F32E60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78.57%</w:t>
            </w:r>
          </w:p>
        </w:tc>
        <w:tc>
          <w:tcPr>
            <w:tcW w:w="687" w:type="dxa"/>
            <w:tcBorders>
              <w:top w:val="single" w:sz="4" w:space="0" w:color="auto"/>
            </w:tcBorders>
            <w:shd w:val="clear" w:color="auto" w:fill="auto"/>
            <w:noWrap/>
            <w:vAlign w:val="center"/>
            <w:hideMark/>
          </w:tcPr>
          <w:p w14:paraId="1EAF4E78"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2.31%</w:t>
            </w:r>
          </w:p>
        </w:tc>
        <w:tc>
          <w:tcPr>
            <w:tcW w:w="656" w:type="dxa"/>
            <w:tcBorders>
              <w:top w:val="single" w:sz="4" w:space="0" w:color="auto"/>
            </w:tcBorders>
            <w:shd w:val="clear" w:color="auto" w:fill="auto"/>
            <w:noWrap/>
            <w:vAlign w:val="center"/>
            <w:hideMark/>
          </w:tcPr>
          <w:p w14:paraId="466226B6"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1.7737</w:t>
            </w:r>
          </w:p>
        </w:tc>
        <w:tc>
          <w:tcPr>
            <w:tcW w:w="844" w:type="dxa"/>
            <w:tcBorders>
              <w:top w:val="single" w:sz="4" w:space="0" w:color="auto"/>
            </w:tcBorders>
            <w:shd w:val="clear" w:color="auto" w:fill="auto"/>
            <w:noWrap/>
            <w:vAlign w:val="center"/>
            <w:hideMark/>
          </w:tcPr>
          <w:p w14:paraId="3E73FB2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0.076107</w:t>
            </w:r>
          </w:p>
        </w:tc>
        <w:tc>
          <w:tcPr>
            <w:tcW w:w="714" w:type="dxa"/>
            <w:tcBorders>
              <w:top w:val="single" w:sz="4" w:space="0" w:color="auto"/>
            </w:tcBorders>
            <w:shd w:val="clear" w:color="auto" w:fill="auto"/>
            <w:vAlign w:val="center"/>
          </w:tcPr>
          <w:p w14:paraId="02768AEB"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75.00%</w:t>
            </w:r>
          </w:p>
        </w:tc>
        <w:tc>
          <w:tcPr>
            <w:tcW w:w="735" w:type="dxa"/>
            <w:tcBorders>
              <w:top w:val="single" w:sz="4" w:space="0" w:color="auto"/>
            </w:tcBorders>
            <w:vAlign w:val="center"/>
          </w:tcPr>
          <w:p w14:paraId="18BC0FF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13D54238" w14:textId="77777777" w:rsidTr="00B70718">
        <w:trPr>
          <w:trHeight w:val="300"/>
        </w:trPr>
        <w:tc>
          <w:tcPr>
            <w:tcW w:w="870" w:type="dxa"/>
            <w:shd w:val="clear" w:color="auto" w:fill="auto"/>
            <w:noWrap/>
            <w:vAlign w:val="center"/>
            <w:hideMark/>
          </w:tcPr>
          <w:p w14:paraId="016B4EA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0CB5A4A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0.89%</w:t>
            </w:r>
          </w:p>
        </w:tc>
        <w:tc>
          <w:tcPr>
            <w:tcW w:w="674" w:type="dxa"/>
            <w:shd w:val="clear" w:color="auto" w:fill="auto"/>
            <w:noWrap/>
            <w:vAlign w:val="center"/>
            <w:hideMark/>
          </w:tcPr>
          <w:p w14:paraId="2F7A83C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0.8387</w:t>
            </w:r>
          </w:p>
        </w:tc>
        <w:tc>
          <w:tcPr>
            <w:tcW w:w="765" w:type="dxa"/>
            <w:shd w:val="clear" w:color="auto" w:fill="auto"/>
            <w:noWrap/>
            <w:vAlign w:val="center"/>
            <w:hideMark/>
          </w:tcPr>
          <w:p w14:paraId="0A1E9D0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0.401634</w:t>
            </w:r>
          </w:p>
        </w:tc>
        <w:tc>
          <w:tcPr>
            <w:tcW w:w="695" w:type="dxa"/>
            <w:shd w:val="clear" w:color="auto" w:fill="auto"/>
            <w:noWrap/>
            <w:vAlign w:val="center"/>
            <w:hideMark/>
          </w:tcPr>
          <w:p w14:paraId="537AEDE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68.89%</w:t>
            </w:r>
          </w:p>
        </w:tc>
        <w:tc>
          <w:tcPr>
            <w:tcW w:w="714" w:type="dxa"/>
            <w:shd w:val="clear" w:color="auto" w:fill="auto"/>
            <w:noWrap/>
            <w:vAlign w:val="center"/>
            <w:hideMark/>
          </w:tcPr>
          <w:p w14:paraId="2E04D6D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0.43%</w:t>
            </w:r>
          </w:p>
        </w:tc>
        <w:tc>
          <w:tcPr>
            <w:tcW w:w="754" w:type="dxa"/>
            <w:shd w:val="clear" w:color="auto" w:fill="auto"/>
            <w:noWrap/>
            <w:vAlign w:val="center"/>
            <w:hideMark/>
          </w:tcPr>
          <w:p w14:paraId="0AB3950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0.9067</w:t>
            </w:r>
          </w:p>
        </w:tc>
        <w:tc>
          <w:tcPr>
            <w:tcW w:w="977" w:type="dxa"/>
            <w:shd w:val="clear" w:color="auto" w:fill="auto"/>
            <w:noWrap/>
            <w:vAlign w:val="center"/>
            <w:hideMark/>
          </w:tcPr>
          <w:p w14:paraId="2668347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0.364566</w:t>
            </w:r>
          </w:p>
        </w:tc>
        <w:tc>
          <w:tcPr>
            <w:tcW w:w="696" w:type="dxa"/>
            <w:shd w:val="clear" w:color="auto" w:fill="auto"/>
            <w:noWrap/>
            <w:vAlign w:val="center"/>
            <w:hideMark/>
          </w:tcPr>
          <w:p w14:paraId="06B1585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55.56%</w:t>
            </w:r>
          </w:p>
        </w:tc>
        <w:tc>
          <w:tcPr>
            <w:tcW w:w="839" w:type="dxa"/>
            <w:vAlign w:val="center"/>
          </w:tcPr>
          <w:p w14:paraId="5C96509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c>
          <w:tcPr>
            <w:tcW w:w="642" w:type="dxa"/>
            <w:shd w:val="clear" w:color="auto" w:fill="auto"/>
            <w:noWrap/>
            <w:vAlign w:val="center"/>
            <w:hideMark/>
          </w:tcPr>
          <w:p w14:paraId="0D9F05B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0.20%</w:t>
            </w:r>
          </w:p>
        </w:tc>
        <w:tc>
          <w:tcPr>
            <w:tcW w:w="675" w:type="dxa"/>
            <w:shd w:val="clear" w:color="auto" w:fill="auto"/>
            <w:noWrap/>
            <w:vAlign w:val="center"/>
            <w:hideMark/>
          </w:tcPr>
          <w:p w14:paraId="28AB8BF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-0.1531</w:t>
            </w:r>
          </w:p>
        </w:tc>
        <w:tc>
          <w:tcPr>
            <w:tcW w:w="766" w:type="dxa"/>
            <w:shd w:val="clear" w:color="auto" w:fill="auto"/>
            <w:noWrap/>
            <w:vAlign w:val="center"/>
            <w:hideMark/>
          </w:tcPr>
          <w:p w14:paraId="58260D1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0.878348</w:t>
            </w:r>
          </w:p>
        </w:tc>
        <w:tc>
          <w:tcPr>
            <w:tcW w:w="660" w:type="dxa"/>
            <w:shd w:val="clear" w:color="auto" w:fill="auto"/>
            <w:noWrap/>
            <w:vAlign w:val="center"/>
            <w:hideMark/>
          </w:tcPr>
          <w:p w14:paraId="46D16E0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35.71%</w:t>
            </w:r>
          </w:p>
        </w:tc>
        <w:tc>
          <w:tcPr>
            <w:tcW w:w="687" w:type="dxa"/>
            <w:shd w:val="clear" w:color="auto" w:fill="auto"/>
            <w:noWrap/>
            <w:vAlign w:val="center"/>
            <w:hideMark/>
          </w:tcPr>
          <w:p w14:paraId="6B768BE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1.19%</w:t>
            </w:r>
          </w:p>
        </w:tc>
        <w:tc>
          <w:tcPr>
            <w:tcW w:w="656" w:type="dxa"/>
            <w:shd w:val="clear" w:color="auto" w:fill="auto"/>
            <w:noWrap/>
            <w:vAlign w:val="center"/>
            <w:hideMark/>
          </w:tcPr>
          <w:p w14:paraId="3DE2382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1.2005</w:t>
            </w:r>
          </w:p>
        </w:tc>
        <w:tc>
          <w:tcPr>
            <w:tcW w:w="844" w:type="dxa"/>
            <w:shd w:val="clear" w:color="auto" w:fill="auto"/>
            <w:noWrap/>
            <w:vAlign w:val="center"/>
            <w:hideMark/>
          </w:tcPr>
          <w:p w14:paraId="2A91B14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0.229953</w:t>
            </w:r>
          </w:p>
        </w:tc>
        <w:tc>
          <w:tcPr>
            <w:tcW w:w="714" w:type="dxa"/>
            <w:shd w:val="clear" w:color="auto" w:fill="auto"/>
            <w:vAlign w:val="center"/>
          </w:tcPr>
          <w:p w14:paraId="32499FB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50.00%</w:t>
            </w:r>
          </w:p>
        </w:tc>
        <w:tc>
          <w:tcPr>
            <w:tcW w:w="735" w:type="dxa"/>
            <w:vAlign w:val="center"/>
          </w:tcPr>
          <w:p w14:paraId="4D821E6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4051A96C" w14:textId="77777777" w:rsidTr="00B70718">
        <w:trPr>
          <w:trHeight w:val="315"/>
        </w:trPr>
        <w:tc>
          <w:tcPr>
            <w:tcW w:w="870" w:type="dxa"/>
            <w:tcBorders>
              <w:bottom w:val="single" w:sz="4" w:space="0" w:color="auto"/>
            </w:tcBorders>
            <w:shd w:val="clear" w:color="auto" w:fill="auto"/>
            <w:noWrap/>
            <w:vAlign w:val="center"/>
            <w:hideMark/>
          </w:tcPr>
          <w:p w14:paraId="775A07E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tcBorders>
              <w:bottom w:val="single" w:sz="4" w:space="0" w:color="auto"/>
            </w:tcBorders>
            <w:shd w:val="clear" w:color="auto" w:fill="auto"/>
            <w:noWrap/>
            <w:vAlign w:val="center"/>
            <w:hideMark/>
          </w:tcPr>
          <w:p w14:paraId="53EF080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0.94%</w:t>
            </w:r>
          </w:p>
        </w:tc>
        <w:tc>
          <w:tcPr>
            <w:tcW w:w="674" w:type="dxa"/>
            <w:tcBorders>
              <w:bottom w:val="single" w:sz="4" w:space="0" w:color="auto"/>
            </w:tcBorders>
            <w:shd w:val="clear" w:color="auto" w:fill="auto"/>
            <w:noWrap/>
            <w:vAlign w:val="center"/>
            <w:hideMark/>
          </w:tcPr>
          <w:p w14:paraId="1413FB5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1.1361</w:t>
            </w:r>
          </w:p>
        </w:tc>
        <w:tc>
          <w:tcPr>
            <w:tcW w:w="765" w:type="dxa"/>
            <w:tcBorders>
              <w:bottom w:val="single" w:sz="4" w:space="0" w:color="auto"/>
            </w:tcBorders>
            <w:shd w:val="clear" w:color="auto" w:fill="auto"/>
            <w:noWrap/>
            <w:vAlign w:val="center"/>
            <w:hideMark/>
          </w:tcPr>
          <w:p w14:paraId="5D9E09A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0.255919</w:t>
            </w:r>
          </w:p>
        </w:tc>
        <w:tc>
          <w:tcPr>
            <w:tcW w:w="695" w:type="dxa"/>
            <w:tcBorders>
              <w:bottom w:val="single" w:sz="4" w:space="0" w:color="auto"/>
            </w:tcBorders>
            <w:shd w:val="clear" w:color="auto" w:fill="auto"/>
            <w:noWrap/>
            <w:vAlign w:val="center"/>
            <w:hideMark/>
          </w:tcPr>
          <w:p w14:paraId="12E6203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75.56%</w:t>
            </w:r>
          </w:p>
        </w:tc>
        <w:tc>
          <w:tcPr>
            <w:tcW w:w="714" w:type="dxa"/>
            <w:tcBorders>
              <w:bottom w:val="single" w:sz="4" w:space="0" w:color="auto"/>
            </w:tcBorders>
            <w:shd w:val="clear" w:color="auto" w:fill="auto"/>
            <w:noWrap/>
            <w:vAlign w:val="center"/>
            <w:hideMark/>
          </w:tcPr>
          <w:p w14:paraId="216ECD2D"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0.79%</w:t>
            </w:r>
          </w:p>
        </w:tc>
        <w:tc>
          <w:tcPr>
            <w:tcW w:w="754" w:type="dxa"/>
            <w:tcBorders>
              <w:bottom w:val="single" w:sz="4" w:space="0" w:color="auto"/>
            </w:tcBorders>
            <w:shd w:val="clear" w:color="auto" w:fill="auto"/>
            <w:noWrap/>
            <w:vAlign w:val="center"/>
            <w:hideMark/>
          </w:tcPr>
          <w:p w14:paraId="32C2001B"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1.9477</w:t>
            </w:r>
          </w:p>
        </w:tc>
        <w:tc>
          <w:tcPr>
            <w:tcW w:w="977" w:type="dxa"/>
            <w:tcBorders>
              <w:bottom w:val="single" w:sz="4" w:space="0" w:color="auto"/>
            </w:tcBorders>
            <w:shd w:val="clear" w:color="auto" w:fill="auto"/>
            <w:noWrap/>
            <w:vAlign w:val="center"/>
            <w:hideMark/>
          </w:tcPr>
          <w:p w14:paraId="578ACD98"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0.051449</w:t>
            </w:r>
          </w:p>
        </w:tc>
        <w:tc>
          <w:tcPr>
            <w:tcW w:w="696" w:type="dxa"/>
            <w:tcBorders>
              <w:bottom w:val="single" w:sz="4" w:space="0" w:color="auto"/>
            </w:tcBorders>
            <w:shd w:val="clear" w:color="auto" w:fill="auto"/>
            <w:noWrap/>
            <w:vAlign w:val="center"/>
            <w:hideMark/>
          </w:tcPr>
          <w:p w14:paraId="02FE2C7F"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69.14%</w:t>
            </w:r>
          </w:p>
        </w:tc>
        <w:tc>
          <w:tcPr>
            <w:tcW w:w="839" w:type="dxa"/>
            <w:tcBorders>
              <w:bottom w:val="single" w:sz="4" w:space="0" w:color="auto"/>
            </w:tcBorders>
            <w:vAlign w:val="center"/>
          </w:tcPr>
          <w:p w14:paraId="6BFDA34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c>
          <w:tcPr>
            <w:tcW w:w="642" w:type="dxa"/>
            <w:tcBorders>
              <w:bottom w:val="single" w:sz="4" w:space="0" w:color="auto"/>
            </w:tcBorders>
            <w:shd w:val="clear" w:color="auto" w:fill="auto"/>
            <w:noWrap/>
            <w:vAlign w:val="center"/>
            <w:hideMark/>
          </w:tcPr>
          <w:p w14:paraId="7C6ED6C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0.67%</w:t>
            </w:r>
          </w:p>
        </w:tc>
        <w:tc>
          <w:tcPr>
            <w:tcW w:w="675" w:type="dxa"/>
            <w:tcBorders>
              <w:bottom w:val="single" w:sz="4" w:space="0" w:color="auto"/>
            </w:tcBorders>
            <w:shd w:val="clear" w:color="auto" w:fill="auto"/>
            <w:noWrap/>
            <w:vAlign w:val="center"/>
            <w:hideMark/>
          </w:tcPr>
          <w:p w14:paraId="43319EC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0.2989</w:t>
            </w:r>
          </w:p>
        </w:tc>
        <w:tc>
          <w:tcPr>
            <w:tcW w:w="766" w:type="dxa"/>
            <w:tcBorders>
              <w:bottom w:val="single" w:sz="4" w:space="0" w:color="auto"/>
            </w:tcBorders>
            <w:shd w:val="clear" w:color="auto" w:fill="auto"/>
            <w:noWrap/>
            <w:vAlign w:val="center"/>
            <w:hideMark/>
          </w:tcPr>
          <w:p w14:paraId="61A50B1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0.765052</w:t>
            </w:r>
          </w:p>
        </w:tc>
        <w:tc>
          <w:tcPr>
            <w:tcW w:w="660" w:type="dxa"/>
            <w:tcBorders>
              <w:bottom w:val="single" w:sz="4" w:space="0" w:color="auto"/>
            </w:tcBorders>
            <w:shd w:val="clear" w:color="auto" w:fill="auto"/>
            <w:noWrap/>
            <w:vAlign w:val="center"/>
            <w:hideMark/>
          </w:tcPr>
          <w:p w14:paraId="13A7402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64.29%</w:t>
            </w:r>
          </w:p>
        </w:tc>
        <w:tc>
          <w:tcPr>
            <w:tcW w:w="687" w:type="dxa"/>
            <w:tcBorders>
              <w:bottom w:val="single" w:sz="4" w:space="0" w:color="auto"/>
            </w:tcBorders>
            <w:shd w:val="clear" w:color="auto" w:fill="auto"/>
            <w:noWrap/>
            <w:vAlign w:val="center"/>
            <w:hideMark/>
          </w:tcPr>
          <w:p w14:paraId="125601DA"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1.07%</w:t>
            </w:r>
          </w:p>
        </w:tc>
        <w:tc>
          <w:tcPr>
            <w:tcW w:w="656" w:type="dxa"/>
            <w:tcBorders>
              <w:bottom w:val="single" w:sz="4" w:space="0" w:color="auto"/>
            </w:tcBorders>
            <w:shd w:val="clear" w:color="auto" w:fill="auto"/>
            <w:noWrap/>
            <w:vAlign w:val="center"/>
            <w:hideMark/>
          </w:tcPr>
          <w:p w14:paraId="0891B33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1.6600</w:t>
            </w:r>
          </w:p>
        </w:tc>
        <w:tc>
          <w:tcPr>
            <w:tcW w:w="844" w:type="dxa"/>
            <w:tcBorders>
              <w:bottom w:val="single" w:sz="4" w:space="0" w:color="auto"/>
            </w:tcBorders>
            <w:shd w:val="clear" w:color="auto" w:fill="auto"/>
            <w:noWrap/>
            <w:vAlign w:val="center"/>
            <w:hideMark/>
          </w:tcPr>
          <w:p w14:paraId="5894B5C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0.096915</w:t>
            </w:r>
          </w:p>
        </w:tc>
        <w:tc>
          <w:tcPr>
            <w:tcW w:w="714" w:type="dxa"/>
            <w:tcBorders>
              <w:bottom w:val="single" w:sz="4" w:space="0" w:color="auto"/>
            </w:tcBorders>
            <w:shd w:val="clear" w:color="auto" w:fill="auto"/>
            <w:vAlign w:val="center"/>
          </w:tcPr>
          <w:p w14:paraId="5C0E2546"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75.00%</w:t>
            </w:r>
          </w:p>
        </w:tc>
        <w:tc>
          <w:tcPr>
            <w:tcW w:w="735" w:type="dxa"/>
            <w:tcBorders>
              <w:bottom w:val="single" w:sz="4" w:space="0" w:color="auto"/>
            </w:tcBorders>
            <w:vAlign w:val="center"/>
          </w:tcPr>
          <w:p w14:paraId="25B8DF0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65969E10" w14:textId="77777777" w:rsidTr="00B70718">
        <w:trPr>
          <w:trHeight w:val="300"/>
        </w:trPr>
        <w:tc>
          <w:tcPr>
            <w:tcW w:w="870" w:type="dxa"/>
            <w:tcBorders>
              <w:top w:val="single" w:sz="4" w:space="0" w:color="auto"/>
              <w:bottom w:val="single" w:sz="4" w:space="0" w:color="auto"/>
            </w:tcBorders>
            <w:shd w:val="clear" w:color="auto" w:fill="auto"/>
            <w:vAlign w:val="center"/>
            <w:hideMark/>
          </w:tcPr>
          <w:p w14:paraId="17DD7AD0" w14:textId="77777777" w:rsidR="007F6BC9" w:rsidRPr="008C28EB" w:rsidRDefault="007F6BC9">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2</w:t>
            </w:r>
            <w:r w:rsidR="002843EC" w:rsidRPr="008C28EB">
              <w:rPr>
                <w:rFonts w:ascii="Times New Roman" w:eastAsia="Times New Roman" w:hAnsi="Times New Roman"/>
                <w:b/>
                <w:sz w:val="16"/>
                <w:szCs w:val="16"/>
                <w:lang w:val="en-US"/>
              </w:rPr>
              <w:t>6</w:t>
            </w:r>
            <w:r w:rsidRPr="008C28EB">
              <w:rPr>
                <w:rFonts w:ascii="Times New Roman" w:eastAsia="Times New Roman" w:hAnsi="Times New Roman"/>
                <w:b/>
                <w:sz w:val="16"/>
                <w:szCs w:val="16"/>
                <w:lang w:val="en-US"/>
              </w:rPr>
              <w:t>10/2014</w:t>
            </w:r>
          </w:p>
        </w:tc>
        <w:tc>
          <w:tcPr>
            <w:tcW w:w="643" w:type="dxa"/>
            <w:tcBorders>
              <w:top w:val="single" w:sz="4" w:space="0" w:color="auto"/>
              <w:bottom w:val="single" w:sz="4" w:space="0" w:color="auto"/>
            </w:tcBorders>
            <w:shd w:val="clear" w:color="auto" w:fill="auto"/>
            <w:noWrap/>
            <w:vAlign w:val="center"/>
            <w:hideMark/>
          </w:tcPr>
          <w:p w14:paraId="26BD4A9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4" w:type="dxa"/>
            <w:tcBorders>
              <w:top w:val="single" w:sz="4" w:space="0" w:color="auto"/>
              <w:bottom w:val="single" w:sz="4" w:space="0" w:color="auto"/>
            </w:tcBorders>
            <w:shd w:val="clear" w:color="auto" w:fill="auto"/>
            <w:noWrap/>
            <w:vAlign w:val="center"/>
            <w:hideMark/>
          </w:tcPr>
          <w:p w14:paraId="46E3523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bottom w:val="single" w:sz="4" w:space="0" w:color="auto"/>
            </w:tcBorders>
            <w:shd w:val="clear" w:color="auto" w:fill="auto"/>
            <w:noWrap/>
            <w:vAlign w:val="center"/>
            <w:hideMark/>
          </w:tcPr>
          <w:p w14:paraId="19D57C7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5" w:type="dxa"/>
            <w:tcBorders>
              <w:top w:val="single" w:sz="4" w:space="0" w:color="auto"/>
              <w:bottom w:val="single" w:sz="4" w:space="0" w:color="auto"/>
            </w:tcBorders>
            <w:shd w:val="clear" w:color="auto" w:fill="auto"/>
            <w:noWrap/>
            <w:vAlign w:val="center"/>
            <w:hideMark/>
          </w:tcPr>
          <w:p w14:paraId="2E13D5F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14" w:type="dxa"/>
            <w:tcBorders>
              <w:top w:val="single" w:sz="4" w:space="0" w:color="auto"/>
              <w:bottom w:val="single" w:sz="4" w:space="0" w:color="auto"/>
            </w:tcBorders>
            <w:shd w:val="clear" w:color="auto" w:fill="auto"/>
            <w:noWrap/>
            <w:vAlign w:val="center"/>
            <w:hideMark/>
          </w:tcPr>
          <w:p w14:paraId="4A033EB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754" w:type="dxa"/>
            <w:tcBorders>
              <w:top w:val="single" w:sz="4" w:space="0" w:color="auto"/>
              <w:bottom w:val="single" w:sz="4" w:space="0" w:color="auto"/>
            </w:tcBorders>
            <w:shd w:val="clear" w:color="auto" w:fill="auto"/>
            <w:noWrap/>
            <w:vAlign w:val="center"/>
            <w:hideMark/>
          </w:tcPr>
          <w:p w14:paraId="7988D25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977" w:type="dxa"/>
            <w:tcBorders>
              <w:top w:val="single" w:sz="4" w:space="0" w:color="auto"/>
              <w:bottom w:val="single" w:sz="4" w:space="0" w:color="auto"/>
            </w:tcBorders>
            <w:shd w:val="clear" w:color="auto" w:fill="auto"/>
            <w:noWrap/>
            <w:vAlign w:val="center"/>
            <w:hideMark/>
          </w:tcPr>
          <w:p w14:paraId="10FAE6E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96" w:type="dxa"/>
            <w:tcBorders>
              <w:top w:val="single" w:sz="4" w:space="0" w:color="auto"/>
              <w:bottom w:val="single" w:sz="4" w:space="0" w:color="auto"/>
            </w:tcBorders>
            <w:shd w:val="clear" w:color="auto" w:fill="auto"/>
            <w:noWrap/>
            <w:vAlign w:val="center"/>
            <w:hideMark/>
          </w:tcPr>
          <w:p w14:paraId="0478A02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39" w:type="dxa"/>
            <w:tcBorders>
              <w:top w:val="single" w:sz="4" w:space="0" w:color="auto"/>
              <w:bottom w:val="single" w:sz="4" w:space="0" w:color="auto"/>
            </w:tcBorders>
            <w:vAlign w:val="center"/>
          </w:tcPr>
          <w:p w14:paraId="22A4E48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c>
          <w:tcPr>
            <w:tcW w:w="642" w:type="dxa"/>
            <w:tcBorders>
              <w:top w:val="single" w:sz="4" w:space="0" w:color="auto"/>
              <w:bottom w:val="single" w:sz="4" w:space="0" w:color="auto"/>
            </w:tcBorders>
            <w:shd w:val="clear" w:color="auto" w:fill="auto"/>
            <w:noWrap/>
            <w:vAlign w:val="center"/>
            <w:hideMark/>
          </w:tcPr>
          <w:p w14:paraId="2ADF687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75" w:type="dxa"/>
            <w:tcBorders>
              <w:top w:val="single" w:sz="4" w:space="0" w:color="auto"/>
              <w:bottom w:val="single" w:sz="4" w:space="0" w:color="auto"/>
            </w:tcBorders>
            <w:shd w:val="clear" w:color="auto" w:fill="auto"/>
            <w:noWrap/>
            <w:vAlign w:val="center"/>
            <w:hideMark/>
          </w:tcPr>
          <w:p w14:paraId="57B7157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6" w:type="dxa"/>
            <w:tcBorders>
              <w:top w:val="single" w:sz="4" w:space="0" w:color="auto"/>
              <w:bottom w:val="single" w:sz="4" w:space="0" w:color="auto"/>
            </w:tcBorders>
            <w:shd w:val="clear" w:color="auto" w:fill="auto"/>
            <w:noWrap/>
            <w:vAlign w:val="center"/>
            <w:hideMark/>
          </w:tcPr>
          <w:p w14:paraId="25BE47B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0" w:type="dxa"/>
            <w:tcBorders>
              <w:top w:val="single" w:sz="4" w:space="0" w:color="auto"/>
              <w:bottom w:val="single" w:sz="4" w:space="0" w:color="auto"/>
            </w:tcBorders>
            <w:shd w:val="clear" w:color="auto" w:fill="auto"/>
            <w:noWrap/>
            <w:vAlign w:val="center"/>
            <w:hideMark/>
          </w:tcPr>
          <w:p w14:paraId="0FD25C7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687" w:type="dxa"/>
            <w:tcBorders>
              <w:top w:val="single" w:sz="4" w:space="0" w:color="auto"/>
              <w:bottom w:val="single" w:sz="4" w:space="0" w:color="auto"/>
            </w:tcBorders>
            <w:shd w:val="clear" w:color="auto" w:fill="auto"/>
            <w:noWrap/>
            <w:vAlign w:val="center"/>
            <w:hideMark/>
          </w:tcPr>
          <w:p w14:paraId="143266C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56" w:type="dxa"/>
            <w:tcBorders>
              <w:top w:val="single" w:sz="4" w:space="0" w:color="auto"/>
              <w:bottom w:val="single" w:sz="4" w:space="0" w:color="auto"/>
            </w:tcBorders>
            <w:shd w:val="clear" w:color="auto" w:fill="auto"/>
            <w:noWrap/>
            <w:vAlign w:val="center"/>
            <w:hideMark/>
          </w:tcPr>
          <w:p w14:paraId="6C9C909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844" w:type="dxa"/>
            <w:tcBorders>
              <w:top w:val="single" w:sz="4" w:space="0" w:color="auto"/>
              <w:bottom w:val="single" w:sz="4" w:space="0" w:color="auto"/>
            </w:tcBorders>
            <w:shd w:val="clear" w:color="auto" w:fill="auto"/>
            <w:noWrap/>
            <w:vAlign w:val="center"/>
            <w:hideMark/>
          </w:tcPr>
          <w:p w14:paraId="4D63DD9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714" w:type="dxa"/>
            <w:tcBorders>
              <w:top w:val="single" w:sz="4" w:space="0" w:color="auto"/>
              <w:bottom w:val="single" w:sz="4" w:space="0" w:color="auto"/>
            </w:tcBorders>
            <w:shd w:val="clear" w:color="auto" w:fill="auto"/>
            <w:vAlign w:val="center"/>
          </w:tcPr>
          <w:p w14:paraId="0B383FD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735" w:type="dxa"/>
            <w:tcBorders>
              <w:top w:val="single" w:sz="4" w:space="0" w:color="auto"/>
              <w:bottom w:val="single" w:sz="4" w:space="0" w:color="auto"/>
            </w:tcBorders>
            <w:vAlign w:val="center"/>
          </w:tcPr>
          <w:p w14:paraId="07F538F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46486D28" w14:textId="77777777" w:rsidTr="00B70718">
        <w:trPr>
          <w:trHeight w:val="300"/>
        </w:trPr>
        <w:tc>
          <w:tcPr>
            <w:tcW w:w="870" w:type="dxa"/>
            <w:tcBorders>
              <w:top w:val="single" w:sz="4" w:space="0" w:color="auto"/>
            </w:tcBorders>
            <w:shd w:val="clear" w:color="auto" w:fill="auto"/>
            <w:noWrap/>
            <w:vAlign w:val="center"/>
            <w:hideMark/>
          </w:tcPr>
          <w:p w14:paraId="5E3AB93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643" w:type="dxa"/>
            <w:tcBorders>
              <w:top w:val="single" w:sz="4" w:space="0" w:color="auto"/>
            </w:tcBorders>
            <w:shd w:val="clear" w:color="auto" w:fill="auto"/>
            <w:noWrap/>
            <w:vAlign w:val="center"/>
            <w:hideMark/>
          </w:tcPr>
          <w:p w14:paraId="0DE0079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-2.37%</w:t>
            </w:r>
          </w:p>
        </w:tc>
        <w:tc>
          <w:tcPr>
            <w:tcW w:w="674" w:type="dxa"/>
            <w:tcBorders>
              <w:top w:val="single" w:sz="4" w:space="0" w:color="auto"/>
            </w:tcBorders>
            <w:shd w:val="clear" w:color="auto" w:fill="auto"/>
            <w:noWrap/>
            <w:vAlign w:val="center"/>
            <w:hideMark/>
          </w:tcPr>
          <w:p w14:paraId="668FDD7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-1.1969</w:t>
            </w:r>
          </w:p>
        </w:tc>
        <w:tc>
          <w:tcPr>
            <w:tcW w:w="765" w:type="dxa"/>
            <w:tcBorders>
              <w:top w:val="single" w:sz="4" w:space="0" w:color="auto"/>
            </w:tcBorders>
            <w:shd w:val="clear" w:color="auto" w:fill="auto"/>
            <w:noWrap/>
            <w:vAlign w:val="center"/>
            <w:hideMark/>
          </w:tcPr>
          <w:p w14:paraId="382FB4C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0.231364</w:t>
            </w:r>
          </w:p>
        </w:tc>
        <w:tc>
          <w:tcPr>
            <w:tcW w:w="695" w:type="dxa"/>
            <w:tcBorders>
              <w:top w:val="single" w:sz="4" w:space="0" w:color="auto"/>
            </w:tcBorders>
            <w:shd w:val="clear" w:color="auto" w:fill="auto"/>
            <w:noWrap/>
            <w:vAlign w:val="center"/>
            <w:hideMark/>
          </w:tcPr>
          <w:p w14:paraId="1937505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31.11%</w:t>
            </w:r>
          </w:p>
        </w:tc>
        <w:tc>
          <w:tcPr>
            <w:tcW w:w="714" w:type="dxa"/>
            <w:tcBorders>
              <w:top w:val="single" w:sz="4" w:space="0" w:color="auto"/>
            </w:tcBorders>
            <w:shd w:val="clear" w:color="auto" w:fill="auto"/>
            <w:noWrap/>
            <w:vAlign w:val="center"/>
            <w:hideMark/>
          </w:tcPr>
          <w:p w14:paraId="7A122B3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-0.72%</w:t>
            </w:r>
          </w:p>
        </w:tc>
        <w:tc>
          <w:tcPr>
            <w:tcW w:w="754" w:type="dxa"/>
            <w:tcBorders>
              <w:top w:val="single" w:sz="4" w:space="0" w:color="auto"/>
            </w:tcBorders>
            <w:shd w:val="clear" w:color="auto" w:fill="auto"/>
            <w:noWrap/>
            <w:vAlign w:val="center"/>
            <w:hideMark/>
          </w:tcPr>
          <w:p w14:paraId="260FCDD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-1.2170</w:t>
            </w:r>
          </w:p>
        </w:tc>
        <w:tc>
          <w:tcPr>
            <w:tcW w:w="977" w:type="dxa"/>
            <w:tcBorders>
              <w:top w:val="single" w:sz="4" w:space="0" w:color="auto"/>
            </w:tcBorders>
            <w:shd w:val="clear" w:color="auto" w:fill="auto"/>
            <w:noWrap/>
            <w:vAlign w:val="center"/>
            <w:hideMark/>
          </w:tcPr>
          <w:p w14:paraId="47599A2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0.223605</w:t>
            </w:r>
          </w:p>
        </w:tc>
        <w:tc>
          <w:tcPr>
            <w:tcW w:w="696" w:type="dxa"/>
            <w:tcBorders>
              <w:top w:val="single" w:sz="4" w:space="0" w:color="auto"/>
            </w:tcBorders>
            <w:shd w:val="clear" w:color="auto" w:fill="auto"/>
            <w:noWrap/>
            <w:vAlign w:val="center"/>
            <w:hideMark/>
          </w:tcPr>
          <w:p w14:paraId="537CE36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30.86%</w:t>
            </w:r>
          </w:p>
        </w:tc>
        <w:tc>
          <w:tcPr>
            <w:tcW w:w="839" w:type="dxa"/>
            <w:tcBorders>
              <w:top w:val="single" w:sz="4" w:space="0" w:color="auto"/>
            </w:tcBorders>
            <w:vAlign w:val="center"/>
          </w:tcPr>
          <w:p w14:paraId="792DAB1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c>
          <w:tcPr>
            <w:tcW w:w="642" w:type="dxa"/>
            <w:tcBorders>
              <w:top w:val="single" w:sz="4" w:space="0" w:color="auto"/>
            </w:tcBorders>
            <w:shd w:val="clear" w:color="auto" w:fill="auto"/>
            <w:noWrap/>
            <w:vAlign w:val="center"/>
            <w:hideMark/>
          </w:tcPr>
          <w:p w14:paraId="6809205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-3.48%</w:t>
            </w:r>
          </w:p>
        </w:tc>
        <w:tc>
          <w:tcPr>
            <w:tcW w:w="675" w:type="dxa"/>
            <w:tcBorders>
              <w:top w:val="single" w:sz="4" w:space="0" w:color="auto"/>
            </w:tcBorders>
            <w:shd w:val="clear" w:color="auto" w:fill="auto"/>
            <w:noWrap/>
            <w:vAlign w:val="center"/>
            <w:hideMark/>
          </w:tcPr>
          <w:p w14:paraId="412A900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-1.2454</w:t>
            </w:r>
          </w:p>
        </w:tc>
        <w:tc>
          <w:tcPr>
            <w:tcW w:w="766" w:type="dxa"/>
            <w:tcBorders>
              <w:top w:val="single" w:sz="4" w:space="0" w:color="auto"/>
            </w:tcBorders>
            <w:shd w:val="clear" w:color="auto" w:fill="auto"/>
            <w:noWrap/>
            <w:vAlign w:val="center"/>
            <w:hideMark/>
          </w:tcPr>
          <w:p w14:paraId="18E4685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0.212983</w:t>
            </w:r>
          </w:p>
        </w:tc>
        <w:tc>
          <w:tcPr>
            <w:tcW w:w="660" w:type="dxa"/>
            <w:tcBorders>
              <w:top w:val="single" w:sz="4" w:space="0" w:color="auto"/>
            </w:tcBorders>
            <w:shd w:val="clear" w:color="auto" w:fill="auto"/>
            <w:noWrap/>
            <w:vAlign w:val="center"/>
            <w:hideMark/>
          </w:tcPr>
          <w:p w14:paraId="0D84690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28.57%</w:t>
            </w:r>
          </w:p>
        </w:tc>
        <w:tc>
          <w:tcPr>
            <w:tcW w:w="687" w:type="dxa"/>
            <w:tcBorders>
              <w:top w:val="single" w:sz="4" w:space="0" w:color="auto"/>
            </w:tcBorders>
            <w:shd w:val="clear" w:color="auto" w:fill="auto"/>
            <w:noWrap/>
            <w:vAlign w:val="center"/>
            <w:hideMark/>
          </w:tcPr>
          <w:p w14:paraId="2BBD7EE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-1.87%</w:t>
            </w:r>
          </w:p>
        </w:tc>
        <w:tc>
          <w:tcPr>
            <w:tcW w:w="656" w:type="dxa"/>
            <w:tcBorders>
              <w:top w:val="single" w:sz="4" w:space="0" w:color="auto"/>
            </w:tcBorders>
            <w:shd w:val="clear" w:color="auto" w:fill="auto"/>
            <w:noWrap/>
            <w:vAlign w:val="center"/>
            <w:hideMark/>
          </w:tcPr>
          <w:p w14:paraId="1FB9D2C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-1.0335</w:t>
            </w:r>
          </w:p>
        </w:tc>
        <w:tc>
          <w:tcPr>
            <w:tcW w:w="844" w:type="dxa"/>
            <w:tcBorders>
              <w:top w:val="single" w:sz="4" w:space="0" w:color="auto"/>
            </w:tcBorders>
            <w:shd w:val="clear" w:color="auto" w:fill="auto"/>
            <w:noWrap/>
            <w:vAlign w:val="center"/>
            <w:hideMark/>
          </w:tcPr>
          <w:p w14:paraId="36D745D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0.301355</w:t>
            </w:r>
          </w:p>
        </w:tc>
        <w:tc>
          <w:tcPr>
            <w:tcW w:w="714" w:type="dxa"/>
            <w:tcBorders>
              <w:top w:val="single" w:sz="4" w:space="0" w:color="auto"/>
            </w:tcBorders>
            <w:shd w:val="clear" w:color="auto" w:fill="auto"/>
            <w:vAlign w:val="center"/>
          </w:tcPr>
          <w:p w14:paraId="7B9E985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25.00%</w:t>
            </w:r>
          </w:p>
        </w:tc>
        <w:tc>
          <w:tcPr>
            <w:tcW w:w="735" w:type="dxa"/>
            <w:tcBorders>
              <w:top w:val="single" w:sz="4" w:space="0" w:color="auto"/>
            </w:tcBorders>
            <w:vAlign w:val="center"/>
          </w:tcPr>
          <w:p w14:paraId="0E469ED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4B4193D8" w14:textId="77777777" w:rsidTr="00B70718">
        <w:trPr>
          <w:trHeight w:val="300"/>
        </w:trPr>
        <w:tc>
          <w:tcPr>
            <w:tcW w:w="870" w:type="dxa"/>
            <w:shd w:val="clear" w:color="auto" w:fill="auto"/>
            <w:noWrap/>
            <w:vAlign w:val="center"/>
            <w:hideMark/>
          </w:tcPr>
          <w:p w14:paraId="6390633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643" w:type="dxa"/>
            <w:shd w:val="clear" w:color="auto" w:fill="auto"/>
            <w:noWrap/>
            <w:vAlign w:val="center"/>
            <w:hideMark/>
          </w:tcPr>
          <w:p w14:paraId="353AD3A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-3.02%</w:t>
            </w:r>
          </w:p>
        </w:tc>
        <w:tc>
          <w:tcPr>
            <w:tcW w:w="674" w:type="dxa"/>
            <w:shd w:val="clear" w:color="auto" w:fill="auto"/>
            <w:noWrap/>
            <w:vAlign w:val="center"/>
            <w:hideMark/>
          </w:tcPr>
          <w:p w14:paraId="2CD5862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-1.6194</w:t>
            </w:r>
          </w:p>
        </w:tc>
        <w:tc>
          <w:tcPr>
            <w:tcW w:w="765" w:type="dxa"/>
            <w:shd w:val="clear" w:color="auto" w:fill="auto"/>
            <w:noWrap/>
            <w:vAlign w:val="center"/>
            <w:hideMark/>
          </w:tcPr>
          <w:p w14:paraId="1687742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0.105354</w:t>
            </w:r>
          </w:p>
        </w:tc>
        <w:tc>
          <w:tcPr>
            <w:tcW w:w="695" w:type="dxa"/>
            <w:shd w:val="clear" w:color="auto" w:fill="auto"/>
            <w:noWrap/>
            <w:vAlign w:val="center"/>
            <w:hideMark/>
          </w:tcPr>
          <w:p w14:paraId="657F158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17.78%</w:t>
            </w:r>
          </w:p>
        </w:tc>
        <w:tc>
          <w:tcPr>
            <w:tcW w:w="714" w:type="dxa"/>
            <w:shd w:val="clear" w:color="auto" w:fill="auto"/>
            <w:noWrap/>
            <w:vAlign w:val="center"/>
            <w:hideMark/>
          </w:tcPr>
          <w:p w14:paraId="576948A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-0.25%</w:t>
            </w:r>
          </w:p>
        </w:tc>
        <w:tc>
          <w:tcPr>
            <w:tcW w:w="754" w:type="dxa"/>
            <w:shd w:val="clear" w:color="auto" w:fill="auto"/>
            <w:noWrap/>
            <w:vAlign w:val="center"/>
            <w:hideMark/>
          </w:tcPr>
          <w:p w14:paraId="7D146D5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-0.5300</w:t>
            </w:r>
          </w:p>
        </w:tc>
        <w:tc>
          <w:tcPr>
            <w:tcW w:w="977" w:type="dxa"/>
            <w:shd w:val="clear" w:color="auto" w:fill="auto"/>
            <w:noWrap/>
            <w:vAlign w:val="center"/>
            <w:hideMark/>
          </w:tcPr>
          <w:p w14:paraId="13B320B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0.596112</w:t>
            </w:r>
          </w:p>
        </w:tc>
        <w:tc>
          <w:tcPr>
            <w:tcW w:w="696" w:type="dxa"/>
            <w:shd w:val="clear" w:color="auto" w:fill="auto"/>
            <w:noWrap/>
            <w:vAlign w:val="center"/>
            <w:hideMark/>
          </w:tcPr>
          <w:p w14:paraId="59FB917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46.91%</w:t>
            </w:r>
          </w:p>
        </w:tc>
        <w:tc>
          <w:tcPr>
            <w:tcW w:w="839" w:type="dxa"/>
            <w:vAlign w:val="center"/>
          </w:tcPr>
          <w:p w14:paraId="2308021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c>
          <w:tcPr>
            <w:tcW w:w="642" w:type="dxa"/>
            <w:shd w:val="clear" w:color="auto" w:fill="auto"/>
            <w:noWrap/>
            <w:vAlign w:val="center"/>
            <w:hideMark/>
          </w:tcPr>
          <w:p w14:paraId="0544AB89"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-5.27%</w:t>
            </w:r>
          </w:p>
        </w:tc>
        <w:tc>
          <w:tcPr>
            <w:tcW w:w="675" w:type="dxa"/>
            <w:shd w:val="clear" w:color="auto" w:fill="auto"/>
            <w:noWrap/>
            <w:vAlign w:val="center"/>
            <w:hideMark/>
          </w:tcPr>
          <w:p w14:paraId="36755A52"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-1.6480</w:t>
            </w:r>
          </w:p>
        </w:tc>
        <w:tc>
          <w:tcPr>
            <w:tcW w:w="766" w:type="dxa"/>
            <w:shd w:val="clear" w:color="auto" w:fill="auto"/>
            <w:noWrap/>
            <w:vAlign w:val="center"/>
            <w:hideMark/>
          </w:tcPr>
          <w:p w14:paraId="4F16D46E"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0.099359</w:t>
            </w:r>
          </w:p>
        </w:tc>
        <w:tc>
          <w:tcPr>
            <w:tcW w:w="660" w:type="dxa"/>
            <w:shd w:val="clear" w:color="auto" w:fill="auto"/>
            <w:noWrap/>
            <w:vAlign w:val="center"/>
            <w:hideMark/>
          </w:tcPr>
          <w:p w14:paraId="39E0553B"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14.29%</w:t>
            </w:r>
          </w:p>
        </w:tc>
        <w:tc>
          <w:tcPr>
            <w:tcW w:w="687" w:type="dxa"/>
            <w:shd w:val="clear" w:color="auto" w:fill="auto"/>
            <w:noWrap/>
            <w:vAlign w:val="center"/>
            <w:hideMark/>
          </w:tcPr>
          <w:p w14:paraId="6E32870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-2.01%</w:t>
            </w:r>
          </w:p>
        </w:tc>
        <w:tc>
          <w:tcPr>
            <w:tcW w:w="656" w:type="dxa"/>
            <w:shd w:val="clear" w:color="auto" w:fill="auto"/>
            <w:noWrap/>
            <w:vAlign w:val="center"/>
            <w:hideMark/>
          </w:tcPr>
          <w:p w14:paraId="23732C8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-1.5790</w:t>
            </w:r>
          </w:p>
        </w:tc>
        <w:tc>
          <w:tcPr>
            <w:tcW w:w="844" w:type="dxa"/>
            <w:shd w:val="clear" w:color="auto" w:fill="auto"/>
            <w:noWrap/>
            <w:vAlign w:val="center"/>
            <w:hideMark/>
          </w:tcPr>
          <w:p w14:paraId="147F083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0.114332</w:t>
            </w:r>
          </w:p>
        </w:tc>
        <w:tc>
          <w:tcPr>
            <w:tcW w:w="714" w:type="dxa"/>
            <w:shd w:val="clear" w:color="auto" w:fill="auto"/>
            <w:vAlign w:val="center"/>
          </w:tcPr>
          <w:p w14:paraId="686BC88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25.00%</w:t>
            </w:r>
          </w:p>
        </w:tc>
        <w:tc>
          <w:tcPr>
            <w:tcW w:w="735" w:type="dxa"/>
            <w:vAlign w:val="center"/>
          </w:tcPr>
          <w:p w14:paraId="09F9B28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40AD78AE" w14:textId="77777777" w:rsidTr="00B70718">
        <w:trPr>
          <w:trHeight w:val="300"/>
        </w:trPr>
        <w:tc>
          <w:tcPr>
            <w:tcW w:w="870" w:type="dxa"/>
            <w:shd w:val="clear" w:color="auto" w:fill="auto"/>
            <w:noWrap/>
            <w:vAlign w:val="center"/>
            <w:hideMark/>
          </w:tcPr>
          <w:p w14:paraId="2DD199E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643" w:type="dxa"/>
            <w:shd w:val="clear" w:color="auto" w:fill="auto"/>
            <w:noWrap/>
            <w:vAlign w:val="center"/>
            <w:hideMark/>
          </w:tcPr>
          <w:p w14:paraId="5D0A74A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-2.50%</w:t>
            </w:r>
          </w:p>
        </w:tc>
        <w:tc>
          <w:tcPr>
            <w:tcW w:w="674" w:type="dxa"/>
            <w:shd w:val="clear" w:color="auto" w:fill="auto"/>
            <w:noWrap/>
            <w:vAlign w:val="center"/>
            <w:hideMark/>
          </w:tcPr>
          <w:p w14:paraId="752B2CC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-1.3577</w:t>
            </w:r>
          </w:p>
        </w:tc>
        <w:tc>
          <w:tcPr>
            <w:tcW w:w="765" w:type="dxa"/>
            <w:shd w:val="clear" w:color="auto" w:fill="auto"/>
            <w:noWrap/>
            <w:vAlign w:val="center"/>
            <w:hideMark/>
          </w:tcPr>
          <w:p w14:paraId="1461818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0.174567</w:t>
            </w:r>
          </w:p>
        </w:tc>
        <w:tc>
          <w:tcPr>
            <w:tcW w:w="695" w:type="dxa"/>
            <w:shd w:val="clear" w:color="auto" w:fill="auto"/>
            <w:noWrap/>
            <w:vAlign w:val="center"/>
            <w:hideMark/>
          </w:tcPr>
          <w:p w14:paraId="7BB3949F"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26.67%</w:t>
            </w:r>
          </w:p>
        </w:tc>
        <w:tc>
          <w:tcPr>
            <w:tcW w:w="714" w:type="dxa"/>
            <w:shd w:val="clear" w:color="auto" w:fill="auto"/>
            <w:noWrap/>
            <w:vAlign w:val="center"/>
            <w:hideMark/>
          </w:tcPr>
          <w:p w14:paraId="3359A3E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0.07%</w:t>
            </w:r>
          </w:p>
        </w:tc>
        <w:tc>
          <w:tcPr>
            <w:tcW w:w="754" w:type="dxa"/>
            <w:shd w:val="clear" w:color="auto" w:fill="auto"/>
            <w:noWrap/>
            <w:vAlign w:val="center"/>
            <w:hideMark/>
          </w:tcPr>
          <w:p w14:paraId="10F0BBF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0.0613</w:t>
            </w:r>
          </w:p>
        </w:tc>
        <w:tc>
          <w:tcPr>
            <w:tcW w:w="977" w:type="dxa"/>
            <w:shd w:val="clear" w:color="auto" w:fill="auto"/>
            <w:noWrap/>
            <w:vAlign w:val="center"/>
            <w:hideMark/>
          </w:tcPr>
          <w:p w14:paraId="7E68BD29"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0.951142</w:t>
            </w:r>
          </w:p>
        </w:tc>
        <w:tc>
          <w:tcPr>
            <w:tcW w:w="696" w:type="dxa"/>
            <w:shd w:val="clear" w:color="auto" w:fill="auto"/>
            <w:noWrap/>
            <w:vAlign w:val="center"/>
            <w:hideMark/>
          </w:tcPr>
          <w:p w14:paraId="132DCF7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54.32%</w:t>
            </w:r>
          </w:p>
        </w:tc>
        <w:tc>
          <w:tcPr>
            <w:tcW w:w="839" w:type="dxa"/>
            <w:vAlign w:val="center"/>
          </w:tcPr>
          <w:p w14:paraId="5F7C248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c>
          <w:tcPr>
            <w:tcW w:w="642" w:type="dxa"/>
            <w:shd w:val="clear" w:color="auto" w:fill="auto"/>
            <w:noWrap/>
            <w:vAlign w:val="center"/>
            <w:hideMark/>
          </w:tcPr>
          <w:p w14:paraId="38912568"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-4.54%</w:t>
            </w:r>
          </w:p>
        </w:tc>
        <w:tc>
          <w:tcPr>
            <w:tcW w:w="675" w:type="dxa"/>
            <w:shd w:val="clear" w:color="auto" w:fill="auto"/>
            <w:noWrap/>
            <w:vAlign w:val="center"/>
            <w:hideMark/>
          </w:tcPr>
          <w:p w14:paraId="3354D7A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-1.3634</w:t>
            </w:r>
          </w:p>
        </w:tc>
        <w:tc>
          <w:tcPr>
            <w:tcW w:w="766" w:type="dxa"/>
            <w:shd w:val="clear" w:color="auto" w:fill="auto"/>
            <w:noWrap/>
            <w:vAlign w:val="center"/>
            <w:hideMark/>
          </w:tcPr>
          <w:p w14:paraId="58E114F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0.172741</w:t>
            </w:r>
          </w:p>
        </w:tc>
        <w:tc>
          <w:tcPr>
            <w:tcW w:w="660" w:type="dxa"/>
            <w:shd w:val="clear" w:color="auto" w:fill="auto"/>
            <w:noWrap/>
            <w:vAlign w:val="center"/>
            <w:hideMark/>
          </w:tcPr>
          <w:p w14:paraId="4DEDA9D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35.71%</w:t>
            </w:r>
          </w:p>
        </w:tc>
        <w:tc>
          <w:tcPr>
            <w:tcW w:w="687" w:type="dxa"/>
            <w:shd w:val="clear" w:color="auto" w:fill="auto"/>
            <w:noWrap/>
            <w:vAlign w:val="center"/>
            <w:hideMark/>
          </w:tcPr>
          <w:p w14:paraId="31993E60"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-1.57%</w:t>
            </w:r>
          </w:p>
        </w:tc>
        <w:tc>
          <w:tcPr>
            <w:tcW w:w="656" w:type="dxa"/>
            <w:shd w:val="clear" w:color="auto" w:fill="auto"/>
            <w:noWrap/>
            <w:vAlign w:val="center"/>
            <w:hideMark/>
          </w:tcPr>
          <w:p w14:paraId="5EFAB53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-1.3334</w:t>
            </w:r>
          </w:p>
        </w:tc>
        <w:tc>
          <w:tcPr>
            <w:tcW w:w="844" w:type="dxa"/>
            <w:shd w:val="clear" w:color="auto" w:fill="auto"/>
            <w:noWrap/>
            <w:vAlign w:val="center"/>
            <w:hideMark/>
          </w:tcPr>
          <w:p w14:paraId="53074F6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0.182392</w:t>
            </w:r>
          </w:p>
        </w:tc>
        <w:tc>
          <w:tcPr>
            <w:tcW w:w="714" w:type="dxa"/>
            <w:shd w:val="clear" w:color="auto" w:fill="auto"/>
            <w:vAlign w:val="center"/>
          </w:tcPr>
          <w:p w14:paraId="5A7F153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37.50%</w:t>
            </w:r>
          </w:p>
        </w:tc>
        <w:tc>
          <w:tcPr>
            <w:tcW w:w="735" w:type="dxa"/>
            <w:vAlign w:val="center"/>
          </w:tcPr>
          <w:p w14:paraId="585E9CA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bl>
    <w:p w14:paraId="59FB9143" w14:textId="77777777" w:rsidR="007F6BC9" w:rsidRPr="008C28EB" w:rsidRDefault="007F6BC9" w:rsidP="007F6BC9">
      <w:pPr>
        <w:ind w:right="-147"/>
        <w:rPr>
          <w:rFonts w:ascii="Times New Roman" w:hAnsi="Times New Roman"/>
          <w:sz w:val="16"/>
          <w:szCs w:val="16"/>
          <w:lang w:val="en-US"/>
        </w:rPr>
      </w:pPr>
    </w:p>
    <w:p w14:paraId="2300A051" w14:textId="77777777" w:rsidR="007F6BC9" w:rsidRPr="008C28EB" w:rsidRDefault="007F6BC9" w:rsidP="007F6BC9">
      <w:pPr>
        <w:ind w:right="-147"/>
        <w:jc w:val="center"/>
        <w:rPr>
          <w:rFonts w:ascii="Times New Roman" w:hAnsi="Times New Roman"/>
          <w:b/>
          <w:lang w:val="en-US"/>
        </w:rPr>
      </w:pPr>
    </w:p>
    <w:p w14:paraId="6A130942" w14:textId="77777777" w:rsidR="0090303F" w:rsidRPr="008C28EB" w:rsidRDefault="0090303F" w:rsidP="0090303F">
      <w:pPr>
        <w:ind w:right="-147"/>
        <w:rPr>
          <w:rFonts w:ascii="Times New Roman" w:hAnsi="Times New Roman"/>
          <w:b/>
          <w:lang w:val="en-US"/>
        </w:rPr>
        <w:sectPr w:rsidR="0090303F" w:rsidRPr="008C28EB" w:rsidSect="009F1416">
          <w:pgSz w:w="16840" w:h="11901" w:orient="landscape"/>
          <w:pgMar w:top="1871" w:right="1871" w:bottom="1871" w:left="1871" w:header="709" w:footer="709" w:gutter="0"/>
          <w:cols w:space="708"/>
          <w:docGrid w:linePitch="360"/>
        </w:sectPr>
      </w:pPr>
    </w:p>
    <w:p w14:paraId="77570DE7" w14:textId="77777777" w:rsidR="007F6BC9" w:rsidRPr="008C28EB" w:rsidRDefault="007F6BC9" w:rsidP="007F6BC9">
      <w:pPr>
        <w:ind w:right="-147"/>
        <w:jc w:val="center"/>
        <w:rPr>
          <w:rFonts w:ascii="Times New Roman" w:hAnsi="Times New Roman"/>
          <w:b/>
          <w:lang w:val="en-US"/>
        </w:rPr>
      </w:pPr>
      <w:r w:rsidRPr="008C28EB">
        <w:rPr>
          <w:rFonts w:ascii="Times New Roman" w:hAnsi="Times New Roman"/>
          <w:b/>
          <w:lang w:val="en-US"/>
        </w:rPr>
        <w:lastRenderedPageBreak/>
        <w:t>Table 3</w:t>
      </w:r>
      <w:r w:rsidRPr="008C28EB">
        <w:rPr>
          <w:rFonts w:ascii="Times New Roman" w:hAnsi="Times New Roman"/>
          <w:b/>
          <w:lang w:val="en-US"/>
        </w:rPr>
        <w:br/>
        <w:t>Did the CA produced new information for the market?</w:t>
      </w:r>
    </w:p>
    <w:p w14:paraId="61BD4A75" w14:textId="77777777" w:rsidR="007F6BC9" w:rsidRPr="008C28EB" w:rsidRDefault="007F6BC9" w:rsidP="007F6BC9">
      <w:pPr>
        <w:ind w:right="-147"/>
        <w:jc w:val="both"/>
        <w:rPr>
          <w:rFonts w:ascii="Times New Roman" w:hAnsi="Times New Roman"/>
          <w:lang w:val="en-US"/>
        </w:rPr>
      </w:pPr>
      <w:r w:rsidRPr="008C28EB">
        <w:rPr>
          <w:rFonts w:ascii="Times New Roman" w:hAnsi="Times New Roman"/>
          <w:lang w:val="en-US"/>
        </w:rPr>
        <w:t xml:space="preserve">Panel A: CAR at the announcement date as a proxy for the expected gap. </w:t>
      </w:r>
    </w:p>
    <w:p w14:paraId="35DE47F1" w14:textId="7F7DA452" w:rsidR="007F6BC9" w:rsidRPr="008C28EB" w:rsidRDefault="007F6BC9" w:rsidP="007F6BC9">
      <w:pPr>
        <w:ind w:right="-147"/>
        <w:jc w:val="both"/>
        <w:rPr>
          <w:rFonts w:ascii="Times New Roman" w:hAnsi="Times New Roman"/>
          <w:lang w:val="en-US"/>
        </w:rPr>
      </w:pPr>
      <w:r w:rsidRPr="008C28EB">
        <w:rPr>
          <w:rFonts w:ascii="Times New Roman" w:hAnsi="Times New Roman"/>
          <w:lang w:val="en-US"/>
        </w:rPr>
        <w:t>This panel show</w:t>
      </w:r>
      <w:r w:rsidR="00661A6A" w:rsidRPr="008C28EB">
        <w:rPr>
          <w:rFonts w:ascii="Times New Roman" w:hAnsi="Times New Roman"/>
          <w:lang w:val="en-US"/>
        </w:rPr>
        <w:t>s</w:t>
      </w:r>
      <w:r w:rsidRPr="008C28EB">
        <w:rPr>
          <w:rFonts w:ascii="Times New Roman" w:hAnsi="Times New Roman"/>
          <w:lang w:val="en-US"/>
        </w:rPr>
        <w:t xml:space="preserve"> results from running the model represented by equation (1), in which the capital shortfall resulted from the CA is regressed </w:t>
      </w:r>
      <w:r w:rsidR="00617096">
        <w:rPr>
          <w:rFonts w:ascii="Times New Roman" w:hAnsi="Times New Roman"/>
          <w:lang w:val="en-US"/>
        </w:rPr>
        <w:t>on</w:t>
      </w:r>
      <w:r w:rsidRPr="008C28EB">
        <w:rPr>
          <w:rFonts w:ascii="Times New Roman" w:hAnsi="Times New Roman"/>
          <w:lang w:val="en-US"/>
        </w:rPr>
        <w:t xml:space="preserve"> the market reaction at the announcement of the procedure. Control is a dummy variable identifying four banks (Eurobank, </w:t>
      </w:r>
      <w:r w:rsidR="008C28EB" w:rsidRPr="008C28EB">
        <w:rPr>
          <w:rFonts w:ascii="Times New Roman" w:hAnsi="Times New Roman"/>
          <w:lang w:val="en-US"/>
        </w:rPr>
        <w:t>National Bank of Greece</w:t>
      </w:r>
      <w:r w:rsidRPr="008C28EB">
        <w:rPr>
          <w:rFonts w:ascii="Times New Roman" w:hAnsi="Times New Roman"/>
          <w:lang w:val="en-US"/>
        </w:rPr>
        <w:t>, Nova Ljublijanska bank, and Nova Kreditna Banka Maribor) that registered a shortfall, but were in special situations (e.g., State guarantees, restructuring plans, etc.) for which there was no need for capital raising measures (see ECB, 2014, p. 10).</w:t>
      </w:r>
    </w:p>
    <w:tbl>
      <w:tblPr>
        <w:tblW w:w="6125" w:type="dxa"/>
        <w:tblInd w:w="56" w:type="dxa"/>
        <w:tblCellMar>
          <w:left w:w="70" w:type="dxa"/>
          <w:right w:w="70" w:type="dxa"/>
        </w:tblCellMar>
        <w:tblLook w:val="04A0" w:firstRow="1" w:lastRow="0" w:firstColumn="1" w:lastColumn="0" w:noHBand="0" w:noVBand="1"/>
      </w:tblPr>
      <w:tblGrid>
        <w:gridCol w:w="3500"/>
        <w:gridCol w:w="965"/>
        <w:gridCol w:w="875"/>
        <w:gridCol w:w="785"/>
      </w:tblGrid>
      <w:tr w:rsidR="007F6BC9" w:rsidRPr="008C28EB" w14:paraId="554E65FB" w14:textId="77777777" w:rsidTr="00B70718">
        <w:trPr>
          <w:trHeight w:val="255"/>
        </w:trPr>
        <w:tc>
          <w:tcPr>
            <w:tcW w:w="3500" w:type="dxa"/>
            <w:tcBorders>
              <w:top w:val="single" w:sz="4" w:space="0" w:color="000000"/>
              <w:left w:val="nil"/>
              <w:bottom w:val="nil"/>
              <w:right w:val="nil"/>
            </w:tcBorders>
            <w:shd w:val="clear" w:color="auto" w:fill="auto"/>
            <w:noWrap/>
            <w:vAlign w:val="bottom"/>
            <w:hideMark/>
          </w:tcPr>
          <w:p w14:paraId="2B7AAF6F"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965" w:type="dxa"/>
            <w:tcBorders>
              <w:top w:val="single" w:sz="4" w:space="0" w:color="000000"/>
              <w:left w:val="nil"/>
              <w:bottom w:val="nil"/>
              <w:right w:val="nil"/>
            </w:tcBorders>
            <w:shd w:val="clear" w:color="auto" w:fill="auto"/>
            <w:noWrap/>
            <w:vAlign w:val="bottom"/>
            <w:hideMark/>
          </w:tcPr>
          <w:p w14:paraId="1CA908B9"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w:t>
            </w:r>
          </w:p>
        </w:tc>
        <w:tc>
          <w:tcPr>
            <w:tcW w:w="875" w:type="dxa"/>
            <w:tcBorders>
              <w:top w:val="single" w:sz="4" w:space="0" w:color="000000"/>
              <w:left w:val="nil"/>
              <w:bottom w:val="nil"/>
              <w:right w:val="nil"/>
            </w:tcBorders>
            <w:shd w:val="clear" w:color="auto" w:fill="auto"/>
            <w:noWrap/>
            <w:vAlign w:val="bottom"/>
            <w:hideMark/>
          </w:tcPr>
          <w:p w14:paraId="1BC05B0E"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(2)</w:t>
            </w:r>
          </w:p>
        </w:tc>
        <w:tc>
          <w:tcPr>
            <w:tcW w:w="785" w:type="dxa"/>
            <w:tcBorders>
              <w:top w:val="single" w:sz="4" w:space="0" w:color="000000"/>
              <w:left w:val="nil"/>
              <w:bottom w:val="nil"/>
              <w:right w:val="nil"/>
            </w:tcBorders>
            <w:shd w:val="clear" w:color="auto" w:fill="auto"/>
            <w:noWrap/>
            <w:vAlign w:val="bottom"/>
            <w:hideMark/>
          </w:tcPr>
          <w:p w14:paraId="3D71E441"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(3)</w:t>
            </w:r>
          </w:p>
        </w:tc>
      </w:tr>
      <w:tr w:rsidR="007F6BC9" w:rsidRPr="008C28EB" w14:paraId="458D8B3A" w14:textId="77777777" w:rsidTr="00B70718">
        <w:trPr>
          <w:trHeight w:val="255"/>
        </w:trPr>
        <w:tc>
          <w:tcPr>
            <w:tcW w:w="3500" w:type="dxa"/>
            <w:tcBorders>
              <w:top w:val="nil"/>
              <w:left w:val="nil"/>
              <w:bottom w:val="nil"/>
              <w:right w:val="nil"/>
            </w:tcBorders>
            <w:shd w:val="clear" w:color="auto" w:fill="auto"/>
            <w:noWrap/>
            <w:vAlign w:val="bottom"/>
            <w:hideMark/>
          </w:tcPr>
          <w:p w14:paraId="3BAB3C41"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Y= GAP</w:t>
            </w:r>
          </w:p>
        </w:tc>
        <w:tc>
          <w:tcPr>
            <w:tcW w:w="965" w:type="dxa"/>
            <w:tcBorders>
              <w:top w:val="nil"/>
              <w:left w:val="nil"/>
              <w:bottom w:val="nil"/>
              <w:right w:val="nil"/>
            </w:tcBorders>
            <w:shd w:val="clear" w:color="auto" w:fill="auto"/>
            <w:noWrap/>
            <w:vAlign w:val="bottom"/>
            <w:hideMark/>
          </w:tcPr>
          <w:p w14:paraId="33335CE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(0;0)</w:t>
            </w:r>
          </w:p>
        </w:tc>
        <w:tc>
          <w:tcPr>
            <w:tcW w:w="875" w:type="dxa"/>
            <w:tcBorders>
              <w:top w:val="nil"/>
              <w:left w:val="nil"/>
              <w:bottom w:val="nil"/>
              <w:right w:val="nil"/>
            </w:tcBorders>
            <w:shd w:val="clear" w:color="auto" w:fill="auto"/>
            <w:noWrap/>
            <w:vAlign w:val="bottom"/>
            <w:hideMark/>
          </w:tcPr>
          <w:p w14:paraId="54811610"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w:t>
            </w:r>
          </w:p>
        </w:tc>
        <w:tc>
          <w:tcPr>
            <w:tcW w:w="785" w:type="dxa"/>
            <w:tcBorders>
              <w:top w:val="nil"/>
              <w:left w:val="nil"/>
              <w:bottom w:val="nil"/>
              <w:right w:val="nil"/>
            </w:tcBorders>
            <w:shd w:val="clear" w:color="auto" w:fill="auto"/>
            <w:noWrap/>
            <w:vAlign w:val="bottom"/>
            <w:hideMark/>
          </w:tcPr>
          <w:p w14:paraId="77384A7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(1;1)</w:t>
            </w:r>
          </w:p>
        </w:tc>
      </w:tr>
      <w:tr w:rsidR="007F6BC9" w:rsidRPr="008C28EB" w14:paraId="5BABCF34" w14:textId="77777777" w:rsidTr="00B70718">
        <w:trPr>
          <w:trHeight w:val="255"/>
        </w:trPr>
        <w:tc>
          <w:tcPr>
            <w:tcW w:w="3500" w:type="dxa"/>
            <w:tcBorders>
              <w:top w:val="single" w:sz="4" w:space="0" w:color="000000"/>
              <w:left w:val="nil"/>
              <w:bottom w:val="nil"/>
              <w:right w:val="nil"/>
            </w:tcBorders>
            <w:shd w:val="clear" w:color="auto" w:fill="auto"/>
            <w:noWrap/>
            <w:vAlign w:val="bottom"/>
            <w:hideMark/>
          </w:tcPr>
          <w:p w14:paraId="6222FB5F"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965" w:type="dxa"/>
            <w:tcBorders>
              <w:top w:val="single" w:sz="4" w:space="0" w:color="000000"/>
              <w:left w:val="nil"/>
              <w:bottom w:val="nil"/>
              <w:right w:val="nil"/>
            </w:tcBorders>
            <w:shd w:val="clear" w:color="auto" w:fill="auto"/>
            <w:noWrap/>
            <w:vAlign w:val="bottom"/>
            <w:hideMark/>
          </w:tcPr>
          <w:p w14:paraId="73125A67"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875" w:type="dxa"/>
            <w:tcBorders>
              <w:top w:val="single" w:sz="4" w:space="0" w:color="000000"/>
              <w:left w:val="nil"/>
              <w:bottom w:val="nil"/>
              <w:right w:val="nil"/>
            </w:tcBorders>
            <w:shd w:val="clear" w:color="auto" w:fill="auto"/>
            <w:noWrap/>
            <w:vAlign w:val="bottom"/>
            <w:hideMark/>
          </w:tcPr>
          <w:p w14:paraId="22231B07"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785" w:type="dxa"/>
            <w:tcBorders>
              <w:top w:val="single" w:sz="4" w:space="0" w:color="000000"/>
              <w:left w:val="nil"/>
              <w:bottom w:val="nil"/>
              <w:right w:val="nil"/>
            </w:tcBorders>
            <w:shd w:val="clear" w:color="auto" w:fill="auto"/>
            <w:noWrap/>
            <w:vAlign w:val="bottom"/>
            <w:hideMark/>
          </w:tcPr>
          <w:p w14:paraId="37D0ADE4"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r>
      <w:tr w:rsidR="007F6BC9" w:rsidRPr="008C28EB" w14:paraId="72634F5E" w14:textId="77777777" w:rsidTr="00B70718">
        <w:trPr>
          <w:trHeight w:val="255"/>
        </w:trPr>
        <w:tc>
          <w:tcPr>
            <w:tcW w:w="3500" w:type="dxa"/>
            <w:tcBorders>
              <w:top w:val="nil"/>
              <w:left w:val="nil"/>
              <w:bottom w:val="nil"/>
              <w:right w:val="nil"/>
            </w:tcBorders>
            <w:shd w:val="clear" w:color="auto" w:fill="auto"/>
            <w:noWrap/>
            <w:vAlign w:val="bottom"/>
            <w:hideMark/>
          </w:tcPr>
          <w:p w14:paraId="6938F3C0"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CAR</w:t>
            </w:r>
            <w:r w:rsidRPr="008C28EB">
              <w:rPr>
                <w:rFonts w:ascii="Times New Roman" w:eastAsia="Times New Roman" w:hAnsi="Times New Roman"/>
                <w:sz w:val="18"/>
                <w:szCs w:val="18"/>
                <w:vertAlign w:val="superscript"/>
                <w:lang w:val="en-US"/>
              </w:rPr>
              <w:t>α</w:t>
            </w:r>
          </w:p>
        </w:tc>
        <w:tc>
          <w:tcPr>
            <w:tcW w:w="965" w:type="dxa"/>
            <w:tcBorders>
              <w:top w:val="nil"/>
              <w:left w:val="nil"/>
              <w:bottom w:val="nil"/>
              <w:right w:val="nil"/>
            </w:tcBorders>
            <w:shd w:val="clear" w:color="auto" w:fill="auto"/>
            <w:noWrap/>
            <w:vAlign w:val="bottom"/>
            <w:hideMark/>
          </w:tcPr>
          <w:p w14:paraId="48EC023D"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-0.530***</w:t>
            </w:r>
          </w:p>
        </w:tc>
        <w:tc>
          <w:tcPr>
            <w:tcW w:w="875" w:type="dxa"/>
            <w:tcBorders>
              <w:top w:val="nil"/>
              <w:left w:val="nil"/>
              <w:bottom w:val="nil"/>
              <w:right w:val="nil"/>
            </w:tcBorders>
            <w:shd w:val="clear" w:color="auto" w:fill="auto"/>
            <w:noWrap/>
            <w:vAlign w:val="bottom"/>
            <w:hideMark/>
          </w:tcPr>
          <w:p w14:paraId="211EB0C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-0.298*</w:t>
            </w:r>
          </w:p>
        </w:tc>
        <w:tc>
          <w:tcPr>
            <w:tcW w:w="785" w:type="dxa"/>
            <w:tcBorders>
              <w:top w:val="nil"/>
              <w:left w:val="nil"/>
              <w:bottom w:val="nil"/>
              <w:right w:val="nil"/>
            </w:tcBorders>
            <w:shd w:val="clear" w:color="auto" w:fill="auto"/>
            <w:noWrap/>
            <w:vAlign w:val="bottom"/>
            <w:hideMark/>
          </w:tcPr>
          <w:p w14:paraId="3171B617"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0.128</w:t>
            </w:r>
          </w:p>
        </w:tc>
      </w:tr>
      <w:tr w:rsidR="007F6BC9" w:rsidRPr="008C28EB" w14:paraId="665C6CDC" w14:textId="77777777" w:rsidTr="00B70718">
        <w:trPr>
          <w:trHeight w:val="255"/>
        </w:trPr>
        <w:tc>
          <w:tcPr>
            <w:tcW w:w="3500" w:type="dxa"/>
            <w:tcBorders>
              <w:top w:val="nil"/>
              <w:left w:val="nil"/>
              <w:bottom w:val="nil"/>
              <w:right w:val="nil"/>
            </w:tcBorders>
            <w:shd w:val="clear" w:color="auto" w:fill="auto"/>
            <w:noWrap/>
            <w:vAlign w:val="bottom"/>
            <w:hideMark/>
          </w:tcPr>
          <w:p w14:paraId="66E8C022"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65" w:type="dxa"/>
            <w:tcBorders>
              <w:top w:val="nil"/>
              <w:left w:val="nil"/>
              <w:bottom w:val="nil"/>
              <w:right w:val="nil"/>
            </w:tcBorders>
            <w:shd w:val="clear" w:color="auto" w:fill="auto"/>
            <w:noWrap/>
            <w:vAlign w:val="bottom"/>
            <w:hideMark/>
          </w:tcPr>
          <w:p w14:paraId="0A1FC347"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(0.196)</w:t>
            </w:r>
          </w:p>
        </w:tc>
        <w:tc>
          <w:tcPr>
            <w:tcW w:w="875" w:type="dxa"/>
            <w:tcBorders>
              <w:top w:val="nil"/>
              <w:left w:val="nil"/>
              <w:bottom w:val="nil"/>
              <w:right w:val="nil"/>
            </w:tcBorders>
            <w:shd w:val="clear" w:color="auto" w:fill="auto"/>
            <w:noWrap/>
            <w:vAlign w:val="bottom"/>
            <w:hideMark/>
          </w:tcPr>
          <w:p w14:paraId="7F9335FC"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(0.175)</w:t>
            </w:r>
          </w:p>
        </w:tc>
        <w:tc>
          <w:tcPr>
            <w:tcW w:w="785" w:type="dxa"/>
            <w:tcBorders>
              <w:top w:val="nil"/>
              <w:left w:val="nil"/>
              <w:bottom w:val="nil"/>
              <w:right w:val="nil"/>
            </w:tcBorders>
            <w:shd w:val="clear" w:color="auto" w:fill="auto"/>
            <w:noWrap/>
            <w:vAlign w:val="bottom"/>
            <w:hideMark/>
          </w:tcPr>
          <w:p w14:paraId="4D8AF16B"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(0.142)</w:t>
            </w:r>
          </w:p>
        </w:tc>
      </w:tr>
      <w:tr w:rsidR="007F6BC9" w:rsidRPr="008C28EB" w14:paraId="6AF47238" w14:textId="77777777" w:rsidTr="00B70718">
        <w:trPr>
          <w:trHeight w:val="255"/>
        </w:trPr>
        <w:tc>
          <w:tcPr>
            <w:tcW w:w="3500" w:type="dxa"/>
            <w:tcBorders>
              <w:top w:val="nil"/>
              <w:left w:val="nil"/>
              <w:bottom w:val="nil"/>
              <w:right w:val="nil"/>
            </w:tcBorders>
            <w:shd w:val="clear" w:color="auto" w:fill="auto"/>
            <w:noWrap/>
            <w:vAlign w:val="bottom"/>
            <w:hideMark/>
          </w:tcPr>
          <w:p w14:paraId="02C92FB5"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Control</w:t>
            </w:r>
          </w:p>
        </w:tc>
        <w:tc>
          <w:tcPr>
            <w:tcW w:w="965" w:type="dxa"/>
            <w:tcBorders>
              <w:top w:val="nil"/>
              <w:left w:val="nil"/>
              <w:bottom w:val="nil"/>
              <w:right w:val="nil"/>
            </w:tcBorders>
            <w:shd w:val="clear" w:color="auto" w:fill="auto"/>
            <w:noWrap/>
            <w:vAlign w:val="bottom"/>
            <w:hideMark/>
          </w:tcPr>
          <w:p w14:paraId="7B37E8EC"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1.801**</w:t>
            </w:r>
          </w:p>
        </w:tc>
        <w:tc>
          <w:tcPr>
            <w:tcW w:w="875" w:type="dxa"/>
            <w:tcBorders>
              <w:top w:val="nil"/>
              <w:left w:val="nil"/>
              <w:bottom w:val="nil"/>
              <w:right w:val="nil"/>
            </w:tcBorders>
            <w:shd w:val="clear" w:color="auto" w:fill="auto"/>
            <w:noWrap/>
            <w:vAlign w:val="bottom"/>
            <w:hideMark/>
          </w:tcPr>
          <w:p w14:paraId="2AEFB274"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1.751*</w:t>
            </w:r>
          </w:p>
        </w:tc>
        <w:tc>
          <w:tcPr>
            <w:tcW w:w="785" w:type="dxa"/>
            <w:tcBorders>
              <w:top w:val="nil"/>
              <w:left w:val="nil"/>
              <w:bottom w:val="nil"/>
              <w:right w:val="nil"/>
            </w:tcBorders>
            <w:shd w:val="clear" w:color="auto" w:fill="auto"/>
            <w:noWrap/>
            <w:vAlign w:val="bottom"/>
            <w:hideMark/>
          </w:tcPr>
          <w:p w14:paraId="489DDB57"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1.599*</w:t>
            </w:r>
          </w:p>
        </w:tc>
      </w:tr>
      <w:tr w:rsidR="007F6BC9" w:rsidRPr="008C28EB" w14:paraId="4B4B2807" w14:textId="77777777" w:rsidTr="00B70718">
        <w:trPr>
          <w:trHeight w:val="255"/>
        </w:trPr>
        <w:tc>
          <w:tcPr>
            <w:tcW w:w="3500" w:type="dxa"/>
            <w:tcBorders>
              <w:top w:val="nil"/>
              <w:left w:val="nil"/>
              <w:bottom w:val="nil"/>
              <w:right w:val="nil"/>
            </w:tcBorders>
            <w:shd w:val="clear" w:color="auto" w:fill="auto"/>
            <w:noWrap/>
            <w:vAlign w:val="bottom"/>
            <w:hideMark/>
          </w:tcPr>
          <w:p w14:paraId="3ECEB179"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65" w:type="dxa"/>
            <w:tcBorders>
              <w:top w:val="nil"/>
              <w:left w:val="nil"/>
              <w:bottom w:val="nil"/>
              <w:right w:val="nil"/>
            </w:tcBorders>
            <w:shd w:val="clear" w:color="auto" w:fill="auto"/>
            <w:noWrap/>
            <w:vAlign w:val="bottom"/>
            <w:hideMark/>
          </w:tcPr>
          <w:p w14:paraId="1A7B54CA"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(0.868)</w:t>
            </w:r>
          </w:p>
        </w:tc>
        <w:tc>
          <w:tcPr>
            <w:tcW w:w="875" w:type="dxa"/>
            <w:tcBorders>
              <w:top w:val="nil"/>
              <w:left w:val="nil"/>
              <w:bottom w:val="nil"/>
              <w:right w:val="nil"/>
            </w:tcBorders>
            <w:shd w:val="clear" w:color="auto" w:fill="auto"/>
            <w:noWrap/>
            <w:vAlign w:val="bottom"/>
            <w:hideMark/>
          </w:tcPr>
          <w:p w14:paraId="08707718"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(0.935)</w:t>
            </w:r>
          </w:p>
        </w:tc>
        <w:tc>
          <w:tcPr>
            <w:tcW w:w="785" w:type="dxa"/>
            <w:tcBorders>
              <w:top w:val="nil"/>
              <w:left w:val="nil"/>
              <w:bottom w:val="nil"/>
              <w:right w:val="nil"/>
            </w:tcBorders>
            <w:shd w:val="clear" w:color="auto" w:fill="auto"/>
            <w:noWrap/>
            <w:vAlign w:val="bottom"/>
            <w:hideMark/>
          </w:tcPr>
          <w:p w14:paraId="5D957F8D"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(0.845)</w:t>
            </w:r>
          </w:p>
        </w:tc>
      </w:tr>
      <w:tr w:rsidR="007F6BC9" w:rsidRPr="008C28EB" w14:paraId="57FE2C3E" w14:textId="77777777" w:rsidTr="00B70718">
        <w:trPr>
          <w:trHeight w:val="255"/>
        </w:trPr>
        <w:tc>
          <w:tcPr>
            <w:tcW w:w="3500" w:type="dxa"/>
            <w:tcBorders>
              <w:top w:val="nil"/>
              <w:left w:val="nil"/>
              <w:bottom w:val="nil"/>
              <w:right w:val="nil"/>
            </w:tcBorders>
            <w:shd w:val="clear" w:color="auto" w:fill="auto"/>
            <w:noWrap/>
            <w:vAlign w:val="bottom"/>
            <w:hideMark/>
          </w:tcPr>
          <w:p w14:paraId="1D4B6C49" w14:textId="77777777" w:rsidR="007F6BC9" w:rsidRPr="008C28EB" w:rsidRDefault="00991261"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C</w:t>
            </w:r>
            <w:r w:rsidR="007F6BC9" w:rsidRPr="008C28EB">
              <w:rPr>
                <w:rFonts w:ascii="Times New Roman" w:eastAsia="Times New Roman" w:hAnsi="Times New Roman"/>
                <w:sz w:val="18"/>
                <w:szCs w:val="18"/>
                <w:lang w:val="en-US"/>
              </w:rPr>
              <w:t>onstant</w:t>
            </w:r>
          </w:p>
        </w:tc>
        <w:tc>
          <w:tcPr>
            <w:tcW w:w="965" w:type="dxa"/>
            <w:tcBorders>
              <w:top w:val="nil"/>
              <w:left w:val="nil"/>
              <w:bottom w:val="nil"/>
              <w:right w:val="nil"/>
            </w:tcBorders>
            <w:shd w:val="clear" w:color="auto" w:fill="auto"/>
            <w:noWrap/>
            <w:vAlign w:val="bottom"/>
            <w:hideMark/>
          </w:tcPr>
          <w:p w14:paraId="7185FAE4"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-0.349***</w:t>
            </w:r>
          </w:p>
        </w:tc>
        <w:tc>
          <w:tcPr>
            <w:tcW w:w="875" w:type="dxa"/>
            <w:tcBorders>
              <w:top w:val="nil"/>
              <w:left w:val="nil"/>
              <w:bottom w:val="nil"/>
              <w:right w:val="nil"/>
            </w:tcBorders>
            <w:shd w:val="clear" w:color="auto" w:fill="auto"/>
            <w:noWrap/>
            <w:vAlign w:val="bottom"/>
            <w:hideMark/>
          </w:tcPr>
          <w:p w14:paraId="3BF6FCE2"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-0.219**</w:t>
            </w:r>
          </w:p>
        </w:tc>
        <w:tc>
          <w:tcPr>
            <w:tcW w:w="785" w:type="dxa"/>
            <w:tcBorders>
              <w:top w:val="nil"/>
              <w:left w:val="nil"/>
              <w:bottom w:val="nil"/>
              <w:right w:val="nil"/>
            </w:tcBorders>
            <w:shd w:val="clear" w:color="auto" w:fill="auto"/>
            <w:noWrap/>
            <w:vAlign w:val="bottom"/>
            <w:hideMark/>
          </w:tcPr>
          <w:p w14:paraId="0D502DEA"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-0.0945</w:t>
            </w:r>
          </w:p>
        </w:tc>
      </w:tr>
      <w:tr w:rsidR="007F6BC9" w:rsidRPr="008C28EB" w14:paraId="2E3DCD5F" w14:textId="77777777" w:rsidTr="00B70718">
        <w:trPr>
          <w:trHeight w:val="255"/>
        </w:trPr>
        <w:tc>
          <w:tcPr>
            <w:tcW w:w="3500" w:type="dxa"/>
            <w:tcBorders>
              <w:top w:val="nil"/>
              <w:left w:val="nil"/>
              <w:bottom w:val="nil"/>
              <w:right w:val="nil"/>
            </w:tcBorders>
            <w:shd w:val="clear" w:color="auto" w:fill="auto"/>
            <w:noWrap/>
            <w:vAlign w:val="bottom"/>
            <w:hideMark/>
          </w:tcPr>
          <w:p w14:paraId="4CF4363E"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65" w:type="dxa"/>
            <w:tcBorders>
              <w:top w:val="nil"/>
              <w:left w:val="nil"/>
              <w:bottom w:val="nil"/>
              <w:right w:val="nil"/>
            </w:tcBorders>
            <w:shd w:val="clear" w:color="auto" w:fill="auto"/>
            <w:noWrap/>
            <w:vAlign w:val="bottom"/>
            <w:hideMark/>
          </w:tcPr>
          <w:p w14:paraId="4FD1BBB1"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(0.0992)</w:t>
            </w:r>
          </w:p>
        </w:tc>
        <w:tc>
          <w:tcPr>
            <w:tcW w:w="875" w:type="dxa"/>
            <w:tcBorders>
              <w:top w:val="nil"/>
              <w:left w:val="nil"/>
              <w:bottom w:val="nil"/>
              <w:right w:val="nil"/>
            </w:tcBorders>
            <w:shd w:val="clear" w:color="auto" w:fill="auto"/>
            <w:noWrap/>
            <w:vAlign w:val="bottom"/>
            <w:hideMark/>
          </w:tcPr>
          <w:p w14:paraId="3C1A66F8"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(0.101)</w:t>
            </w:r>
          </w:p>
        </w:tc>
        <w:tc>
          <w:tcPr>
            <w:tcW w:w="785" w:type="dxa"/>
            <w:tcBorders>
              <w:top w:val="nil"/>
              <w:left w:val="nil"/>
              <w:bottom w:val="nil"/>
              <w:right w:val="nil"/>
            </w:tcBorders>
            <w:shd w:val="clear" w:color="auto" w:fill="auto"/>
            <w:noWrap/>
            <w:vAlign w:val="bottom"/>
            <w:hideMark/>
          </w:tcPr>
          <w:p w14:paraId="5BED009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(0.118)</w:t>
            </w:r>
          </w:p>
        </w:tc>
      </w:tr>
      <w:tr w:rsidR="007F6BC9" w:rsidRPr="008C28EB" w14:paraId="79FD94E7" w14:textId="77777777" w:rsidTr="00B70718">
        <w:trPr>
          <w:trHeight w:val="255"/>
        </w:trPr>
        <w:tc>
          <w:tcPr>
            <w:tcW w:w="3500" w:type="dxa"/>
            <w:tcBorders>
              <w:top w:val="nil"/>
              <w:left w:val="nil"/>
              <w:bottom w:val="nil"/>
              <w:right w:val="nil"/>
            </w:tcBorders>
            <w:shd w:val="clear" w:color="auto" w:fill="auto"/>
            <w:noWrap/>
            <w:vAlign w:val="bottom"/>
            <w:hideMark/>
          </w:tcPr>
          <w:p w14:paraId="13FC87C9"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65" w:type="dxa"/>
            <w:tcBorders>
              <w:top w:val="nil"/>
              <w:left w:val="nil"/>
              <w:bottom w:val="nil"/>
              <w:right w:val="nil"/>
            </w:tcBorders>
            <w:shd w:val="clear" w:color="auto" w:fill="auto"/>
            <w:noWrap/>
            <w:vAlign w:val="bottom"/>
            <w:hideMark/>
          </w:tcPr>
          <w:p w14:paraId="59F1EE6E"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3154C59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p>
        </w:tc>
        <w:tc>
          <w:tcPr>
            <w:tcW w:w="785" w:type="dxa"/>
            <w:tcBorders>
              <w:top w:val="nil"/>
              <w:left w:val="nil"/>
              <w:bottom w:val="nil"/>
              <w:right w:val="nil"/>
            </w:tcBorders>
            <w:shd w:val="clear" w:color="auto" w:fill="auto"/>
            <w:noWrap/>
            <w:vAlign w:val="bottom"/>
            <w:hideMark/>
          </w:tcPr>
          <w:p w14:paraId="1C2CB3E2"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p>
        </w:tc>
      </w:tr>
      <w:tr w:rsidR="007F6BC9" w:rsidRPr="008C28EB" w14:paraId="798067CE" w14:textId="77777777" w:rsidTr="00B70718">
        <w:trPr>
          <w:trHeight w:val="255"/>
        </w:trPr>
        <w:tc>
          <w:tcPr>
            <w:tcW w:w="3500" w:type="dxa"/>
            <w:tcBorders>
              <w:top w:val="nil"/>
              <w:left w:val="nil"/>
              <w:bottom w:val="nil"/>
              <w:right w:val="nil"/>
            </w:tcBorders>
            <w:shd w:val="clear" w:color="auto" w:fill="auto"/>
            <w:noWrap/>
            <w:vAlign w:val="bottom"/>
            <w:hideMark/>
          </w:tcPr>
          <w:p w14:paraId="10465DC7"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Observations</w:t>
            </w:r>
          </w:p>
        </w:tc>
        <w:tc>
          <w:tcPr>
            <w:tcW w:w="965" w:type="dxa"/>
            <w:tcBorders>
              <w:top w:val="nil"/>
              <w:left w:val="nil"/>
              <w:bottom w:val="nil"/>
              <w:right w:val="nil"/>
            </w:tcBorders>
            <w:shd w:val="clear" w:color="auto" w:fill="auto"/>
            <w:noWrap/>
            <w:vAlign w:val="bottom"/>
            <w:hideMark/>
          </w:tcPr>
          <w:p w14:paraId="76885882"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45</w:t>
            </w:r>
          </w:p>
        </w:tc>
        <w:tc>
          <w:tcPr>
            <w:tcW w:w="875" w:type="dxa"/>
            <w:tcBorders>
              <w:top w:val="nil"/>
              <w:left w:val="nil"/>
              <w:bottom w:val="nil"/>
              <w:right w:val="nil"/>
            </w:tcBorders>
            <w:shd w:val="clear" w:color="auto" w:fill="auto"/>
            <w:noWrap/>
            <w:vAlign w:val="bottom"/>
            <w:hideMark/>
          </w:tcPr>
          <w:p w14:paraId="67B85C6C"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45</w:t>
            </w:r>
          </w:p>
        </w:tc>
        <w:tc>
          <w:tcPr>
            <w:tcW w:w="785" w:type="dxa"/>
            <w:tcBorders>
              <w:top w:val="nil"/>
              <w:left w:val="nil"/>
              <w:bottom w:val="nil"/>
              <w:right w:val="nil"/>
            </w:tcBorders>
            <w:shd w:val="clear" w:color="auto" w:fill="auto"/>
            <w:noWrap/>
            <w:vAlign w:val="bottom"/>
            <w:hideMark/>
          </w:tcPr>
          <w:p w14:paraId="26BE9C5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45</w:t>
            </w:r>
          </w:p>
        </w:tc>
      </w:tr>
      <w:tr w:rsidR="007F6BC9" w:rsidRPr="008C28EB" w14:paraId="1C30883E" w14:textId="77777777" w:rsidTr="00B70718">
        <w:trPr>
          <w:trHeight w:val="255"/>
        </w:trPr>
        <w:tc>
          <w:tcPr>
            <w:tcW w:w="3500" w:type="dxa"/>
            <w:tcBorders>
              <w:top w:val="nil"/>
              <w:left w:val="nil"/>
              <w:bottom w:val="single" w:sz="4" w:space="0" w:color="000000"/>
              <w:right w:val="nil"/>
            </w:tcBorders>
            <w:shd w:val="clear" w:color="auto" w:fill="auto"/>
            <w:noWrap/>
            <w:vAlign w:val="bottom"/>
            <w:hideMark/>
          </w:tcPr>
          <w:p w14:paraId="4E1B3E80"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R-squared</w:t>
            </w:r>
          </w:p>
        </w:tc>
        <w:tc>
          <w:tcPr>
            <w:tcW w:w="965" w:type="dxa"/>
            <w:tcBorders>
              <w:top w:val="nil"/>
              <w:left w:val="nil"/>
              <w:bottom w:val="single" w:sz="4" w:space="0" w:color="000000"/>
              <w:right w:val="nil"/>
            </w:tcBorders>
            <w:shd w:val="clear" w:color="auto" w:fill="auto"/>
            <w:noWrap/>
            <w:vAlign w:val="bottom"/>
            <w:hideMark/>
          </w:tcPr>
          <w:p w14:paraId="0639874D"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0.433</w:t>
            </w:r>
          </w:p>
        </w:tc>
        <w:tc>
          <w:tcPr>
            <w:tcW w:w="875" w:type="dxa"/>
            <w:tcBorders>
              <w:top w:val="nil"/>
              <w:left w:val="nil"/>
              <w:bottom w:val="single" w:sz="4" w:space="0" w:color="000000"/>
              <w:right w:val="nil"/>
            </w:tcBorders>
            <w:shd w:val="clear" w:color="auto" w:fill="auto"/>
            <w:noWrap/>
            <w:vAlign w:val="bottom"/>
            <w:hideMark/>
          </w:tcPr>
          <w:p w14:paraId="68083D6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0.315</w:t>
            </w:r>
          </w:p>
        </w:tc>
        <w:tc>
          <w:tcPr>
            <w:tcW w:w="785" w:type="dxa"/>
            <w:tcBorders>
              <w:top w:val="nil"/>
              <w:left w:val="nil"/>
              <w:bottom w:val="single" w:sz="4" w:space="0" w:color="000000"/>
              <w:right w:val="nil"/>
            </w:tcBorders>
            <w:shd w:val="clear" w:color="auto" w:fill="auto"/>
            <w:noWrap/>
            <w:vAlign w:val="bottom"/>
            <w:hideMark/>
          </w:tcPr>
          <w:p w14:paraId="1F29A87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0.279</w:t>
            </w:r>
          </w:p>
        </w:tc>
      </w:tr>
      <w:tr w:rsidR="008C28EB" w:rsidRPr="008C28EB" w14:paraId="7B795024" w14:textId="77777777" w:rsidTr="00B70718">
        <w:trPr>
          <w:trHeight w:val="255"/>
        </w:trPr>
        <w:tc>
          <w:tcPr>
            <w:tcW w:w="3500" w:type="dxa"/>
            <w:tcBorders>
              <w:top w:val="nil"/>
              <w:left w:val="nil"/>
              <w:bottom w:val="nil"/>
              <w:right w:val="nil"/>
            </w:tcBorders>
            <w:shd w:val="clear" w:color="auto" w:fill="auto"/>
            <w:noWrap/>
            <w:vAlign w:val="bottom"/>
            <w:hideMark/>
          </w:tcPr>
          <w:p w14:paraId="0CE7700B"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Robust standard errors in parentheses</w:t>
            </w:r>
          </w:p>
        </w:tc>
        <w:tc>
          <w:tcPr>
            <w:tcW w:w="965" w:type="dxa"/>
            <w:tcBorders>
              <w:top w:val="nil"/>
              <w:left w:val="nil"/>
              <w:bottom w:val="nil"/>
              <w:right w:val="nil"/>
            </w:tcBorders>
            <w:shd w:val="clear" w:color="auto" w:fill="auto"/>
            <w:noWrap/>
            <w:vAlign w:val="bottom"/>
            <w:hideMark/>
          </w:tcPr>
          <w:p w14:paraId="25C20E58"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20AD103A"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785" w:type="dxa"/>
            <w:tcBorders>
              <w:top w:val="nil"/>
              <w:left w:val="nil"/>
              <w:bottom w:val="nil"/>
              <w:right w:val="nil"/>
            </w:tcBorders>
            <w:shd w:val="clear" w:color="auto" w:fill="auto"/>
            <w:noWrap/>
            <w:vAlign w:val="bottom"/>
            <w:hideMark/>
          </w:tcPr>
          <w:p w14:paraId="2A5434C6" w14:textId="77777777" w:rsidR="007F6BC9" w:rsidRPr="008C28EB" w:rsidRDefault="007F6BC9" w:rsidP="00B70718">
            <w:pPr>
              <w:spacing w:after="0" w:line="240" w:lineRule="auto"/>
              <w:rPr>
                <w:rFonts w:ascii="Times New Roman" w:eastAsia="Times New Roman" w:hAnsi="Times New Roman"/>
                <w:sz w:val="18"/>
                <w:szCs w:val="18"/>
                <w:lang w:val="en-US"/>
              </w:rPr>
            </w:pPr>
          </w:p>
        </w:tc>
      </w:tr>
      <w:tr w:rsidR="007F6BC9" w:rsidRPr="008C28EB" w14:paraId="74FE9445" w14:textId="77777777" w:rsidTr="00B70718">
        <w:trPr>
          <w:trHeight w:val="255"/>
        </w:trPr>
        <w:tc>
          <w:tcPr>
            <w:tcW w:w="3500" w:type="dxa"/>
            <w:tcBorders>
              <w:top w:val="nil"/>
              <w:left w:val="nil"/>
              <w:bottom w:val="nil"/>
              <w:right w:val="nil"/>
            </w:tcBorders>
            <w:shd w:val="clear" w:color="auto" w:fill="auto"/>
            <w:noWrap/>
            <w:vAlign w:val="bottom"/>
            <w:hideMark/>
          </w:tcPr>
          <w:p w14:paraId="78046877"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p&lt;0.01, ** p&lt;0.05, * p&lt;0.1</w:t>
            </w:r>
          </w:p>
        </w:tc>
        <w:tc>
          <w:tcPr>
            <w:tcW w:w="965" w:type="dxa"/>
            <w:tcBorders>
              <w:top w:val="nil"/>
              <w:left w:val="nil"/>
              <w:bottom w:val="nil"/>
              <w:right w:val="nil"/>
            </w:tcBorders>
            <w:shd w:val="clear" w:color="auto" w:fill="auto"/>
            <w:noWrap/>
            <w:vAlign w:val="bottom"/>
            <w:hideMark/>
          </w:tcPr>
          <w:p w14:paraId="5C2892F1"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1B9A0F2E"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785" w:type="dxa"/>
            <w:tcBorders>
              <w:top w:val="nil"/>
              <w:left w:val="nil"/>
              <w:bottom w:val="nil"/>
              <w:right w:val="nil"/>
            </w:tcBorders>
            <w:shd w:val="clear" w:color="auto" w:fill="auto"/>
            <w:noWrap/>
            <w:vAlign w:val="bottom"/>
            <w:hideMark/>
          </w:tcPr>
          <w:p w14:paraId="00451335" w14:textId="77777777" w:rsidR="007F6BC9" w:rsidRPr="008C28EB" w:rsidRDefault="007F6BC9" w:rsidP="00B70718">
            <w:pPr>
              <w:spacing w:after="0" w:line="240" w:lineRule="auto"/>
              <w:rPr>
                <w:rFonts w:ascii="Times New Roman" w:eastAsia="Times New Roman" w:hAnsi="Times New Roman"/>
                <w:sz w:val="18"/>
                <w:szCs w:val="18"/>
                <w:lang w:val="en-US"/>
              </w:rPr>
            </w:pPr>
          </w:p>
        </w:tc>
      </w:tr>
    </w:tbl>
    <w:p w14:paraId="658B07DD" w14:textId="77777777" w:rsidR="007F6BC9" w:rsidRPr="008C28EB" w:rsidRDefault="007F6BC9" w:rsidP="007F6BC9">
      <w:pPr>
        <w:ind w:right="-147"/>
        <w:jc w:val="center"/>
        <w:rPr>
          <w:rFonts w:ascii="Times New Roman" w:hAnsi="Times New Roman"/>
          <w:b/>
          <w:lang w:val="en-US"/>
        </w:rPr>
      </w:pPr>
    </w:p>
    <w:p w14:paraId="21B9879F" w14:textId="77777777" w:rsidR="007F6BC9" w:rsidRPr="008C28EB" w:rsidRDefault="007F6BC9" w:rsidP="007F6BC9">
      <w:pPr>
        <w:ind w:right="-147"/>
        <w:jc w:val="both"/>
        <w:rPr>
          <w:rFonts w:ascii="Times New Roman" w:hAnsi="Times New Roman"/>
          <w:lang w:val="en-US"/>
        </w:rPr>
      </w:pPr>
      <w:r w:rsidRPr="008C28EB">
        <w:rPr>
          <w:rFonts w:ascii="Times New Roman" w:hAnsi="Times New Roman"/>
          <w:lang w:val="en-US"/>
        </w:rPr>
        <w:t xml:space="preserve">Panel B: CAR at the results date as a reaction to the unexpected gap. </w:t>
      </w:r>
    </w:p>
    <w:p w14:paraId="6594AC89" w14:textId="71C610D1" w:rsidR="007F6BC9" w:rsidRPr="008C28EB" w:rsidRDefault="007F6BC9" w:rsidP="007F6BC9">
      <w:pPr>
        <w:ind w:right="-147"/>
        <w:jc w:val="both"/>
        <w:rPr>
          <w:rFonts w:ascii="Times New Roman" w:hAnsi="Times New Roman"/>
          <w:lang w:val="en-US"/>
        </w:rPr>
      </w:pPr>
      <w:r w:rsidRPr="008C28EB">
        <w:rPr>
          <w:rFonts w:ascii="Times New Roman" w:hAnsi="Times New Roman"/>
          <w:lang w:val="en-US"/>
        </w:rPr>
        <w:t>This panel show</w:t>
      </w:r>
      <w:r w:rsidR="00661A6A" w:rsidRPr="008C28EB">
        <w:rPr>
          <w:rFonts w:ascii="Times New Roman" w:hAnsi="Times New Roman"/>
          <w:lang w:val="en-US"/>
        </w:rPr>
        <w:t>s</w:t>
      </w:r>
      <w:r w:rsidRPr="008C28EB">
        <w:rPr>
          <w:rFonts w:ascii="Times New Roman" w:hAnsi="Times New Roman"/>
          <w:lang w:val="en-US"/>
        </w:rPr>
        <w:t xml:space="preserve"> results from running the </w:t>
      </w:r>
      <w:r w:rsidR="00617096">
        <w:rPr>
          <w:rFonts w:ascii="Times New Roman" w:hAnsi="Times New Roman"/>
          <w:lang w:val="en-US"/>
        </w:rPr>
        <w:t>model represented by equation (3</w:t>
      </w:r>
      <w:r w:rsidRPr="008C28EB">
        <w:rPr>
          <w:rFonts w:ascii="Times New Roman" w:hAnsi="Times New Roman"/>
          <w:lang w:val="en-US"/>
        </w:rPr>
        <w:t xml:space="preserve">), in which </w:t>
      </w:r>
      <w:r w:rsidR="00661A6A" w:rsidRPr="008C28EB">
        <w:rPr>
          <w:rFonts w:ascii="Times New Roman" w:hAnsi="Times New Roman"/>
          <w:lang w:val="en-US"/>
        </w:rPr>
        <w:t xml:space="preserve">the </w:t>
      </w:r>
      <w:r w:rsidRPr="008C28EB">
        <w:rPr>
          <w:rFonts w:ascii="Times New Roman" w:hAnsi="Times New Roman"/>
          <w:lang w:val="en-US"/>
        </w:rPr>
        <w:t xml:space="preserve">market reaction at the disclosure of results is regressed </w:t>
      </w:r>
      <w:r w:rsidR="00617096">
        <w:rPr>
          <w:rFonts w:ascii="Times New Roman" w:hAnsi="Times New Roman"/>
          <w:lang w:val="en-US"/>
        </w:rPr>
        <w:t>on</w:t>
      </w:r>
      <w:r w:rsidR="00C077C7" w:rsidRPr="008C28EB">
        <w:rPr>
          <w:rFonts w:ascii="Times New Roman" w:hAnsi="Times New Roman"/>
          <w:lang w:val="en-US"/>
        </w:rPr>
        <w:t xml:space="preserve"> </w:t>
      </w:r>
      <w:r w:rsidRPr="008C28EB">
        <w:rPr>
          <w:rFonts w:ascii="Times New Roman" w:hAnsi="Times New Roman"/>
          <w:lang w:val="en-US"/>
        </w:rPr>
        <w:t xml:space="preserve">the capital shortfall resulting from the CA and the CAR at the announcement date (as a proxy for the expected gap). </w:t>
      </w:r>
    </w:p>
    <w:tbl>
      <w:tblPr>
        <w:tblW w:w="6245" w:type="dxa"/>
        <w:tblInd w:w="56" w:type="dxa"/>
        <w:tblCellMar>
          <w:left w:w="70" w:type="dxa"/>
          <w:right w:w="70" w:type="dxa"/>
        </w:tblCellMar>
        <w:tblLook w:val="04A0" w:firstRow="1" w:lastRow="0" w:firstColumn="1" w:lastColumn="0" w:noHBand="0" w:noVBand="1"/>
      </w:tblPr>
      <w:tblGrid>
        <w:gridCol w:w="3500"/>
        <w:gridCol w:w="875"/>
        <w:gridCol w:w="965"/>
        <w:gridCol w:w="905"/>
      </w:tblGrid>
      <w:tr w:rsidR="007F6BC9" w:rsidRPr="008C28EB" w14:paraId="29F7DFA4" w14:textId="77777777" w:rsidTr="00B70718">
        <w:trPr>
          <w:trHeight w:val="255"/>
        </w:trPr>
        <w:tc>
          <w:tcPr>
            <w:tcW w:w="3500" w:type="dxa"/>
            <w:tcBorders>
              <w:top w:val="single" w:sz="4" w:space="0" w:color="000000"/>
              <w:left w:val="nil"/>
              <w:bottom w:val="nil"/>
              <w:right w:val="nil"/>
            </w:tcBorders>
            <w:shd w:val="clear" w:color="auto" w:fill="auto"/>
            <w:noWrap/>
            <w:vAlign w:val="bottom"/>
            <w:hideMark/>
          </w:tcPr>
          <w:p w14:paraId="13ABF271"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875" w:type="dxa"/>
            <w:tcBorders>
              <w:top w:val="single" w:sz="4" w:space="0" w:color="000000"/>
              <w:left w:val="nil"/>
              <w:bottom w:val="nil"/>
              <w:right w:val="nil"/>
            </w:tcBorders>
            <w:shd w:val="clear" w:color="auto" w:fill="auto"/>
            <w:noWrap/>
            <w:vAlign w:val="bottom"/>
            <w:hideMark/>
          </w:tcPr>
          <w:p w14:paraId="46809764"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w:t>
            </w:r>
          </w:p>
        </w:tc>
        <w:tc>
          <w:tcPr>
            <w:tcW w:w="965" w:type="dxa"/>
            <w:tcBorders>
              <w:top w:val="single" w:sz="4" w:space="0" w:color="000000"/>
              <w:left w:val="nil"/>
              <w:bottom w:val="nil"/>
              <w:right w:val="nil"/>
            </w:tcBorders>
            <w:shd w:val="clear" w:color="auto" w:fill="auto"/>
            <w:noWrap/>
            <w:vAlign w:val="bottom"/>
            <w:hideMark/>
          </w:tcPr>
          <w:p w14:paraId="4E3CB5F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(2)</w:t>
            </w:r>
          </w:p>
        </w:tc>
        <w:tc>
          <w:tcPr>
            <w:tcW w:w="905" w:type="dxa"/>
            <w:tcBorders>
              <w:top w:val="single" w:sz="4" w:space="0" w:color="000000"/>
              <w:left w:val="nil"/>
              <w:bottom w:val="nil"/>
              <w:right w:val="nil"/>
            </w:tcBorders>
            <w:shd w:val="clear" w:color="auto" w:fill="auto"/>
            <w:noWrap/>
            <w:vAlign w:val="bottom"/>
            <w:hideMark/>
          </w:tcPr>
          <w:p w14:paraId="0A1D880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(3)</w:t>
            </w:r>
          </w:p>
        </w:tc>
      </w:tr>
      <w:tr w:rsidR="007F6BC9" w:rsidRPr="008C28EB" w14:paraId="3C023603" w14:textId="77777777" w:rsidTr="00B70718">
        <w:trPr>
          <w:trHeight w:val="255"/>
        </w:trPr>
        <w:tc>
          <w:tcPr>
            <w:tcW w:w="3500" w:type="dxa"/>
            <w:tcBorders>
              <w:top w:val="nil"/>
              <w:left w:val="nil"/>
              <w:bottom w:val="nil"/>
              <w:right w:val="nil"/>
            </w:tcBorders>
            <w:shd w:val="clear" w:color="auto" w:fill="auto"/>
            <w:noWrap/>
            <w:vAlign w:val="bottom"/>
            <w:hideMark/>
          </w:tcPr>
          <w:p w14:paraId="254B566B"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Y= CAR</w:t>
            </w:r>
            <w:r w:rsidRPr="008C28EB">
              <w:rPr>
                <w:rFonts w:ascii="Times New Roman" w:eastAsia="Times New Roman" w:hAnsi="Times New Roman"/>
                <w:sz w:val="18"/>
                <w:szCs w:val="18"/>
                <w:vertAlign w:val="superscript"/>
                <w:lang w:val="en-US"/>
              </w:rPr>
              <w:t>r</w:t>
            </w:r>
          </w:p>
        </w:tc>
        <w:tc>
          <w:tcPr>
            <w:tcW w:w="875" w:type="dxa"/>
            <w:tcBorders>
              <w:top w:val="nil"/>
              <w:left w:val="nil"/>
              <w:bottom w:val="nil"/>
              <w:right w:val="nil"/>
            </w:tcBorders>
            <w:shd w:val="clear" w:color="auto" w:fill="auto"/>
            <w:noWrap/>
            <w:vAlign w:val="bottom"/>
            <w:hideMark/>
          </w:tcPr>
          <w:p w14:paraId="563F176B"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(0;0)</w:t>
            </w:r>
          </w:p>
        </w:tc>
        <w:tc>
          <w:tcPr>
            <w:tcW w:w="965" w:type="dxa"/>
            <w:tcBorders>
              <w:top w:val="nil"/>
              <w:left w:val="nil"/>
              <w:bottom w:val="nil"/>
              <w:right w:val="nil"/>
            </w:tcBorders>
            <w:shd w:val="clear" w:color="auto" w:fill="auto"/>
            <w:noWrap/>
            <w:vAlign w:val="bottom"/>
            <w:hideMark/>
          </w:tcPr>
          <w:p w14:paraId="4D7247D3"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w:t>
            </w:r>
          </w:p>
        </w:tc>
        <w:tc>
          <w:tcPr>
            <w:tcW w:w="905" w:type="dxa"/>
            <w:tcBorders>
              <w:top w:val="nil"/>
              <w:left w:val="nil"/>
              <w:bottom w:val="nil"/>
              <w:right w:val="nil"/>
            </w:tcBorders>
            <w:shd w:val="clear" w:color="auto" w:fill="auto"/>
            <w:noWrap/>
            <w:vAlign w:val="bottom"/>
            <w:hideMark/>
          </w:tcPr>
          <w:p w14:paraId="343A4F5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(1;1)</w:t>
            </w:r>
          </w:p>
        </w:tc>
      </w:tr>
      <w:tr w:rsidR="007F6BC9" w:rsidRPr="008C28EB" w14:paraId="0BA177D4" w14:textId="77777777" w:rsidTr="00B70718">
        <w:trPr>
          <w:trHeight w:val="255"/>
        </w:trPr>
        <w:tc>
          <w:tcPr>
            <w:tcW w:w="3500" w:type="dxa"/>
            <w:tcBorders>
              <w:top w:val="single" w:sz="4" w:space="0" w:color="000000"/>
              <w:left w:val="nil"/>
              <w:bottom w:val="nil"/>
              <w:right w:val="nil"/>
            </w:tcBorders>
            <w:shd w:val="clear" w:color="auto" w:fill="auto"/>
            <w:noWrap/>
            <w:vAlign w:val="bottom"/>
            <w:hideMark/>
          </w:tcPr>
          <w:p w14:paraId="3BDEEB87"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875" w:type="dxa"/>
            <w:tcBorders>
              <w:top w:val="single" w:sz="4" w:space="0" w:color="000000"/>
              <w:left w:val="nil"/>
              <w:bottom w:val="nil"/>
              <w:right w:val="nil"/>
            </w:tcBorders>
            <w:shd w:val="clear" w:color="auto" w:fill="auto"/>
            <w:noWrap/>
            <w:vAlign w:val="bottom"/>
            <w:hideMark/>
          </w:tcPr>
          <w:p w14:paraId="71FE7D18"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965" w:type="dxa"/>
            <w:tcBorders>
              <w:top w:val="single" w:sz="4" w:space="0" w:color="000000"/>
              <w:left w:val="nil"/>
              <w:bottom w:val="nil"/>
              <w:right w:val="nil"/>
            </w:tcBorders>
            <w:shd w:val="clear" w:color="auto" w:fill="auto"/>
            <w:noWrap/>
            <w:vAlign w:val="bottom"/>
            <w:hideMark/>
          </w:tcPr>
          <w:p w14:paraId="4B1206DE"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c>
          <w:tcPr>
            <w:tcW w:w="905" w:type="dxa"/>
            <w:tcBorders>
              <w:top w:val="single" w:sz="4" w:space="0" w:color="000000"/>
              <w:left w:val="nil"/>
              <w:bottom w:val="nil"/>
              <w:right w:val="nil"/>
            </w:tcBorders>
            <w:shd w:val="clear" w:color="auto" w:fill="auto"/>
            <w:noWrap/>
            <w:vAlign w:val="bottom"/>
            <w:hideMark/>
          </w:tcPr>
          <w:p w14:paraId="0D9E43F3"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w:t>
            </w:r>
          </w:p>
        </w:tc>
      </w:tr>
      <w:tr w:rsidR="007F6BC9" w:rsidRPr="008C28EB" w14:paraId="28217ED9" w14:textId="77777777" w:rsidTr="00B70718">
        <w:trPr>
          <w:trHeight w:val="255"/>
        </w:trPr>
        <w:tc>
          <w:tcPr>
            <w:tcW w:w="3500" w:type="dxa"/>
            <w:tcBorders>
              <w:top w:val="nil"/>
              <w:left w:val="nil"/>
              <w:bottom w:val="nil"/>
              <w:right w:val="nil"/>
            </w:tcBorders>
            <w:shd w:val="clear" w:color="auto" w:fill="auto"/>
            <w:noWrap/>
            <w:vAlign w:val="bottom"/>
            <w:hideMark/>
          </w:tcPr>
          <w:p w14:paraId="4C7EBC7B"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GAP</w:t>
            </w:r>
          </w:p>
        </w:tc>
        <w:tc>
          <w:tcPr>
            <w:tcW w:w="875" w:type="dxa"/>
            <w:tcBorders>
              <w:top w:val="nil"/>
              <w:left w:val="nil"/>
              <w:bottom w:val="nil"/>
              <w:right w:val="nil"/>
            </w:tcBorders>
            <w:shd w:val="clear" w:color="auto" w:fill="auto"/>
            <w:noWrap/>
            <w:vAlign w:val="bottom"/>
            <w:hideMark/>
          </w:tcPr>
          <w:p w14:paraId="3511AAED"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-0.761*</w:t>
            </w:r>
          </w:p>
        </w:tc>
        <w:tc>
          <w:tcPr>
            <w:tcW w:w="965" w:type="dxa"/>
            <w:tcBorders>
              <w:top w:val="nil"/>
              <w:left w:val="nil"/>
              <w:bottom w:val="nil"/>
              <w:right w:val="nil"/>
            </w:tcBorders>
            <w:shd w:val="clear" w:color="auto" w:fill="auto"/>
            <w:noWrap/>
            <w:vAlign w:val="bottom"/>
            <w:hideMark/>
          </w:tcPr>
          <w:p w14:paraId="01D723B0"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-0.827**</w:t>
            </w:r>
          </w:p>
        </w:tc>
        <w:tc>
          <w:tcPr>
            <w:tcW w:w="905" w:type="dxa"/>
            <w:tcBorders>
              <w:top w:val="nil"/>
              <w:left w:val="nil"/>
              <w:bottom w:val="nil"/>
              <w:right w:val="nil"/>
            </w:tcBorders>
            <w:shd w:val="clear" w:color="auto" w:fill="auto"/>
            <w:noWrap/>
            <w:vAlign w:val="bottom"/>
            <w:hideMark/>
          </w:tcPr>
          <w:p w14:paraId="3580C56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-0.727**</w:t>
            </w:r>
          </w:p>
        </w:tc>
      </w:tr>
      <w:tr w:rsidR="007F6BC9" w:rsidRPr="008C28EB" w14:paraId="6765C866" w14:textId="77777777" w:rsidTr="00B70718">
        <w:trPr>
          <w:trHeight w:val="255"/>
        </w:trPr>
        <w:tc>
          <w:tcPr>
            <w:tcW w:w="3500" w:type="dxa"/>
            <w:tcBorders>
              <w:top w:val="nil"/>
              <w:left w:val="nil"/>
              <w:bottom w:val="nil"/>
              <w:right w:val="nil"/>
            </w:tcBorders>
            <w:shd w:val="clear" w:color="auto" w:fill="auto"/>
            <w:noWrap/>
            <w:vAlign w:val="bottom"/>
            <w:hideMark/>
          </w:tcPr>
          <w:p w14:paraId="280C1C6E"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73AB7A61"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(0.382)</w:t>
            </w:r>
          </w:p>
        </w:tc>
        <w:tc>
          <w:tcPr>
            <w:tcW w:w="965" w:type="dxa"/>
            <w:tcBorders>
              <w:top w:val="nil"/>
              <w:left w:val="nil"/>
              <w:bottom w:val="nil"/>
              <w:right w:val="nil"/>
            </w:tcBorders>
            <w:shd w:val="clear" w:color="auto" w:fill="auto"/>
            <w:noWrap/>
            <w:vAlign w:val="bottom"/>
            <w:hideMark/>
          </w:tcPr>
          <w:p w14:paraId="1482D3F3"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(0.360)</w:t>
            </w:r>
          </w:p>
        </w:tc>
        <w:tc>
          <w:tcPr>
            <w:tcW w:w="905" w:type="dxa"/>
            <w:tcBorders>
              <w:top w:val="nil"/>
              <w:left w:val="nil"/>
              <w:bottom w:val="nil"/>
              <w:right w:val="nil"/>
            </w:tcBorders>
            <w:shd w:val="clear" w:color="auto" w:fill="auto"/>
            <w:noWrap/>
            <w:vAlign w:val="bottom"/>
            <w:hideMark/>
          </w:tcPr>
          <w:p w14:paraId="7A09DCBA"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(0.302)</w:t>
            </w:r>
          </w:p>
        </w:tc>
      </w:tr>
      <w:tr w:rsidR="007F6BC9" w:rsidRPr="008C28EB" w14:paraId="721AEF41" w14:textId="77777777" w:rsidTr="00B70718">
        <w:trPr>
          <w:trHeight w:val="255"/>
        </w:trPr>
        <w:tc>
          <w:tcPr>
            <w:tcW w:w="3500" w:type="dxa"/>
            <w:tcBorders>
              <w:top w:val="nil"/>
              <w:left w:val="nil"/>
              <w:bottom w:val="nil"/>
              <w:right w:val="nil"/>
            </w:tcBorders>
            <w:shd w:val="clear" w:color="auto" w:fill="auto"/>
            <w:noWrap/>
            <w:vAlign w:val="bottom"/>
            <w:hideMark/>
          </w:tcPr>
          <w:p w14:paraId="46C5E292"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CAR</w:t>
            </w:r>
            <w:r w:rsidRPr="008C28EB">
              <w:rPr>
                <w:rFonts w:ascii="Times New Roman" w:eastAsia="Times New Roman" w:hAnsi="Times New Roman"/>
                <w:sz w:val="18"/>
                <w:szCs w:val="18"/>
                <w:vertAlign w:val="superscript"/>
                <w:lang w:val="en-US"/>
              </w:rPr>
              <w:t>α</w:t>
            </w:r>
          </w:p>
        </w:tc>
        <w:tc>
          <w:tcPr>
            <w:tcW w:w="875" w:type="dxa"/>
            <w:tcBorders>
              <w:top w:val="nil"/>
              <w:left w:val="nil"/>
              <w:bottom w:val="nil"/>
              <w:right w:val="nil"/>
            </w:tcBorders>
            <w:shd w:val="clear" w:color="auto" w:fill="auto"/>
            <w:noWrap/>
            <w:vAlign w:val="bottom"/>
            <w:hideMark/>
          </w:tcPr>
          <w:p w14:paraId="3091DBF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0.553**</w:t>
            </w:r>
          </w:p>
        </w:tc>
        <w:tc>
          <w:tcPr>
            <w:tcW w:w="965" w:type="dxa"/>
            <w:tcBorders>
              <w:top w:val="nil"/>
              <w:left w:val="nil"/>
              <w:bottom w:val="nil"/>
              <w:right w:val="nil"/>
            </w:tcBorders>
            <w:shd w:val="clear" w:color="auto" w:fill="auto"/>
            <w:noWrap/>
            <w:vAlign w:val="bottom"/>
            <w:hideMark/>
          </w:tcPr>
          <w:p w14:paraId="66B1A11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0.446**</w:t>
            </w:r>
          </w:p>
        </w:tc>
        <w:tc>
          <w:tcPr>
            <w:tcW w:w="905" w:type="dxa"/>
            <w:tcBorders>
              <w:top w:val="nil"/>
              <w:left w:val="nil"/>
              <w:bottom w:val="nil"/>
              <w:right w:val="nil"/>
            </w:tcBorders>
            <w:shd w:val="clear" w:color="auto" w:fill="auto"/>
            <w:noWrap/>
            <w:vAlign w:val="bottom"/>
            <w:hideMark/>
          </w:tcPr>
          <w:p w14:paraId="477F1A2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0.598***</w:t>
            </w:r>
          </w:p>
        </w:tc>
      </w:tr>
      <w:tr w:rsidR="007F6BC9" w:rsidRPr="008C28EB" w14:paraId="57AA6534" w14:textId="77777777" w:rsidTr="00B70718">
        <w:trPr>
          <w:trHeight w:val="255"/>
        </w:trPr>
        <w:tc>
          <w:tcPr>
            <w:tcW w:w="3500" w:type="dxa"/>
            <w:tcBorders>
              <w:top w:val="nil"/>
              <w:left w:val="nil"/>
              <w:bottom w:val="nil"/>
              <w:right w:val="nil"/>
            </w:tcBorders>
            <w:shd w:val="clear" w:color="auto" w:fill="auto"/>
            <w:noWrap/>
            <w:vAlign w:val="bottom"/>
            <w:hideMark/>
          </w:tcPr>
          <w:p w14:paraId="0E598D72"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1C941992"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(0.233)</w:t>
            </w:r>
          </w:p>
        </w:tc>
        <w:tc>
          <w:tcPr>
            <w:tcW w:w="965" w:type="dxa"/>
            <w:tcBorders>
              <w:top w:val="nil"/>
              <w:left w:val="nil"/>
              <w:bottom w:val="nil"/>
              <w:right w:val="nil"/>
            </w:tcBorders>
            <w:shd w:val="clear" w:color="auto" w:fill="auto"/>
            <w:noWrap/>
            <w:vAlign w:val="bottom"/>
            <w:hideMark/>
          </w:tcPr>
          <w:p w14:paraId="78A5B0A1"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(0.216)</w:t>
            </w:r>
          </w:p>
        </w:tc>
        <w:tc>
          <w:tcPr>
            <w:tcW w:w="905" w:type="dxa"/>
            <w:tcBorders>
              <w:top w:val="nil"/>
              <w:left w:val="nil"/>
              <w:bottom w:val="nil"/>
              <w:right w:val="nil"/>
            </w:tcBorders>
            <w:shd w:val="clear" w:color="auto" w:fill="auto"/>
            <w:noWrap/>
            <w:vAlign w:val="bottom"/>
            <w:hideMark/>
          </w:tcPr>
          <w:p w14:paraId="07761258"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(0.147)</w:t>
            </w:r>
          </w:p>
        </w:tc>
      </w:tr>
      <w:tr w:rsidR="007F6BC9" w:rsidRPr="008C28EB" w14:paraId="6813FF93" w14:textId="77777777" w:rsidTr="00B70718">
        <w:trPr>
          <w:trHeight w:val="255"/>
        </w:trPr>
        <w:tc>
          <w:tcPr>
            <w:tcW w:w="3500" w:type="dxa"/>
            <w:tcBorders>
              <w:top w:val="nil"/>
              <w:left w:val="nil"/>
              <w:bottom w:val="nil"/>
              <w:right w:val="nil"/>
            </w:tcBorders>
            <w:shd w:val="clear" w:color="auto" w:fill="auto"/>
            <w:noWrap/>
            <w:vAlign w:val="bottom"/>
            <w:hideMark/>
          </w:tcPr>
          <w:p w14:paraId="3EF94E50"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Control</w:t>
            </w:r>
          </w:p>
        </w:tc>
        <w:tc>
          <w:tcPr>
            <w:tcW w:w="875" w:type="dxa"/>
            <w:tcBorders>
              <w:top w:val="nil"/>
              <w:left w:val="nil"/>
              <w:bottom w:val="nil"/>
              <w:right w:val="nil"/>
            </w:tcBorders>
            <w:shd w:val="clear" w:color="auto" w:fill="auto"/>
            <w:noWrap/>
            <w:vAlign w:val="bottom"/>
            <w:hideMark/>
          </w:tcPr>
          <w:p w14:paraId="7D3E2568"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2.323**</w:t>
            </w:r>
          </w:p>
        </w:tc>
        <w:tc>
          <w:tcPr>
            <w:tcW w:w="965" w:type="dxa"/>
            <w:tcBorders>
              <w:top w:val="nil"/>
              <w:left w:val="nil"/>
              <w:bottom w:val="nil"/>
              <w:right w:val="nil"/>
            </w:tcBorders>
            <w:shd w:val="clear" w:color="auto" w:fill="auto"/>
            <w:noWrap/>
            <w:vAlign w:val="bottom"/>
            <w:hideMark/>
          </w:tcPr>
          <w:p w14:paraId="542DF88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2.632**</w:t>
            </w:r>
          </w:p>
        </w:tc>
        <w:tc>
          <w:tcPr>
            <w:tcW w:w="905" w:type="dxa"/>
            <w:tcBorders>
              <w:top w:val="nil"/>
              <w:left w:val="nil"/>
              <w:bottom w:val="nil"/>
              <w:right w:val="nil"/>
            </w:tcBorders>
            <w:shd w:val="clear" w:color="auto" w:fill="auto"/>
            <w:noWrap/>
            <w:vAlign w:val="bottom"/>
            <w:hideMark/>
          </w:tcPr>
          <w:p w14:paraId="02A3FC5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1.196</w:t>
            </w:r>
          </w:p>
        </w:tc>
      </w:tr>
      <w:tr w:rsidR="007F6BC9" w:rsidRPr="008C28EB" w14:paraId="23BAD47B" w14:textId="77777777" w:rsidTr="00B70718">
        <w:trPr>
          <w:trHeight w:val="255"/>
        </w:trPr>
        <w:tc>
          <w:tcPr>
            <w:tcW w:w="3500" w:type="dxa"/>
            <w:tcBorders>
              <w:top w:val="nil"/>
              <w:left w:val="nil"/>
              <w:bottom w:val="nil"/>
              <w:right w:val="nil"/>
            </w:tcBorders>
            <w:shd w:val="clear" w:color="auto" w:fill="auto"/>
            <w:noWrap/>
            <w:vAlign w:val="bottom"/>
            <w:hideMark/>
          </w:tcPr>
          <w:p w14:paraId="62409B2C"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638DBF9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(1.104)</w:t>
            </w:r>
          </w:p>
        </w:tc>
        <w:tc>
          <w:tcPr>
            <w:tcW w:w="965" w:type="dxa"/>
            <w:tcBorders>
              <w:top w:val="nil"/>
              <w:left w:val="nil"/>
              <w:bottom w:val="nil"/>
              <w:right w:val="nil"/>
            </w:tcBorders>
            <w:shd w:val="clear" w:color="auto" w:fill="auto"/>
            <w:noWrap/>
            <w:vAlign w:val="bottom"/>
            <w:hideMark/>
          </w:tcPr>
          <w:p w14:paraId="4FFD326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(1.132)</w:t>
            </w:r>
          </w:p>
        </w:tc>
        <w:tc>
          <w:tcPr>
            <w:tcW w:w="905" w:type="dxa"/>
            <w:tcBorders>
              <w:top w:val="nil"/>
              <w:left w:val="nil"/>
              <w:bottom w:val="nil"/>
              <w:right w:val="nil"/>
            </w:tcBorders>
            <w:shd w:val="clear" w:color="auto" w:fill="auto"/>
            <w:noWrap/>
            <w:vAlign w:val="bottom"/>
            <w:hideMark/>
          </w:tcPr>
          <w:p w14:paraId="3F831B4B"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(0.880)</w:t>
            </w:r>
          </w:p>
        </w:tc>
      </w:tr>
      <w:tr w:rsidR="007F6BC9" w:rsidRPr="008C28EB" w14:paraId="356FB45C" w14:textId="77777777" w:rsidTr="00B70718">
        <w:trPr>
          <w:trHeight w:val="255"/>
        </w:trPr>
        <w:tc>
          <w:tcPr>
            <w:tcW w:w="3500" w:type="dxa"/>
            <w:tcBorders>
              <w:top w:val="nil"/>
              <w:left w:val="nil"/>
              <w:bottom w:val="nil"/>
              <w:right w:val="nil"/>
            </w:tcBorders>
            <w:shd w:val="clear" w:color="auto" w:fill="auto"/>
            <w:noWrap/>
            <w:vAlign w:val="bottom"/>
            <w:hideMark/>
          </w:tcPr>
          <w:p w14:paraId="51762A0E" w14:textId="77777777" w:rsidR="007F6BC9" w:rsidRPr="008C28EB" w:rsidRDefault="00C940ED"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C</w:t>
            </w:r>
            <w:r w:rsidR="007F6BC9" w:rsidRPr="008C28EB">
              <w:rPr>
                <w:rFonts w:ascii="Times New Roman" w:eastAsia="Times New Roman" w:hAnsi="Times New Roman"/>
                <w:sz w:val="18"/>
                <w:szCs w:val="18"/>
                <w:lang w:val="en-US"/>
              </w:rPr>
              <w:t>onstant</w:t>
            </w:r>
          </w:p>
        </w:tc>
        <w:tc>
          <w:tcPr>
            <w:tcW w:w="875" w:type="dxa"/>
            <w:tcBorders>
              <w:top w:val="nil"/>
              <w:left w:val="nil"/>
              <w:bottom w:val="nil"/>
              <w:right w:val="nil"/>
            </w:tcBorders>
            <w:shd w:val="clear" w:color="auto" w:fill="auto"/>
            <w:noWrap/>
            <w:vAlign w:val="bottom"/>
            <w:hideMark/>
          </w:tcPr>
          <w:p w14:paraId="3D383DD8"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-0.393**</w:t>
            </w:r>
          </w:p>
        </w:tc>
        <w:tc>
          <w:tcPr>
            <w:tcW w:w="965" w:type="dxa"/>
            <w:tcBorders>
              <w:top w:val="nil"/>
              <w:left w:val="nil"/>
              <w:bottom w:val="nil"/>
              <w:right w:val="nil"/>
            </w:tcBorders>
            <w:shd w:val="clear" w:color="auto" w:fill="auto"/>
            <w:noWrap/>
            <w:vAlign w:val="bottom"/>
            <w:hideMark/>
          </w:tcPr>
          <w:p w14:paraId="31A94A62"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-0.480***</w:t>
            </w:r>
          </w:p>
        </w:tc>
        <w:tc>
          <w:tcPr>
            <w:tcW w:w="905" w:type="dxa"/>
            <w:tcBorders>
              <w:top w:val="nil"/>
              <w:left w:val="nil"/>
              <w:bottom w:val="nil"/>
              <w:right w:val="nil"/>
            </w:tcBorders>
            <w:shd w:val="clear" w:color="auto" w:fill="auto"/>
            <w:noWrap/>
            <w:vAlign w:val="bottom"/>
            <w:hideMark/>
          </w:tcPr>
          <w:p w14:paraId="46974CF2"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-0.201</w:t>
            </w:r>
          </w:p>
        </w:tc>
      </w:tr>
      <w:tr w:rsidR="007F6BC9" w:rsidRPr="008C28EB" w14:paraId="479FD76B" w14:textId="77777777" w:rsidTr="00B70718">
        <w:trPr>
          <w:trHeight w:val="255"/>
        </w:trPr>
        <w:tc>
          <w:tcPr>
            <w:tcW w:w="3500" w:type="dxa"/>
            <w:tcBorders>
              <w:top w:val="nil"/>
              <w:left w:val="nil"/>
              <w:bottom w:val="nil"/>
              <w:right w:val="nil"/>
            </w:tcBorders>
            <w:shd w:val="clear" w:color="auto" w:fill="auto"/>
            <w:noWrap/>
            <w:vAlign w:val="bottom"/>
            <w:hideMark/>
          </w:tcPr>
          <w:p w14:paraId="1966FC19"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1EE21A49"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(0.183)</w:t>
            </w:r>
          </w:p>
        </w:tc>
        <w:tc>
          <w:tcPr>
            <w:tcW w:w="965" w:type="dxa"/>
            <w:tcBorders>
              <w:top w:val="nil"/>
              <w:left w:val="nil"/>
              <w:bottom w:val="nil"/>
              <w:right w:val="nil"/>
            </w:tcBorders>
            <w:shd w:val="clear" w:color="auto" w:fill="auto"/>
            <w:noWrap/>
            <w:vAlign w:val="bottom"/>
            <w:hideMark/>
          </w:tcPr>
          <w:p w14:paraId="631715C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(0.167)</w:t>
            </w:r>
          </w:p>
        </w:tc>
        <w:tc>
          <w:tcPr>
            <w:tcW w:w="905" w:type="dxa"/>
            <w:tcBorders>
              <w:top w:val="nil"/>
              <w:left w:val="nil"/>
              <w:bottom w:val="nil"/>
              <w:right w:val="nil"/>
            </w:tcBorders>
            <w:shd w:val="clear" w:color="auto" w:fill="auto"/>
            <w:noWrap/>
            <w:vAlign w:val="bottom"/>
            <w:hideMark/>
          </w:tcPr>
          <w:p w14:paraId="07AB09B3"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(0.176)</w:t>
            </w:r>
          </w:p>
        </w:tc>
      </w:tr>
      <w:tr w:rsidR="007F6BC9" w:rsidRPr="008C28EB" w14:paraId="0FEFA58F" w14:textId="77777777" w:rsidTr="00B70718">
        <w:trPr>
          <w:trHeight w:val="255"/>
        </w:trPr>
        <w:tc>
          <w:tcPr>
            <w:tcW w:w="3500" w:type="dxa"/>
            <w:tcBorders>
              <w:top w:val="nil"/>
              <w:left w:val="nil"/>
              <w:bottom w:val="nil"/>
              <w:right w:val="nil"/>
            </w:tcBorders>
            <w:shd w:val="clear" w:color="auto" w:fill="auto"/>
            <w:noWrap/>
            <w:vAlign w:val="bottom"/>
            <w:hideMark/>
          </w:tcPr>
          <w:p w14:paraId="5A17F0F9"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875" w:type="dxa"/>
            <w:tcBorders>
              <w:top w:val="nil"/>
              <w:left w:val="nil"/>
              <w:bottom w:val="nil"/>
              <w:right w:val="nil"/>
            </w:tcBorders>
            <w:shd w:val="clear" w:color="auto" w:fill="auto"/>
            <w:noWrap/>
            <w:vAlign w:val="bottom"/>
            <w:hideMark/>
          </w:tcPr>
          <w:p w14:paraId="638456C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p>
        </w:tc>
        <w:tc>
          <w:tcPr>
            <w:tcW w:w="965" w:type="dxa"/>
            <w:tcBorders>
              <w:top w:val="nil"/>
              <w:left w:val="nil"/>
              <w:bottom w:val="nil"/>
              <w:right w:val="nil"/>
            </w:tcBorders>
            <w:shd w:val="clear" w:color="auto" w:fill="auto"/>
            <w:noWrap/>
            <w:vAlign w:val="bottom"/>
            <w:hideMark/>
          </w:tcPr>
          <w:p w14:paraId="6701CD5C"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p>
        </w:tc>
        <w:tc>
          <w:tcPr>
            <w:tcW w:w="905" w:type="dxa"/>
            <w:tcBorders>
              <w:top w:val="nil"/>
              <w:left w:val="nil"/>
              <w:bottom w:val="nil"/>
              <w:right w:val="nil"/>
            </w:tcBorders>
            <w:shd w:val="clear" w:color="auto" w:fill="auto"/>
            <w:noWrap/>
            <w:vAlign w:val="bottom"/>
            <w:hideMark/>
          </w:tcPr>
          <w:p w14:paraId="4B301DA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p>
        </w:tc>
      </w:tr>
      <w:tr w:rsidR="007F6BC9" w:rsidRPr="008C28EB" w14:paraId="3E1BE79D" w14:textId="77777777" w:rsidTr="00B70718">
        <w:trPr>
          <w:trHeight w:val="255"/>
        </w:trPr>
        <w:tc>
          <w:tcPr>
            <w:tcW w:w="3500" w:type="dxa"/>
            <w:tcBorders>
              <w:top w:val="nil"/>
              <w:left w:val="nil"/>
              <w:bottom w:val="nil"/>
              <w:right w:val="nil"/>
            </w:tcBorders>
            <w:shd w:val="clear" w:color="auto" w:fill="auto"/>
            <w:noWrap/>
            <w:vAlign w:val="bottom"/>
            <w:hideMark/>
          </w:tcPr>
          <w:p w14:paraId="77AF1066"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Observations</w:t>
            </w:r>
          </w:p>
        </w:tc>
        <w:tc>
          <w:tcPr>
            <w:tcW w:w="875" w:type="dxa"/>
            <w:tcBorders>
              <w:top w:val="nil"/>
              <w:left w:val="nil"/>
              <w:bottom w:val="nil"/>
              <w:right w:val="nil"/>
            </w:tcBorders>
            <w:shd w:val="clear" w:color="auto" w:fill="auto"/>
            <w:noWrap/>
            <w:vAlign w:val="bottom"/>
            <w:hideMark/>
          </w:tcPr>
          <w:p w14:paraId="121514C4"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44</w:t>
            </w:r>
          </w:p>
        </w:tc>
        <w:tc>
          <w:tcPr>
            <w:tcW w:w="965" w:type="dxa"/>
            <w:tcBorders>
              <w:top w:val="nil"/>
              <w:left w:val="nil"/>
              <w:bottom w:val="nil"/>
              <w:right w:val="nil"/>
            </w:tcBorders>
            <w:shd w:val="clear" w:color="auto" w:fill="auto"/>
            <w:noWrap/>
            <w:vAlign w:val="bottom"/>
            <w:hideMark/>
          </w:tcPr>
          <w:p w14:paraId="4DCA527B"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44</w:t>
            </w:r>
          </w:p>
        </w:tc>
        <w:tc>
          <w:tcPr>
            <w:tcW w:w="905" w:type="dxa"/>
            <w:tcBorders>
              <w:top w:val="nil"/>
              <w:left w:val="nil"/>
              <w:bottom w:val="nil"/>
              <w:right w:val="nil"/>
            </w:tcBorders>
            <w:shd w:val="clear" w:color="auto" w:fill="auto"/>
            <w:noWrap/>
            <w:vAlign w:val="bottom"/>
            <w:hideMark/>
          </w:tcPr>
          <w:p w14:paraId="65CB2A1F"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44</w:t>
            </w:r>
          </w:p>
        </w:tc>
      </w:tr>
      <w:tr w:rsidR="007F6BC9" w:rsidRPr="008C28EB" w14:paraId="75DB27FC" w14:textId="77777777" w:rsidTr="00B70718">
        <w:trPr>
          <w:trHeight w:val="255"/>
        </w:trPr>
        <w:tc>
          <w:tcPr>
            <w:tcW w:w="3500" w:type="dxa"/>
            <w:tcBorders>
              <w:top w:val="nil"/>
              <w:left w:val="nil"/>
              <w:bottom w:val="single" w:sz="4" w:space="0" w:color="000000"/>
              <w:right w:val="nil"/>
            </w:tcBorders>
            <w:shd w:val="clear" w:color="auto" w:fill="auto"/>
            <w:noWrap/>
            <w:vAlign w:val="bottom"/>
            <w:hideMark/>
          </w:tcPr>
          <w:p w14:paraId="4F9151A5"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R-squared</w:t>
            </w:r>
          </w:p>
        </w:tc>
        <w:tc>
          <w:tcPr>
            <w:tcW w:w="875" w:type="dxa"/>
            <w:tcBorders>
              <w:top w:val="nil"/>
              <w:left w:val="nil"/>
              <w:bottom w:val="single" w:sz="4" w:space="0" w:color="000000"/>
              <w:right w:val="nil"/>
            </w:tcBorders>
            <w:shd w:val="clear" w:color="auto" w:fill="auto"/>
            <w:noWrap/>
            <w:vAlign w:val="bottom"/>
            <w:hideMark/>
          </w:tcPr>
          <w:p w14:paraId="14F5F817"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0.455</w:t>
            </w:r>
          </w:p>
        </w:tc>
        <w:tc>
          <w:tcPr>
            <w:tcW w:w="965" w:type="dxa"/>
            <w:tcBorders>
              <w:top w:val="nil"/>
              <w:left w:val="nil"/>
              <w:bottom w:val="single" w:sz="4" w:space="0" w:color="000000"/>
              <w:right w:val="nil"/>
            </w:tcBorders>
            <w:shd w:val="clear" w:color="auto" w:fill="auto"/>
            <w:noWrap/>
            <w:vAlign w:val="bottom"/>
            <w:hideMark/>
          </w:tcPr>
          <w:p w14:paraId="3B3B5955"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0.456</w:t>
            </w:r>
          </w:p>
        </w:tc>
        <w:tc>
          <w:tcPr>
            <w:tcW w:w="905" w:type="dxa"/>
            <w:tcBorders>
              <w:top w:val="nil"/>
              <w:left w:val="nil"/>
              <w:bottom w:val="single" w:sz="4" w:space="0" w:color="000000"/>
              <w:right w:val="nil"/>
            </w:tcBorders>
            <w:shd w:val="clear" w:color="auto" w:fill="auto"/>
            <w:noWrap/>
            <w:vAlign w:val="bottom"/>
            <w:hideMark/>
          </w:tcPr>
          <w:p w14:paraId="6EDED696" w14:textId="77777777" w:rsidR="007F6BC9" w:rsidRPr="008C28EB" w:rsidRDefault="007F6BC9" w:rsidP="00B70718">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0.434</w:t>
            </w:r>
          </w:p>
        </w:tc>
      </w:tr>
      <w:tr w:rsidR="008C28EB" w:rsidRPr="008C28EB" w14:paraId="126F7BA0" w14:textId="77777777" w:rsidTr="00B70718">
        <w:trPr>
          <w:trHeight w:val="255"/>
        </w:trPr>
        <w:tc>
          <w:tcPr>
            <w:tcW w:w="3500" w:type="dxa"/>
            <w:tcBorders>
              <w:top w:val="nil"/>
              <w:left w:val="nil"/>
              <w:bottom w:val="nil"/>
              <w:right w:val="nil"/>
            </w:tcBorders>
            <w:shd w:val="clear" w:color="auto" w:fill="auto"/>
            <w:noWrap/>
            <w:vAlign w:val="bottom"/>
            <w:hideMark/>
          </w:tcPr>
          <w:p w14:paraId="7399D32C"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Robust standard errors in parentheses</w:t>
            </w:r>
          </w:p>
        </w:tc>
        <w:tc>
          <w:tcPr>
            <w:tcW w:w="875" w:type="dxa"/>
            <w:tcBorders>
              <w:top w:val="nil"/>
              <w:left w:val="nil"/>
              <w:bottom w:val="nil"/>
              <w:right w:val="nil"/>
            </w:tcBorders>
            <w:shd w:val="clear" w:color="auto" w:fill="auto"/>
            <w:noWrap/>
            <w:vAlign w:val="bottom"/>
            <w:hideMark/>
          </w:tcPr>
          <w:p w14:paraId="6F473D16"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65" w:type="dxa"/>
            <w:tcBorders>
              <w:top w:val="nil"/>
              <w:left w:val="nil"/>
              <w:bottom w:val="nil"/>
              <w:right w:val="nil"/>
            </w:tcBorders>
            <w:shd w:val="clear" w:color="auto" w:fill="auto"/>
            <w:noWrap/>
            <w:vAlign w:val="bottom"/>
            <w:hideMark/>
          </w:tcPr>
          <w:p w14:paraId="1AFF69CF"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05" w:type="dxa"/>
            <w:tcBorders>
              <w:top w:val="nil"/>
              <w:left w:val="nil"/>
              <w:bottom w:val="nil"/>
              <w:right w:val="nil"/>
            </w:tcBorders>
            <w:shd w:val="clear" w:color="auto" w:fill="auto"/>
            <w:noWrap/>
            <w:vAlign w:val="bottom"/>
            <w:hideMark/>
          </w:tcPr>
          <w:p w14:paraId="538AE491" w14:textId="77777777" w:rsidR="007F6BC9" w:rsidRPr="008C28EB" w:rsidRDefault="007F6BC9" w:rsidP="00B70718">
            <w:pPr>
              <w:spacing w:after="0" w:line="240" w:lineRule="auto"/>
              <w:rPr>
                <w:rFonts w:ascii="Times New Roman" w:eastAsia="Times New Roman" w:hAnsi="Times New Roman"/>
                <w:sz w:val="18"/>
                <w:szCs w:val="18"/>
                <w:lang w:val="en-US"/>
              </w:rPr>
            </w:pPr>
          </w:p>
        </w:tc>
      </w:tr>
      <w:tr w:rsidR="007F6BC9" w:rsidRPr="008C28EB" w14:paraId="6AD82C38" w14:textId="77777777" w:rsidTr="00B70718">
        <w:trPr>
          <w:trHeight w:val="255"/>
        </w:trPr>
        <w:tc>
          <w:tcPr>
            <w:tcW w:w="3500" w:type="dxa"/>
            <w:tcBorders>
              <w:top w:val="nil"/>
              <w:left w:val="nil"/>
              <w:bottom w:val="nil"/>
              <w:right w:val="nil"/>
            </w:tcBorders>
            <w:shd w:val="clear" w:color="auto" w:fill="auto"/>
            <w:noWrap/>
            <w:vAlign w:val="bottom"/>
            <w:hideMark/>
          </w:tcPr>
          <w:p w14:paraId="59E660A5" w14:textId="77777777" w:rsidR="007F6BC9" w:rsidRPr="008C28EB" w:rsidRDefault="007F6BC9" w:rsidP="00B70718">
            <w:pPr>
              <w:spacing w:after="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 p&lt;0.01, ** p&lt;0.05, * p&lt;0.1</w:t>
            </w:r>
          </w:p>
        </w:tc>
        <w:tc>
          <w:tcPr>
            <w:tcW w:w="875" w:type="dxa"/>
            <w:tcBorders>
              <w:top w:val="nil"/>
              <w:left w:val="nil"/>
              <w:bottom w:val="nil"/>
              <w:right w:val="nil"/>
            </w:tcBorders>
            <w:shd w:val="clear" w:color="auto" w:fill="auto"/>
            <w:noWrap/>
            <w:vAlign w:val="bottom"/>
            <w:hideMark/>
          </w:tcPr>
          <w:p w14:paraId="76168AA1"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65" w:type="dxa"/>
            <w:tcBorders>
              <w:top w:val="nil"/>
              <w:left w:val="nil"/>
              <w:bottom w:val="nil"/>
              <w:right w:val="nil"/>
            </w:tcBorders>
            <w:shd w:val="clear" w:color="auto" w:fill="auto"/>
            <w:noWrap/>
            <w:vAlign w:val="bottom"/>
            <w:hideMark/>
          </w:tcPr>
          <w:p w14:paraId="59D149E2" w14:textId="77777777" w:rsidR="007F6BC9" w:rsidRPr="008C28EB" w:rsidRDefault="007F6BC9" w:rsidP="00B70718">
            <w:pPr>
              <w:spacing w:after="0" w:line="240" w:lineRule="auto"/>
              <w:rPr>
                <w:rFonts w:ascii="Times New Roman" w:eastAsia="Times New Roman" w:hAnsi="Times New Roman"/>
                <w:sz w:val="18"/>
                <w:szCs w:val="18"/>
                <w:lang w:val="en-US"/>
              </w:rPr>
            </w:pPr>
          </w:p>
        </w:tc>
        <w:tc>
          <w:tcPr>
            <w:tcW w:w="905" w:type="dxa"/>
            <w:tcBorders>
              <w:top w:val="nil"/>
              <w:left w:val="nil"/>
              <w:bottom w:val="nil"/>
              <w:right w:val="nil"/>
            </w:tcBorders>
            <w:shd w:val="clear" w:color="auto" w:fill="auto"/>
            <w:noWrap/>
            <w:vAlign w:val="bottom"/>
            <w:hideMark/>
          </w:tcPr>
          <w:p w14:paraId="4D0C45A2" w14:textId="77777777" w:rsidR="007F6BC9" w:rsidRPr="008C28EB" w:rsidRDefault="007F6BC9" w:rsidP="00B70718">
            <w:pPr>
              <w:spacing w:after="0" w:line="240" w:lineRule="auto"/>
              <w:rPr>
                <w:rFonts w:ascii="Times New Roman" w:eastAsia="Times New Roman" w:hAnsi="Times New Roman"/>
                <w:sz w:val="18"/>
                <w:szCs w:val="18"/>
                <w:lang w:val="en-US"/>
              </w:rPr>
            </w:pPr>
          </w:p>
        </w:tc>
      </w:tr>
    </w:tbl>
    <w:p w14:paraId="02254E6B" w14:textId="77777777" w:rsidR="007F6BC9" w:rsidRPr="008C28EB" w:rsidRDefault="007F6BC9" w:rsidP="007F6BC9">
      <w:pPr>
        <w:ind w:right="-147"/>
        <w:jc w:val="center"/>
        <w:rPr>
          <w:rFonts w:ascii="Times New Roman" w:hAnsi="Times New Roman"/>
          <w:b/>
          <w:lang w:val="en-US"/>
        </w:rPr>
        <w:sectPr w:rsidR="007F6BC9" w:rsidRPr="008C28EB" w:rsidSect="00243B0A">
          <w:pgSz w:w="11901" w:h="16840"/>
          <w:pgMar w:top="1871" w:right="1871" w:bottom="1871" w:left="1871" w:header="709" w:footer="709" w:gutter="0"/>
          <w:cols w:space="708"/>
          <w:docGrid w:linePitch="360"/>
        </w:sectPr>
      </w:pPr>
    </w:p>
    <w:p w14:paraId="6C3E0BE7" w14:textId="77777777" w:rsidR="007F6BC9" w:rsidRPr="008C28EB" w:rsidRDefault="007F6BC9" w:rsidP="007F6BC9">
      <w:pPr>
        <w:jc w:val="center"/>
        <w:rPr>
          <w:rFonts w:ascii="Times New Roman" w:hAnsi="Times New Roman"/>
          <w:b/>
          <w:sz w:val="24"/>
          <w:szCs w:val="24"/>
          <w:lang w:val="en-US"/>
        </w:rPr>
      </w:pPr>
      <w:r w:rsidRPr="008C28EB">
        <w:rPr>
          <w:rFonts w:ascii="Times New Roman" w:hAnsi="Times New Roman"/>
          <w:b/>
          <w:sz w:val="24"/>
          <w:szCs w:val="24"/>
          <w:lang w:val="en-US"/>
        </w:rPr>
        <w:lastRenderedPageBreak/>
        <w:t>Table 4</w:t>
      </w:r>
    </w:p>
    <w:p w14:paraId="235B7D21" w14:textId="77777777" w:rsidR="007F6BC9" w:rsidRPr="008C28EB" w:rsidRDefault="007F6BC9" w:rsidP="007F6BC9">
      <w:pPr>
        <w:jc w:val="center"/>
        <w:rPr>
          <w:rFonts w:ascii="Times New Roman" w:hAnsi="Times New Roman"/>
          <w:b/>
          <w:sz w:val="24"/>
          <w:szCs w:val="24"/>
          <w:lang w:val="en-US"/>
        </w:rPr>
      </w:pPr>
      <w:r w:rsidRPr="008C28EB">
        <w:rPr>
          <w:rFonts w:ascii="Times New Roman" w:hAnsi="Times New Roman"/>
          <w:b/>
          <w:sz w:val="24"/>
          <w:szCs w:val="24"/>
          <w:lang w:val="en-US"/>
        </w:rPr>
        <w:t>Investors’ reaction to the launch of the Single Supervisory Mechanism</w:t>
      </w:r>
    </w:p>
    <w:p w14:paraId="07DC2E3D" w14:textId="77777777" w:rsidR="007F6BC9" w:rsidRPr="008C28EB" w:rsidRDefault="007F6BC9" w:rsidP="007F6BC9">
      <w:pPr>
        <w:ind w:right="-1361"/>
        <w:jc w:val="both"/>
        <w:rPr>
          <w:rFonts w:ascii="Times New Roman" w:hAnsi="Times New Roman"/>
          <w:sz w:val="18"/>
          <w:szCs w:val="18"/>
          <w:lang w:val="en-US"/>
        </w:rPr>
      </w:pPr>
      <w:r w:rsidRPr="008C28EB">
        <w:rPr>
          <w:rFonts w:ascii="Times New Roman" w:hAnsi="Times New Roman"/>
          <w:sz w:val="18"/>
          <w:szCs w:val="18"/>
          <w:lang w:val="en-US"/>
        </w:rPr>
        <w:t>This table reports the descriptive statistics of Cumulated Abnormal Returns registered around 4 November 2014. We report Daily Abnormal Returns obtained using the market model with a 252-day estimation period. The market portfolio is represented by the MSCI World Index. The statistical significance of Cumulated Average Abnormal Returns (CAAR) is tested using the Boehmer et al. (1991) procedure to capture the event-induced increase in returns volatility. CAARs in bold are those that remain statistically significant also considering the adjustment suggested by Kolari and Pynnönen (2010) in order to account for possible cross sectional correlation of abnormal returns. Source: Authors’ elaboration on European Central Bank and Datastream.</w:t>
      </w:r>
    </w:p>
    <w:p w14:paraId="24E68612" w14:textId="77777777" w:rsidR="007F6BC9" w:rsidRPr="008C28EB" w:rsidRDefault="007F6BC9" w:rsidP="007F6BC9">
      <w:pPr>
        <w:jc w:val="center"/>
        <w:rPr>
          <w:rFonts w:ascii="Times New Roman" w:hAnsi="Times New Roman"/>
          <w:b/>
          <w:bCs/>
          <w:sz w:val="24"/>
          <w:szCs w:val="24"/>
          <w:lang w:val="en-US"/>
        </w:rPr>
      </w:pPr>
    </w:p>
    <w:p w14:paraId="3AB224F3" w14:textId="77777777" w:rsidR="007F6BC9" w:rsidRPr="008C28EB" w:rsidRDefault="007F6BC9" w:rsidP="007F6BC9">
      <w:pPr>
        <w:pStyle w:val="Corpodeltesto2"/>
        <w:tabs>
          <w:tab w:val="right" w:pos="7560"/>
          <w:tab w:val="right" w:pos="8820"/>
        </w:tabs>
        <w:spacing w:line="360" w:lineRule="auto"/>
        <w:ind w:right="-138" w:firstLine="0"/>
        <w:jc w:val="center"/>
        <w:rPr>
          <w:rFonts w:ascii="Times New Roman" w:hAnsi="Times New Roman" w:cs="Times New Roman"/>
          <w:sz w:val="18"/>
          <w:szCs w:val="18"/>
        </w:rPr>
      </w:pPr>
      <w:bookmarkStart w:id="4" w:name="_Ref257032957"/>
      <w:bookmarkStart w:id="5" w:name="_Ref257032165"/>
    </w:p>
    <w:tbl>
      <w:tblPr>
        <w:tblW w:w="7153" w:type="dxa"/>
        <w:tblInd w:w="70" w:type="dxa"/>
        <w:tblCellMar>
          <w:left w:w="70" w:type="dxa"/>
          <w:right w:w="70" w:type="dxa"/>
        </w:tblCellMar>
        <w:tblLook w:val="04A0" w:firstRow="1" w:lastRow="0" w:firstColumn="1" w:lastColumn="0" w:noHBand="0" w:noVBand="1"/>
      </w:tblPr>
      <w:tblGrid>
        <w:gridCol w:w="885"/>
        <w:gridCol w:w="700"/>
        <w:gridCol w:w="666"/>
        <w:gridCol w:w="765"/>
        <w:gridCol w:w="666"/>
        <w:gridCol w:w="842"/>
        <w:gridCol w:w="666"/>
        <w:gridCol w:w="765"/>
        <w:gridCol w:w="666"/>
        <w:gridCol w:w="532"/>
      </w:tblGrid>
      <w:tr w:rsidR="008C28EB" w:rsidRPr="008C28EB" w14:paraId="03EA7D91" w14:textId="77777777" w:rsidTr="00B70718">
        <w:trPr>
          <w:trHeight w:val="296"/>
        </w:trPr>
        <w:tc>
          <w:tcPr>
            <w:tcW w:w="885" w:type="dxa"/>
            <w:tcBorders>
              <w:top w:val="single" w:sz="4" w:space="0" w:color="auto"/>
              <w:bottom w:val="single" w:sz="4" w:space="0" w:color="auto"/>
            </w:tcBorders>
            <w:shd w:val="clear" w:color="auto" w:fill="auto"/>
            <w:noWrap/>
            <w:vAlign w:val="center"/>
            <w:hideMark/>
          </w:tcPr>
          <w:p w14:paraId="5F4051E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p>
        </w:tc>
        <w:tc>
          <w:tcPr>
            <w:tcW w:w="2797" w:type="dxa"/>
            <w:gridSpan w:val="4"/>
            <w:tcBorders>
              <w:top w:val="single" w:sz="4" w:space="0" w:color="auto"/>
              <w:bottom w:val="single" w:sz="4" w:space="0" w:color="auto"/>
            </w:tcBorders>
            <w:shd w:val="clear" w:color="auto" w:fill="auto"/>
            <w:noWrap/>
            <w:vAlign w:val="center"/>
            <w:hideMark/>
          </w:tcPr>
          <w:p w14:paraId="4192B34E" w14:textId="77777777" w:rsidR="007F6BC9" w:rsidRPr="008C28EB" w:rsidRDefault="007F6BC9" w:rsidP="00C940ED">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xml:space="preserve">Banks involved in the </w:t>
            </w:r>
            <w:r w:rsidR="00C940ED" w:rsidRPr="008C28EB">
              <w:rPr>
                <w:rFonts w:ascii="Times New Roman" w:eastAsia="Times New Roman" w:hAnsi="Times New Roman"/>
                <w:sz w:val="16"/>
                <w:szCs w:val="16"/>
                <w:lang w:val="en-US"/>
              </w:rPr>
              <w:t>CA</w:t>
            </w:r>
            <w:r w:rsidRPr="008C28EB">
              <w:rPr>
                <w:rFonts w:ascii="Times New Roman" w:eastAsia="Times New Roman" w:hAnsi="Times New Roman"/>
                <w:sz w:val="16"/>
                <w:szCs w:val="16"/>
                <w:lang w:val="en-US"/>
              </w:rPr>
              <w:t xml:space="preserve"> (treated)</w:t>
            </w:r>
          </w:p>
        </w:tc>
        <w:tc>
          <w:tcPr>
            <w:tcW w:w="2939" w:type="dxa"/>
            <w:gridSpan w:val="4"/>
            <w:tcBorders>
              <w:top w:val="single" w:sz="4" w:space="0" w:color="auto"/>
              <w:bottom w:val="single" w:sz="4" w:space="0" w:color="auto"/>
            </w:tcBorders>
            <w:shd w:val="clear" w:color="auto" w:fill="auto"/>
            <w:noWrap/>
            <w:vAlign w:val="center"/>
            <w:hideMark/>
          </w:tcPr>
          <w:p w14:paraId="33F58D81" w14:textId="77777777" w:rsidR="007F6BC9" w:rsidRPr="008C28EB" w:rsidRDefault="007F6BC9" w:rsidP="00C940ED">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xml:space="preserve">Banks not involved in the </w:t>
            </w:r>
            <w:r w:rsidR="00C940ED" w:rsidRPr="008C28EB">
              <w:rPr>
                <w:rFonts w:ascii="Times New Roman" w:eastAsia="Times New Roman" w:hAnsi="Times New Roman"/>
                <w:sz w:val="16"/>
                <w:szCs w:val="16"/>
                <w:lang w:val="en-US"/>
              </w:rPr>
              <w:t>CA</w:t>
            </w:r>
            <w:r w:rsidRPr="008C28EB">
              <w:rPr>
                <w:rFonts w:ascii="Times New Roman" w:eastAsia="Times New Roman" w:hAnsi="Times New Roman"/>
                <w:sz w:val="16"/>
                <w:szCs w:val="16"/>
                <w:lang w:val="en-US"/>
              </w:rPr>
              <w:t xml:space="preserve"> (untreated)</w:t>
            </w:r>
          </w:p>
        </w:tc>
        <w:tc>
          <w:tcPr>
            <w:tcW w:w="532" w:type="dxa"/>
            <w:tcBorders>
              <w:top w:val="single" w:sz="4" w:space="0" w:color="auto"/>
              <w:bottom w:val="single" w:sz="4" w:space="0" w:color="auto"/>
            </w:tcBorders>
            <w:vAlign w:val="center"/>
          </w:tcPr>
          <w:p w14:paraId="6E42635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p>
        </w:tc>
      </w:tr>
      <w:tr w:rsidR="007F6BC9" w:rsidRPr="008C28EB" w14:paraId="1DB1C281" w14:textId="77777777" w:rsidTr="00B70718">
        <w:trPr>
          <w:trHeight w:val="296"/>
        </w:trPr>
        <w:tc>
          <w:tcPr>
            <w:tcW w:w="885" w:type="dxa"/>
            <w:tcBorders>
              <w:top w:val="single" w:sz="4" w:space="0" w:color="auto"/>
            </w:tcBorders>
            <w:shd w:val="clear" w:color="auto" w:fill="auto"/>
            <w:noWrap/>
            <w:vAlign w:val="center"/>
            <w:hideMark/>
          </w:tcPr>
          <w:p w14:paraId="55DFDF8B"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04/11/2014</w:t>
            </w:r>
          </w:p>
        </w:tc>
        <w:tc>
          <w:tcPr>
            <w:tcW w:w="700" w:type="dxa"/>
            <w:tcBorders>
              <w:top w:val="single" w:sz="4" w:space="0" w:color="auto"/>
            </w:tcBorders>
            <w:shd w:val="clear" w:color="auto" w:fill="auto"/>
            <w:noWrap/>
            <w:vAlign w:val="center"/>
            <w:hideMark/>
          </w:tcPr>
          <w:p w14:paraId="088FB65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66" w:type="dxa"/>
            <w:tcBorders>
              <w:top w:val="single" w:sz="4" w:space="0" w:color="auto"/>
            </w:tcBorders>
            <w:shd w:val="clear" w:color="auto" w:fill="auto"/>
            <w:noWrap/>
            <w:vAlign w:val="center"/>
            <w:hideMark/>
          </w:tcPr>
          <w:p w14:paraId="0C53994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tcBorders>
            <w:shd w:val="clear" w:color="auto" w:fill="auto"/>
            <w:noWrap/>
            <w:vAlign w:val="center"/>
            <w:hideMark/>
          </w:tcPr>
          <w:p w14:paraId="7E2AFE1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6" w:type="dxa"/>
            <w:tcBorders>
              <w:top w:val="single" w:sz="4" w:space="0" w:color="auto"/>
            </w:tcBorders>
            <w:shd w:val="clear" w:color="auto" w:fill="auto"/>
            <w:noWrap/>
            <w:vAlign w:val="center"/>
            <w:hideMark/>
          </w:tcPr>
          <w:p w14:paraId="5261DFD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842" w:type="dxa"/>
            <w:tcBorders>
              <w:top w:val="single" w:sz="4" w:space="0" w:color="auto"/>
            </w:tcBorders>
            <w:shd w:val="clear" w:color="auto" w:fill="auto"/>
            <w:noWrap/>
            <w:vAlign w:val="center"/>
            <w:hideMark/>
          </w:tcPr>
          <w:p w14:paraId="0FD60DB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CAAR</w:t>
            </w:r>
          </w:p>
        </w:tc>
        <w:tc>
          <w:tcPr>
            <w:tcW w:w="666" w:type="dxa"/>
            <w:tcBorders>
              <w:top w:val="single" w:sz="4" w:space="0" w:color="auto"/>
            </w:tcBorders>
            <w:shd w:val="clear" w:color="auto" w:fill="auto"/>
            <w:noWrap/>
            <w:vAlign w:val="center"/>
            <w:hideMark/>
          </w:tcPr>
          <w:p w14:paraId="21D8AC3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Z-stat</w:t>
            </w:r>
          </w:p>
        </w:tc>
        <w:tc>
          <w:tcPr>
            <w:tcW w:w="765" w:type="dxa"/>
            <w:tcBorders>
              <w:top w:val="single" w:sz="4" w:space="0" w:color="auto"/>
            </w:tcBorders>
            <w:shd w:val="clear" w:color="auto" w:fill="auto"/>
            <w:noWrap/>
            <w:vAlign w:val="center"/>
            <w:hideMark/>
          </w:tcPr>
          <w:p w14:paraId="1053EDE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P-value</w:t>
            </w:r>
          </w:p>
        </w:tc>
        <w:tc>
          <w:tcPr>
            <w:tcW w:w="666" w:type="dxa"/>
            <w:tcBorders>
              <w:top w:val="single" w:sz="4" w:space="0" w:color="auto"/>
            </w:tcBorders>
            <w:shd w:val="clear" w:color="auto" w:fill="auto"/>
            <w:noWrap/>
            <w:vAlign w:val="center"/>
            <w:hideMark/>
          </w:tcPr>
          <w:p w14:paraId="7ED9D58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 Pos</w:t>
            </w:r>
          </w:p>
        </w:tc>
        <w:tc>
          <w:tcPr>
            <w:tcW w:w="532" w:type="dxa"/>
            <w:tcBorders>
              <w:top w:val="single" w:sz="4" w:space="0" w:color="auto"/>
            </w:tcBorders>
            <w:vAlign w:val="center"/>
          </w:tcPr>
          <w:p w14:paraId="05E0D75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Diff.</w:t>
            </w:r>
          </w:p>
        </w:tc>
      </w:tr>
      <w:tr w:rsidR="007F6BC9" w:rsidRPr="008C28EB" w14:paraId="13DA57E7" w14:textId="77777777" w:rsidTr="00B70718">
        <w:trPr>
          <w:trHeight w:val="296"/>
        </w:trPr>
        <w:tc>
          <w:tcPr>
            <w:tcW w:w="885" w:type="dxa"/>
            <w:shd w:val="clear" w:color="auto" w:fill="auto"/>
            <w:noWrap/>
            <w:vAlign w:val="center"/>
            <w:hideMark/>
          </w:tcPr>
          <w:p w14:paraId="477F948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(-1,1)</w:t>
            </w:r>
          </w:p>
        </w:tc>
        <w:tc>
          <w:tcPr>
            <w:tcW w:w="700" w:type="dxa"/>
            <w:shd w:val="clear" w:color="auto" w:fill="auto"/>
            <w:noWrap/>
            <w:vAlign w:val="center"/>
            <w:hideMark/>
          </w:tcPr>
          <w:p w14:paraId="047295DB"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-0.79%</w:t>
            </w:r>
          </w:p>
        </w:tc>
        <w:tc>
          <w:tcPr>
            <w:tcW w:w="666" w:type="dxa"/>
            <w:shd w:val="clear" w:color="auto" w:fill="auto"/>
            <w:noWrap/>
            <w:vAlign w:val="center"/>
            <w:hideMark/>
          </w:tcPr>
          <w:p w14:paraId="3AEBA19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-0.6141</w:t>
            </w:r>
          </w:p>
        </w:tc>
        <w:tc>
          <w:tcPr>
            <w:tcW w:w="765" w:type="dxa"/>
            <w:shd w:val="clear" w:color="auto" w:fill="auto"/>
            <w:noWrap/>
            <w:vAlign w:val="center"/>
            <w:hideMark/>
          </w:tcPr>
          <w:p w14:paraId="7CA3E09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0.539132</w:t>
            </w:r>
          </w:p>
        </w:tc>
        <w:tc>
          <w:tcPr>
            <w:tcW w:w="666" w:type="dxa"/>
            <w:shd w:val="clear" w:color="auto" w:fill="auto"/>
            <w:noWrap/>
            <w:vAlign w:val="center"/>
            <w:hideMark/>
          </w:tcPr>
          <w:p w14:paraId="35EB2764" w14:textId="77777777" w:rsidR="007F6BC9" w:rsidRPr="008C28EB" w:rsidRDefault="007F6BC9" w:rsidP="00B70718">
            <w:pPr>
              <w:spacing w:after="0"/>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28.89%</w:t>
            </w:r>
          </w:p>
        </w:tc>
        <w:tc>
          <w:tcPr>
            <w:tcW w:w="842" w:type="dxa"/>
            <w:shd w:val="clear" w:color="auto" w:fill="auto"/>
            <w:noWrap/>
            <w:vAlign w:val="center"/>
            <w:hideMark/>
          </w:tcPr>
          <w:p w14:paraId="195305F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-0.73%</w:t>
            </w:r>
          </w:p>
        </w:tc>
        <w:tc>
          <w:tcPr>
            <w:tcW w:w="666" w:type="dxa"/>
            <w:shd w:val="clear" w:color="auto" w:fill="auto"/>
            <w:noWrap/>
            <w:vAlign w:val="center"/>
            <w:hideMark/>
          </w:tcPr>
          <w:p w14:paraId="2118980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-1.5384</w:t>
            </w:r>
          </w:p>
        </w:tc>
        <w:tc>
          <w:tcPr>
            <w:tcW w:w="765" w:type="dxa"/>
            <w:shd w:val="clear" w:color="auto" w:fill="auto"/>
            <w:noWrap/>
            <w:vAlign w:val="center"/>
            <w:hideMark/>
          </w:tcPr>
          <w:p w14:paraId="478CAFA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0.123952</w:t>
            </w:r>
          </w:p>
        </w:tc>
        <w:tc>
          <w:tcPr>
            <w:tcW w:w="666" w:type="dxa"/>
            <w:shd w:val="clear" w:color="auto" w:fill="auto"/>
            <w:noWrap/>
            <w:vAlign w:val="center"/>
            <w:hideMark/>
          </w:tcPr>
          <w:p w14:paraId="7B3AE66A"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34.57%</w:t>
            </w:r>
          </w:p>
        </w:tc>
        <w:tc>
          <w:tcPr>
            <w:tcW w:w="532" w:type="dxa"/>
            <w:vAlign w:val="center"/>
          </w:tcPr>
          <w:p w14:paraId="1DA6676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4F3263CE" w14:textId="77777777" w:rsidTr="00B70718">
        <w:trPr>
          <w:trHeight w:val="296"/>
        </w:trPr>
        <w:tc>
          <w:tcPr>
            <w:tcW w:w="885" w:type="dxa"/>
            <w:shd w:val="clear" w:color="auto" w:fill="auto"/>
            <w:noWrap/>
            <w:vAlign w:val="center"/>
            <w:hideMark/>
          </w:tcPr>
          <w:p w14:paraId="3A6AFF3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w:t>
            </w:r>
          </w:p>
        </w:tc>
        <w:tc>
          <w:tcPr>
            <w:tcW w:w="700" w:type="dxa"/>
            <w:shd w:val="clear" w:color="auto" w:fill="auto"/>
            <w:noWrap/>
            <w:vAlign w:val="center"/>
            <w:hideMark/>
          </w:tcPr>
          <w:p w14:paraId="35CD2FE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-0.80%</w:t>
            </w:r>
          </w:p>
        </w:tc>
        <w:tc>
          <w:tcPr>
            <w:tcW w:w="666" w:type="dxa"/>
            <w:shd w:val="clear" w:color="auto" w:fill="auto"/>
            <w:noWrap/>
            <w:vAlign w:val="center"/>
            <w:hideMark/>
          </w:tcPr>
          <w:p w14:paraId="1BB38BBC"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-0.7785</w:t>
            </w:r>
          </w:p>
        </w:tc>
        <w:tc>
          <w:tcPr>
            <w:tcW w:w="765" w:type="dxa"/>
            <w:shd w:val="clear" w:color="auto" w:fill="auto"/>
            <w:noWrap/>
            <w:vAlign w:val="center"/>
            <w:hideMark/>
          </w:tcPr>
          <w:p w14:paraId="52046477"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0.436278</w:t>
            </w:r>
          </w:p>
        </w:tc>
        <w:tc>
          <w:tcPr>
            <w:tcW w:w="666" w:type="dxa"/>
            <w:shd w:val="clear" w:color="auto" w:fill="auto"/>
            <w:noWrap/>
            <w:vAlign w:val="center"/>
            <w:hideMark/>
          </w:tcPr>
          <w:p w14:paraId="0D8F19C7" w14:textId="77777777" w:rsidR="007F6BC9" w:rsidRPr="008C28EB" w:rsidRDefault="007F6BC9" w:rsidP="00B70718">
            <w:pPr>
              <w:spacing w:after="0"/>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31.11%</w:t>
            </w:r>
          </w:p>
        </w:tc>
        <w:tc>
          <w:tcPr>
            <w:tcW w:w="842" w:type="dxa"/>
            <w:shd w:val="clear" w:color="auto" w:fill="auto"/>
            <w:noWrap/>
            <w:vAlign w:val="center"/>
            <w:hideMark/>
          </w:tcPr>
          <w:p w14:paraId="45DC9406"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-0.93%</w:t>
            </w:r>
          </w:p>
        </w:tc>
        <w:tc>
          <w:tcPr>
            <w:tcW w:w="666" w:type="dxa"/>
            <w:shd w:val="clear" w:color="auto" w:fill="auto"/>
            <w:noWrap/>
            <w:vAlign w:val="center"/>
            <w:hideMark/>
          </w:tcPr>
          <w:p w14:paraId="3A2794E1"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-1.3867</w:t>
            </w:r>
          </w:p>
        </w:tc>
        <w:tc>
          <w:tcPr>
            <w:tcW w:w="765" w:type="dxa"/>
            <w:shd w:val="clear" w:color="auto" w:fill="auto"/>
            <w:noWrap/>
            <w:vAlign w:val="center"/>
            <w:hideMark/>
          </w:tcPr>
          <w:p w14:paraId="1B87486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0.165530</w:t>
            </w:r>
          </w:p>
        </w:tc>
        <w:tc>
          <w:tcPr>
            <w:tcW w:w="666" w:type="dxa"/>
            <w:shd w:val="clear" w:color="auto" w:fill="auto"/>
            <w:noWrap/>
            <w:vAlign w:val="center"/>
            <w:hideMark/>
          </w:tcPr>
          <w:p w14:paraId="2FF0F733"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35.80%</w:t>
            </w:r>
          </w:p>
        </w:tc>
        <w:tc>
          <w:tcPr>
            <w:tcW w:w="532" w:type="dxa"/>
            <w:vAlign w:val="center"/>
          </w:tcPr>
          <w:p w14:paraId="4A483552"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n.s.</w:t>
            </w:r>
          </w:p>
        </w:tc>
      </w:tr>
      <w:tr w:rsidR="007F6BC9" w:rsidRPr="008C28EB" w14:paraId="295E0322" w14:textId="77777777" w:rsidTr="00B70718">
        <w:trPr>
          <w:trHeight w:val="296"/>
        </w:trPr>
        <w:tc>
          <w:tcPr>
            <w:tcW w:w="885" w:type="dxa"/>
            <w:tcBorders>
              <w:bottom w:val="single" w:sz="4" w:space="0" w:color="auto"/>
            </w:tcBorders>
            <w:shd w:val="clear" w:color="auto" w:fill="auto"/>
            <w:noWrap/>
            <w:vAlign w:val="center"/>
            <w:hideMark/>
          </w:tcPr>
          <w:p w14:paraId="5B2BA79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(0,0)</w:t>
            </w:r>
          </w:p>
        </w:tc>
        <w:tc>
          <w:tcPr>
            <w:tcW w:w="700" w:type="dxa"/>
            <w:tcBorders>
              <w:bottom w:val="single" w:sz="4" w:space="0" w:color="auto"/>
            </w:tcBorders>
            <w:shd w:val="clear" w:color="auto" w:fill="auto"/>
            <w:noWrap/>
            <w:vAlign w:val="center"/>
            <w:hideMark/>
          </w:tcPr>
          <w:p w14:paraId="34C8DF7D"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-1.55%</w:t>
            </w:r>
          </w:p>
        </w:tc>
        <w:tc>
          <w:tcPr>
            <w:tcW w:w="666" w:type="dxa"/>
            <w:tcBorders>
              <w:bottom w:val="single" w:sz="4" w:space="0" w:color="auto"/>
            </w:tcBorders>
            <w:shd w:val="clear" w:color="auto" w:fill="auto"/>
            <w:noWrap/>
            <w:vAlign w:val="center"/>
            <w:hideMark/>
          </w:tcPr>
          <w:p w14:paraId="19328884"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-1.5589</w:t>
            </w:r>
          </w:p>
        </w:tc>
        <w:tc>
          <w:tcPr>
            <w:tcW w:w="765" w:type="dxa"/>
            <w:tcBorders>
              <w:bottom w:val="single" w:sz="4" w:space="0" w:color="auto"/>
            </w:tcBorders>
            <w:shd w:val="clear" w:color="auto" w:fill="auto"/>
            <w:noWrap/>
            <w:vAlign w:val="center"/>
            <w:hideMark/>
          </w:tcPr>
          <w:p w14:paraId="42ABFC15"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0.119024</w:t>
            </w:r>
          </w:p>
        </w:tc>
        <w:tc>
          <w:tcPr>
            <w:tcW w:w="666" w:type="dxa"/>
            <w:tcBorders>
              <w:bottom w:val="single" w:sz="4" w:space="0" w:color="auto"/>
            </w:tcBorders>
            <w:shd w:val="clear" w:color="auto" w:fill="auto"/>
            <w:noWrap/>
            <w:vAlign w:val="center"/>
            <w:hideMark/>
          </w:tcPr>
          <w:p w14:paraId="5AF27A15" w14:textId="77777777" w:rsidR="007F6BC9" w:rsidRPr="008C28EB" w:rsidRDefault="007F6BC9" w:rsidP="00B70718">
            <w:pPr>
              <w:spacing w:after="0"/>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22.22%</w:t>
            </w:r>
          </w:p>
        </w:tc>
        <w:tc>
          <w:tcPr>
            <w:tcW w:w="842" w:type="dxa"/>
            <w:tcBorders>
              <w:bottom w:val="single" w:sz="4" w:space="0" w:color="auto"/>
            </w:tcBorders>
            <w:shd w:val="clear" w:color="auto" w:fill="auto"/>
            <w:noWrap/>
            <w:vAlign w:val="center"/>
            <w:hideMark/>
          </w:tcPr>
          <w:p w14:paraId="23426A4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-0.70%</w:t>
            </w:r>
          </w:p>
        </w:tc>
        <w:tc>
          <w:tcPr>
            <w:tcW w:w="666" w:type="dxa"/>
            <w:tcBorders>
              <w:bottom w:val="single" w:sz="4" w:space="0" w:color="auto"/>
            </w:tcBorders>
            <w:shd w:val="clear" w:color="auto" w:fill="auto"/>
            <w:noWrap/>
            <w:vAlign w:val="center"/>
            <w:hideMark/>
          </w:tcPr>
          <w:p w14:paraId="45F3AF75"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-1.7736</w:t>
            </w:r>
          </w:p>
        </w:tc>
        <w:tc>
          <w:tcPr>
            <w:tcW w:w="765" w:type="dxa"/>
            <w:tcBorders>
              <w:bottom w:val="single" w:sz="4" w:space="0" w:color="auto"/>
            </w:tcBorders>
            <w:shd w:val="clear" w:color="auto" w:fill="auto"/>
            <w:noWrap/>
            <w:vAlign w:val="center"/>
            <w:hideMark/>
          </w:tcPr>
          <w:p w14:paraId="309F05E7"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0.076123</w:t>
            </w:r>
          </w:p>
        </w:tc>
        <w:tc>
          <w:tcPr>
            <w:tcW w:w="666" w:type="dxa"/>
            <w:tcBorders>
              <w:bottom w:val="single" w:sz="4" w:space="0" w:color="auto"/>
            </w:tcBorders>
            <w:shd w:val="clear" w:color="auto" w:fill="auto"/>
            <w:noWrap/>
            <w:vAlign w:val="center"/>
            <w:hideMark/>
          </w:tcPr>
          <w:p w14:paraId="5FB2460F" w14:textId="77777777" w:rsidR="007F6BC9" w:rsidRPr="008C28EB" w:rsidRDefault="007F6BC9" w:rsidP="00B70718">
            <w:pPr>
              <w:spacing w:after="0" w:line="240" w:lineRule="auto"/>
              <w:jc w:val="center"/>
              <w:rPr>
                <w:rFonts w:ascii="Times New Roman" w:eastAsia="Times New Roman" w:hAnsi="Times New Roman"/>
                <w:b/>
                <w:sz w:val="16"/>
                <w:szCs w:val="16"/>
                <w:lang w:val="en-US"/>
              </w:rPr>
            </w:pPr>
            <w:r w:rsidRPr="008C28EB">
              <w:rPr>
                <w:rFonts w:ascii="Times New Roman" w:eastAsia="Times New Roman" w:hAnsi="Times New Roman"/>
                <w:b/>
                <w:sz w:val="16"/>
                <w:szCs w:val="16"/>
                <w:lang w:val="en-US"/>
              </w:rPr>
              <w:t>39.51%</w:t>
            </w:r>
          </w:p>
        </w:tc>
        <w:tc>
          <w:tcPr>
            <w:tcW w:w="532" w:type="dxa"/>
            <w:tcBorders>
              <w:bottom w:val="single" w:sz="4" w:space="0" w:color="auto"/>
            </w:tcBorders>
            <w:vAlign w:val="center"/>
          </w:tcPr>
          <w:p w14:paraId="553690CE" w14:textId="77777777" w:rsidR="007F6BC9" w:rsidRPr="008C28EB" w:rsidRDefault="007F6BC9" w:rsidP="00B70718">
            <w:pPr>
              <w:spacing w:after="0" w:line="240" w:lineRule="auto"/>
              <w:jc w:val="center"/>
              <w:rPr>
                <w:rFonts w:ascii="Times New Roman" w:eastAsia="Times New Roman" w:hAnsi="Times New Roman"/>
                <w:sz w:val="16"/>
                <w:szCs w:val="16"/>
                <w:lang w:val="en-US"/>
              </w:rPr>
            </w:pPr>
            <w:r w:rsidRPr="008C28EB">
              <w:rPr>
                <w:rFonts w:ascii="Times New Roman" w:eastAsia="Times New Roman" w:hAnsi="Times New Roman"/>
                <w:sz w:val="16"/>
                <w:szCs w:val="16"/>
                <w:lang w:val="en-US"/>
              </w:rPr>
              <w:t>neg**</w:t>
            </w:r>
          </w:p>
        </w:tc>
      </w:tr>
    </w:tbl>
    <w:p w14:paraId="16AAF018" w14:textId="77777777" w:rsidR="007F6BC9" w:rsidRPr="008C28EB" w:rsidRDefault="007F6BC9" w:rsidP="007F6BC9">
      <w:pPr>
        <w:jc w:val="center"/>
        <w:rPr>
          <w:rFonts w:ascii="Times New Roman" w:hAnsi="Times New Roman"/>
          <w:b/>
          <w:bCs/>
          <w:sz w:val="24"/>
          <w:szCs w:val="24"/>
          <w:lang w:val="en-US"/>
        </w:rPr>
      </w:pPr>
    </w:p>
    <w:p w14:paraId="36C979CC" w14:textId="77777777" w:rsidR="007F6BC9" w:rsidRPr="008C28EB" w:rsidRDefault="007F6BC9" w:rsidP="007F6BC9">
      <w:pPr>
        <w:spacing w:after="0" w:line="240" w:lineRule="auto"/>
        <w:rPr>
          <w:rFonts w:ascii="Times New Roman" w:hAnsi="Times New Roman"/>
          <w:b/>
          <w:bCs/>
          <w:sz w:val="24"/>
          <w:szCs w:val="24"/>
          <w:lang w:val="en-US"/>
        </w:rPr>
      </w:pPr>
      <w:r w:rsidRPr="008C28EB">
        <w:rPr>
          <w:rFonts w:ascii="Times New Roman" w:hAnsi="Times New Roman"/>
          <w:b/>
          <w:bCs/>
          <w:sz w:val="24"/>
          <w:szCs w:val="24"/>
          <w:lang w:val="en-US"/>
        </w:rPr>
        <w:br w:type="page"/>
      </w:r>
    </w:p>
    <w:p w14:paraId="6A525FF9" w14:textId="77777777" w:rsidR="007F6BC9" w:rsidRPr="008C28EB" w:rsidRDefault="007F6BC9" w:rsidP="007F6BC9">
      <w:pPr>
        <w:jc w:val="center"/>
        <w:rPr>
          <w:rFonts w:ascii="Times New Roman" w:hAnsi="Times New Roman"/>
          <w:b/>
          <w:bCs/>
          <w:sz w:val="24"/>
          <w:szCs w:val="24"/>
          <w:lang w:val="en-US"/>
        </w:rPr>
      </w:pPr>
      <w:r w:rsidRPr="008C28EB">
        <w:rPr>
          <w:rFonts w:ascii="Times New Roman" w:hAnsi="Times New Roman"/>
          <w:b/>
          <w:bCs/>
          <w:sz w:val="24"/>
          <w:szCs w:val="24"/>
          <w:lang w:val="en-US"/>
        </w:rPr>
        <w:lastRenderedPageBreak/>
        <w:t>Table 5</w:t>
      </w:r>
    </w:p>
    <w:p w14:paraId="7538BDA1" w14:textId="77777777" w:rsidR="007F6BC9" w:rsidRPr="008C28EB" w:rsidRDefault="007F6BC9" w:rsidP="007F6BC9">
      <w:pPr>
        <w:jc w:val="center"/>
        <w:rPr>
          <w:rFonts w:ascii="Times New Roman" w:hAnsi="Times New Roman"/>
          <w:b/>
          <w:bCs/>
          <w:sz w:val="24"/>
          <w:szCs w:val="24"/>
          <w:lang w:val="en-US"/>
        </w:rPr>
      </w:pPr>
      <w:r w:rsidRPr="008C28EB">
        <w:rPr>
          <w:rFonts w:ascii="Times New Roman" w:hAnsi="Times New Roman"/>
          <w:b/>
          <w:bCs/>
          <w:sz w:val="24"/>
          <w:szCs w:val="24"/>
          <w:lang w:val="en-US"/>
        </w:rPr>
        <w:t xml:space="preserve">Variables definition </w:t>
      </w:r>
    </w:p>
    <w:p w14:paraId="1CCFB217" w14:textId="77777777" w:rsidR="007F6BC9" w:rsidRPr="008C28EB" w:rsidRDefault="007F6BC9" w:rsidP="007F6BC9">
      <w:pPr>
        <w:pStyle w:val="Corpodeltesto2"/>
        <w:tabs>
          <w:tab w:val="right" w:pos="7560"/>
          <w:tab w:val="right" w:pos="8820"/>
        </w:tabs>
        <w:spacing w:line="360" w:lineRule="auto"/>
        <w:ind w:right="-138" w:firstLine="0"/>
        <w:jc w:val="center"/>
        <w:rPr>
          <w:rFonts w:ascii="Times New Roman" w:hAnsi="Times New Roman" w:cs="Times New Roman"/>
          <w:sz w:val="18"/>
          <w:szCs w:val="18"/>
        </w:rPr>
      </w:pPr>
    </w:p>
    <w:p w14:paraId="66EFE5B5" w14:textId="77777777" w:rsidR="007F6BC9" w:rsidRPr="008C28EB" w:rsidRDefault="007F6BC9" w:rsidP="007F6BC9">
      <w:pPr>
        <w:pStyle w:val="Corpodeltesto2"/>
        <w:tabs>
          <w:tab w:val="right" w:pos="7560"/>
          <w:tab w:val="right" w:pos="8820"/>
        </w:tabs>
        <w:spacing w:line="360" w:lineRule="auto"/>
        <w:ind w:right="-138" w:firstLine="0"/>
        <w:jc w:val="center"/>
        <w:rPr>
          <w:rFonts w:ascii="Times New Roman" w:eastAsia="MS ??" w:hAnsi="Times New Roman" w:cs="Times New Roman"/>
          <w:sz w:val="18"/>
          <w:szCs w:val="18"/>
        </w:rPr>
      </w:pPr>
      <w:r w:rsidRPr="008C28EB">
        <w:rPr>
          <w:rFonts w:ascii="Times New Roman" w:hAnsi="Times New Roman" w:cs="Times New Roman"/>
          <w:sz w:val="18"/>
          <w:szCs w:val="18"/>
        </w:rPr>
        <w:t>This table defines the variables used in the treatment effect analysis and the sources of data.</w:t>
      </w:r>
    </w:p>
    <w:tbl>
      <w:tblPr>
        <w:tblW w:w="9196" w:type="dxa"/>
        <w:jc w:val="center"/>
        <w:tblLayout w:type="fixed"/>
        <w:tblCellMar>
          <w:left w:w="0" w:type="dxa"/>
          <w:right w:w="0" w:type="dxa"/>
        </w:tblCellMar>
        <w:tblLook w:val="04A0" w:firstRow="1" w:lastRow="0" w:firstColumn="1" w:lastColumn="0" w:noHBand="0" w:noVBand="1"/>
      </w:tblPr>
      <w:tblGrid>
        <w:gridCol w:w="1478"/>
        <w:gridCol w:w="961"/>
        <w:gridCol w:w="5591"/>
        <w:gridCol w:w="1166"/>
      </w:tblGrid>
      <w:tr w:rsidR="007F6BC9" w:rsidRPr="008C28EB" w14:paraId="326A19E1" w14:textId="77777777" w:rsidTr="00B70718">
        <w:trPr>
          <w:trHeight w:val="300"/>
          <w:jc w:val="center"/>
        </w:trPr>
        <w:tc>
          <w:tcPr>
            <w:tcW w:w="1478"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C4C4A4A" w14:textId="77777777" w:rsidR="007F6BC9" w:rsidRPr="008C28EB" w:rsidRDefault="007F6BC9" w:rsidP="00B70718">
            <w:pPr>
              <w:spacing w:before="120" w:after="120" w:line="240" w:lineRule="auto"/>
              <w:rPr>
                <w:rFonts w:ascii="Times New Roman" w:hAnsi="Times New Roman"/>
                <w:b/>
                <w:bCs/>
                <w:sz w:val="18"/>
                <w:szCs w:val="18"/>
                <w:lang w:val="en-US"/>
              </w:rPr>
            </w:pPr>
            <w:r w:rsidRPr="008C28EB">
              <w:rPr>
                <w:rFonts w:ascii="Times New Roman" w:hAnsi="Times New Roman"/>
                <w:b/>
                <w:bCs/>
                <w:sz w:val="18"/>
                <w:szCs w:val="18"/>
                <w:lang w:val="en-US"/>
              </w:rPr>
              <w:t>Variables</w:t>
            </w:r>
          </w:p>
        </w:tc>
        <w:tc>
          <w:tcPr>
            <w:tcW w:w="96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5CAC430" w14:textId="77777777" w:rsidR="007F6BC9" w:rsidRPr="008C28EB" w:rsidRDefault="007F6BC9" w:rsidP="00B70718">
            <w:pPr>
              <w:spacing w:before="120" w:after="120" w:line="240" w:lineRule="auto"/>
              <w:jc w:val="center"/>
              <w:rPr>
                <w:rFonts w:ascii="Times New Roman" w:hAnsi="Times New Roman"/>
                <w:b/>
                <w:bCs/>
                <w:sz w:val="18"/>
                <w:szCs w:val="18"/>
                <w:lang w:val="en-US"/>
              </w:rPr>
            </w:pPr>
            <w:r w:rsidRPr="008C28EB">
              <w:rPr>
                <w:rFonts w:ascii="Times New Roman" w:hAnsi="Times New Roman"/>
                <w:b/>
                <w:bCs/>
                <w:sz w:val="18"/>
                <w:szCs w:val="18"/>
                <w:lang w:val="en-US"/>
              </w:rPr>
              <w:t>Symbol</w:t>
            </w:r>
          </w:p>
        </w:tc>
        <w:tc>
          <w:tcPr>
            <w:tcW w:w="559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ED52DF8" w14:textId="77777777" w:rsidR="007F6BC9" w:rsidRPr="008C28EB" w:rsidRDefault="007F6BC9" w:rsidP="00B70718">
            <w:pPr>
              <w:spacing w:before="120" w:after="120" w:line="240" w:lineRule="auto"/>
              <w:rPr>
                <w:rFonts w:ascii="Times New Roman" w:hAnsi="Times New Roman"/>
                <w:b/>
                <w:bCs/>
                <w:sz w:val="18"/>
                <w:szCs w:val="18"/>
                <w:lang w:val="en-US"/>
              </w:rPr>
            </w:pPr>
            <w:r w:rsidRPr="008C28EB">
              <w:rPr>
                <w:rFonts w:ascii="Times New Roman" w:hAnsi="Times New Roman"/>
                <w:b/>
                <w:bCs/>
                <w:sz w:val="18"/>
                <w:szCs w:val="18"/>
                <w:lang w:val="en-US"/>
              </w:rPr>
              <w:t>Definition and calculation method</w:t>
            </w:r>
          </w:p>
        </w:tc>
        <w:tc>
          <w:tcPr>
            <w:tcW w:w="116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3515658" w14:textId="77777777" w:rsidR="007F6BC9" w:rsidRPr="008C28EB" w:rsidRDefault="007F6BC9" w:rsidP="00B70718">
            <w:pPr>
              <w:spacing w:before="120" w:after="120" w:line="240" w:lineRule="auto"/>
              <w:rPr>
                <w:rFonts w:ascii="Times New Roman" w:hAnsi="Times New Roman"/>
                <w:b/>
                <w:bCs/>
                <w:sz w:val="18"/>
                <w:szCs w:val="18"/>
                <w:lang w:val="en-US"/>
              </w:rPr>
            </w:pPr>
            <w:r w:rsidRPr="008C28EB">
              <w:rPr>
                <w:rFonts w:ascii="Times New Roman" w:hAnsi="Times New Roman"/>
                <w:b/>
                <w:bCs/>
                <w:sz w:val="18"/>
                <w:szCs w:val="18"/>
                <w:lang w:val="en-US"/>
              </w:rPr>
              <w:t>Source</w:t>
            </w:r>
          </w:p>
        </w:tc>
      </w:tr>
      <w:tr w:rsidR="007F6BC9" w:rsidRPr="008C28EB" w14:paraId="17531DDE" w14:textId="77777777" w:rsidTr="00B70718">
        <w:trPr>
          <w:trHeight w:val="451"/>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tcPr>
          <w:p w14:paraId="2B6F9126"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Treatment Effect</w:t>
            </w:r>
          </w:p>
        </w:tc>
        <w:tc>
          <w:tcPr>
            <w:tcW w:w="961" w:type="dxa"/>
            <w:tcBorders>
              <w:top w:val="nil"/>
              <w:left w:val="nil"/>
              <w:bottom w:val="nil"/>
              <w:right w:val="nil"/>
            </w:tcBorders>
            <w:shd w:val="clear" w:color="auto" w:fill="auto"/>
            <w:tcMar>
              <w:top w:w="15" w:type="dxa"/>
              <w:left w:w="15" w:type="dxa"/>
              <w:bottom w:w="0" w:type="dxa"/>
              <w:right w:w="15" w:type="dxa"/>
            </w:tcMar>
            <w:vAlign w:val="center"/>
          </w:tcPr>
          <w:p w14:paraId="7220326C" w14:textId="77777777" w:rsidR="007F6BC9" w:rsidRPr="008C28EB" w:rsidRDefault="00F02DB6" w:rsidP="00B70718">
            <w:pPr>
              <w:spacing w:before="120" w:after="120" w:line="240" w:lineRule="auto"/>
              <w:jc w:val="center"/>
              <w:rPr>
                <w:rFonts w:ascii="Times New Roman" w:hAnsi="Times New Roman"/>
                <w:i/>
                <w:sz w:val="18"/>
                <w:szCs w:val="18"/>
                <w:lang w:val="en-US"/>
              </w:rPr>
            </w:pPr>
            <w:r w:rsidRPr="008C28EB">
              <w:rPr>
                <w:rFonts w:ascii="Times New Roman" w:hAnsi="Times New Roman"/>
                <w:i/>
                <w:sz w:val="18"/>
                <w:szCs w:val="18"/>
                <w:lang w:val="en-US"/>
              </w:rPr>
              <w:t>w</w:t>
            </w:r>
          </w:p>
        </w:tc>
        <w:tc>
          <w:tcPr>
            <w:tcW w:w="5591" w:type="dxa"/>
            <w:tcBorders>
              <w:top w:val="nil"/>
              <w:left w:val="nil"/>
              <w:bottom w:val="nil"/>
              <w:right w:val="nil"/>
            </w:tcBorders>
            <w:shd w:val="clear" w:color="auto" w:fill="auto"/>
            <w:tcMar>
              <w:top w:w="15" w:type="dxa"/>
              <w:left w:w="15" w:type="dxa"/>
              <w:bottom w:w="0" w:type="dxa"/>
              <w:right w:w="15" w:type="dxa"/>
            </w:tcMar>
            <w:vAlign w:val="center"/>
          </w:tcPr>
          <w:p w14:paraId="583B4E59" w14:textId="77777777" w:rsidR="007F6BC9" w:rsidRPr="008C28EB" w:rsidRDefault="007F6BC9" w:rsidP="00B70718">
            <w:pPr>
              <w:spacing w:before="120"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 dummy variable taking the value of 1 if the bank is under the ECB direct supervision and 0 otherwise</w:t>
            </w:r>
          </w:p>
        </w:tc>
        <w:tc>
          <w:tcPr>
            <w:tcW w:w="1166" w:type="dxa"/>
            <w:tcBorders>
              <w:top w:val="nil"/>
              <w:left w:val="nil"/>
              <w:bottom w:val="nil"/>
              <w:right w:val="nil"/>
            </w:tcBorders>
            <w:shd w:val="clear" w:color="auto" w:fill="auto"/>
            <w:tcMar>
              <w:top w:w="15" w:type="dxa"/>
              <w:left w:w="15" w:type="dxa"/>
              <w:bottom w:w="0" w:type="dxa"/>
              <w:right w:w="15" w:type="dxa"/>
            </w:tcMar>
            <w:vAlign w:val="center"/>
          </w:tcPr>
          <w:p w14:paraId="76398292" w14:textId="77777777" w:rsidR="007F6BC9" w:rsidRPr="008C28EB" w:rsidRDefault="007F6BC9"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ECB</w:t>
            </w:r>
          </w:p>
        </w:tc>
      </w:tr>
      <w:tr w:rsidR="007F6BC9" w:rsidRPr="008C28EB" w14:paraId="32AE89DE" w14:textId="77777777" w:rsidTr="00B70718">
        <w:trPr>
          <w:trHeight w:val="454"/>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hideMark/>
          </w:tcPr>
          <w:p w14:paraId="6AAD86D1"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Industry concentration</w:t>
            </w:r>
          </w:p>
        </w:tc>
        <w:tc>
          <w:tcPr>
            <w:tcW w:w="961" w:type="dxa"/>
            <w:tcBorders>
              <w:top w:val="nil"/>
              <w:left w:val="nil"/>
              <w:bottom w:val="nil"/>
              <w:right w:val="nil"/>
            </w:tcBorders>
            <w:shd w:val="clear" w:color="auto" w:fill="auto"/>
            <w:tcMar>
              <w:top w:w="15" w:type="dxa"/>
              <w:left w:w="15" w:type="dxa"/>
              <w:bottom w:w="0" w:type="dxa"/>
              <w:right w:w="15" w:type="dxa"/>
            </w:tcMar>
            <w:vAlign w:val="center"/>
            <w:hideMark/>
          </w:tcPr>
          <w:p w14:paraId="1E19F078" w14:textId="77777777" w:rsidR="007F6BC9" w:rsidRPr="008C28EB" w:rsidRDefault="007F6BC9" w:rsidP="00B70718">
            <w:pPr>
              <w:spacing w:before="120" w:after="120" w:line="240" w:lineRule="auto"/>
              <w:jc w:val="center"/>
              <w:rPr>
                <w:rFonts w:ascii="Times New Roman" w:hAnsi="Times New Roman"/>
                <w:i/>
                <w:sz w:val="18"/>
                <w:szCs w:val="18"/>
                <w:lang w:val="en-US"/>
              </w:rPr>
            </w:pPr>
            <w:r w:rsidRPr="008C28EB">
              <w:rPr>
                <w:rFonts w:ascii="Times New Roman" w:hAnsi="Times New Roman"/>
                <w:i/>
                <w:sz w:val="18"/>
                <w:szCs w:val="18"/>
                <w:lang w:val="en-US"/>
              </w:rPr>
              <w:t>HHI</w:t>
            </w:r>
          </w:p>
        </w:tc>
        <w:tc>
          <w:tcPr>
            <w:tcW w:w="5591" w:type="dxa"/>
            <w:tcBorders>
              <w:top w:val="nil"/>
              <w:left w:val="nil"/>
              <w:bottom w:val="nil"/>
              <w:right w:val="nil"/>
            </w:tcBorders>
            <w:shd w:val="clear" w:color="auto" w:fill="auto"/>
            <w:tcMar>
              <w:top w:w="15" w:type="dxa"/>
              <w:left w:w="15" w:type="dxa"/>
              <w:bottom w:w="0" w:type="dxa"/>
              <w:right w:w="15" w:type="dxa"/>
            </w:tcMar>
            <w:vAlign w:val="center"/>
            <w:hideMark/>
          </w:tcPr>
          <w:p w14:paraId="642AFEB0"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eastAsia="Times New Roman" w:hAnsi="Times New Roman"/>
                <w:sz w:val="18"/>
                <w:szCs w:val="18"/>
                <w:lang w:val="en-US"/>
              </w:rPr>
              <w:t>The natural logarithm of the Herfindahl-Hirschman Index</w:t>
            </w:r>
          </w:p>
        </w:tc>
        <w:tc>
          <w:tcPr>
            <w:tcW w:w="1166" w:type="dxa"/>
            <w:tcBorders>
              <w:top w:val="nil"/>
              <w:left w:val="nil"/>
              <w:bottom w:val="nil"/>
              <w:right w:val="nil"/>
            </w:tcBorders>
            <w:shd w:val="clear" w:color="auto" w:fill="auto"/>
            <w:tcMar>
              <w:top w:w="15" w:type="dxa"/>
              <w:left w:w="15" w:type="dxa"/>
              <w:bottom w:w="0" w:type="dxa"/>
              <w:right w:w="15" w:type="dxa"/>
            </w:tcMar>
            <w:vAlign w:val="center"/>
            <w:hideMark/>
          </w:tcPr>
          <w:p w14:paraId="607990A2" w14:textId="77777777" w:rsidR="007F6BC9" w:rsidRPr="008C28EB" w:rsidRDefault="007F6BC9"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ECB</w:t>
            </w:r>
          </w:p>
        </w:tc>
      </w:tr>
      <w:tr w:rsidR="007F6BC9" w:rsidRPr="008C28EB" w14:paraId="61687F52" w14:textId="77777777" w:rsidTr="00B70718">
        <w:trPr>
          <w:trHeight w:val="454"/>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tcPr>
          <w:p w14:paraId="6CEBDC84"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State Aids</w:t>
            </w:r>
          </w:p>
        </w:tc>
        <w:tc>
          <w:tcPr>
            <w:tcW w:w="961" w:type="dxa"/>
            <w:tcBorders>
              <w:top w:val="nil"/>
              <w:left w:val="nil"/>
              <w:bottom w:val="nil"/>
              <w:right w:val="nil"/>
            </w:tcBorders>
            <w:shd w:val="clear" w:color="auto" w:fill="auto"/>
            <w:tcMar>
              <w:top w:w="15" w:type="dxa"/>
              <w:left w:w="15" w:type="dxa"/>
              <w:bottom w:w="0" w:type="dxa"/>
              <w:right w:w="15" w:type="dxa"/>
            </w:tcMar>
            <w:vAlign w:val="center"/>
          </w:tcPr>
          <w:p w14:paraId="2F77B01C" w14:textId="77777777" w:rsidR="007F6BC9" w:rsidRPr="008C28EB" w:rsidRDefault="007F6BC9" w:rsidP="00B70718">
            <w:pPr>
              <w:spacing w:before="120" w:after="120" w:line="240" w:lineRule="auto"/>
              <w:jc w:val="center"/>
              <w:rPr>
                <w:rFonts w:ascii="Times New Roman" w:hAnsi="Times New Roman"/>
                <w:i/>
                <w:sz w:val="18"/>
                <w:szCs w:val="18"/>
                <w:lang w:val="en-US"/>
              </w:rPr>
            </w:pPr>
            <w:r w:rsidRPr="008C28EB">
              <w:rPr>
                <w:rFonts w:ascii="Times New Roman" w:hAnsi="Times New Roman"/>
                <w:i/>
                <w:sz w:val="18"/>
                <w:szCs w:val="18"/>
                <w:lang w:val="en-US"/>
              </w:rPr>
              <w:t>Sta</w:t>
            </w:r>
          </w:p>
        </w:tc>
        <w:tc>
          <w:tcPr>
            <w:tcW w:w="5591" w:type="dxa"/>
            <w:tcBorders>
              <w:top w:val="nil"/>
              <w:left w:val="nil"/>
              <w:bottom w:val="nil"/>
              <w:right w:val="nil"/>
            </w:tcBorders>
            <w:shd w:val="clear" w:color="auto" w:fill="auto"/>
            <w:tcMar>
              <w:top w:w="15" w:type="dxa"/>
              <w:left w:w="15" w:type="dxa"/>
              <w:bottom w:w="0" w:type="dxa"/>
              <w:right w:w="15" w:type="dxa"/>
            </w:tcMar>
            <w:vAlign w:val="center"/>
          </w:tcPr>
          <w:p w14:paraId="1DABFB44" w14:textId="77777777" w:rsidR="007F6BC9" w:rsidRPr="008C28EB" w:rsidRDefault="007F6BC9" w:rsidP="00B70718">
            <w:pPr>
              <w:spacing w:before="120"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The amount of resources devoted to recapitalization and asset relief purposes over the period 2008-2012, as a percentage of 2012 GDP.</w:t>
            </w:r>
          </w:p>
        </w:tc>
        <w:tc>
          <w:tcPr>
            <w:tcW w:w="1166" w:type="dxa"/>
            <w:tcBorders>
              <w:top w:val="nil"/>
              <w:left w:val="nil"/>
              <w:bottom w:val="nil"/>
              <w:right w:val="nil"/>
            </w:tcBorders>
            <w:shd w:val="clear" w:color="auto" w:fill="auto"/>
            <w:tcMar>
              <w:top w:w="15" w:type="dxa"/>
              <w:left w:w="15" w:type="dxa"/>
              <w:bottom w:w="0" w:type="dxa"/>
              <w:right w:w="15" w:type="dxa"/>
            </w:tcMar>
            <w:vAlign w:val="center"/>
          </w:tcPr>
          <w:p w14:paraId="69D3120D" w14:textId="77777777" w:rsidR="007F6BC9" w:rsidRPr="008C28EB" w:rsidRDefault="007F6BC9"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European Commission</w:t>
            </w:r>
          </w:p>
        </w:tc>
      </w:tr>
      <w:tr w:rsidR="007F6BC9" w:rsidRPr="008C28EB" w14:paraId="6B6D419B" w14:textId="77777777" w:rsidTr="00B70718">
        <w:trPr>
          <w:trHeight w:val="454"/>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tcPr>
          <w:p w14:paraId="00E95DA3"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GDP</w:t>
            </w:r>
          </w:p>
        </w:tc>
        <w:tc>
          <w:tcPr>
            <w:tcW w:w="961" w:type="dxa"/>
            <w:tcBorders>
              <w:top w:val="nil"/>
              <w:left w:val="nil"/>
              <w:bottom w:val="nil"/>
              <w:right w:val="nil"/>
            </w:tcBorders>
            <w:shd w:val="clear" w:color="auto" w:fill="auto"/>
            <w:tcMar>
              <w:top w:w="15" w:type="dxa"/>
              <w:left w:w="15" w:type="dxa"/>
              <w:bottom w:w="0" w:type="dxa"/>
              <w:right w:w="15" w:type="dxa"/>
            </w:tcMar>
            <w:vAlign w:val="center"/>
          </w:tcPr>
          <w:p w14:paraId="13B9D876" w14:textId="77777777" w:rsidR="007F6BC9" w:rsidRPr="008C28EB" w:rsidRDefault="007F6BC9" w:rsidP="00B70718">
            <w:pPr>
              <w:spacing w:before="120" w:after="120" w:line="240" w:lineRule="auto"/>
              <w:jc w:val="center"/>
              <w:rPr>
                <w:rFonts w:ascii="Times New Roman" w:hAnsi="Times New Roman"/>
                <w:i/>
                <w:sz w:val="18"/>
                <w:szCs w:val="18"/>
                <w:lang w:val="en-US"/>
              </w:rPr>
            </w:pPr>
            <w:r w:rsidRPr="008C28EB">
              <w:rPr>
                <w:rFonts w:ascii="Times New Roman" w:hAnsi="Times New Roman"/>
                <w:i/>
                <w:sz w:val="18"/>
                <w:szCs w:val="18"/>
                <w:lang w:val="en-US"/>
              </w:rPr>
              <w:t>GDP</w:t>
            </w:r>
          </w:p>
        </w:tc>
        <w:tc>
          <w:tcPr>
            <w:tcW w:w="5591" w:type="dxa"/>
            <w:tcBorders>
              <w:top w:val="nil"/>
              <w:left w:val="nil"/>
              <w:bottom w:val="nil"/>
              <w:right w:val="nil"/>
            </w:tcBorders>
            <w:shd w:val="clear" w:color="auto" w:fill="auto"/>
            <w:tcMar>
              <w:top w:w="15" w:type="dxa"/>
              <w:left w:w="15" w:type="dxa"/>
              <w:bottom w:w="0" w:type="dxa"/>
              <w:right w:w="15" w:type="dxa"/>
            </w:tcMar>
            <w:vAlign w:val="center"/>
          </w:tcPr>
          <w:p w14:paraId="5BB1DAB8" w14:textId="77777777" w:rsidR="007F6BC9" w:rsidRPr="008C28EB" w:rsidRDefault="007F6BC9" w:rsidP="00B70718">
            <w:pPr>
              <w:spacing w:before="120"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The nominal value of the country GDP</w:t>
            </w:r>
            <w:r w:rsidR="00C077C7" w:rsidRPr="008C28EB">
              <w:rPr>
                <w:rFonts w:ascii="Times New Roman" w:eastAsia="Times New Roman" w:hAnsi="Times New Roman"/>
                <w:sz w:val="18"/>
                <w:szCs w:val="18"/>
                <w:lang w:val="en-US"/>
              </w:rPr>
              <w:t xml:space="preserve"> </w:t>
            </w:r>
            <w:r w:rsidR="00291F97" w:rsidRPr="008C28EB">
              <w:rPr>
                <w:rFonts w:ascii="Times New Roman" w:eastAsia="Times New Roman" w:hAnsi="Times New Roman"/>
                <w:sz w:val="18"/>
                <w:szCs w:val="18"/>
                <w:lang w:val="en-US"/>
              </w:rPr>
              <w:t>in EUR million</w:t>
            </w:r>
          </w:p>
        </w:tc>
        <w:tc>
          <w:tcPr>
            <w:tcW w:w="1166" w:type="dxa"/>
            <w:tcBorders>
              <w:top w:val="nil"/>
              <w:left w:val="nil"/>
              <w:bottom w:val="nil"/>
              <w:right w:val="nil"/>
            </w:tcBorders>
            <w:shd w:val="clear" w:color="auto" w:fill="auto"/>
            <w:tcMar>
              <w:top w:w="15" w:type="dxa"/>
              <w:left w:w="15" w:type="dxa"/>
              <w:bottom w:w="0" w:type="dxa"/>
              <w:right w:w="15" w:type="dxa"/>
            </w:tcMar>
            <w:vAlign w:val="center"/>
          </w:tcPr>
          <w:p w14:paraId="51209E7F" w14:textId="77777777" w:rsidR="007F6BC9" w:rsidRPr="008C28EB" w:rsidRDefault="007F6BC9"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World Bank</w:t>
            </w:r>
          </w:p>
        </w:tc>
      </w:tr>
      <w:tr w:rsidR="008C28EB" w:rsidRPr="008C28EB" w14:paraId="71A7489A" w14:textId="77777777" w:rsidTr="00B70718">
        <w:trPr>
          <w:trHeight w:val="454"/>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tcPr>
          <w:p w14:paraId="597ABE7C"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Euro Area</w:t>
            </w:r>
          </w:p>
        </w:tc>
        <w:tc>
          <w:tcPr>
            <w:tcW w:w="961" w:type="dxa"/>
            <w:tcBorders>
              <w:top w:val="nil"/>
              <w:left w:val="nil"/>
              <w:bottom w:val="nil"/>
              <w:right w:val="nil"/>
            </w:tcBorders>
            <w:shd w:val="clear" w:color="auto" w:fill="auto"/>
            <w:tcMar>
              <w:top w:w="15" w:type="dxa"/>
              <w:left w:w="15" w:type="dxa"/>
              <w:bottom w:w="0" w:type="dxa"/>
              <w:right w:w="15" w:type="dxa"/>
            </w:tcMar>
            <w:vAlign w:val="center"/>
          </w:tcPr>
          <w:p w14:paraId="54EA7988" w14:textId="77777777" w:rsidR="007F6BC9" w:rsidRPr="008C28EB" w:rsidRDefault="007F6BC9" w:rsidP="00B70718">
            <w:pPr>
              <w:spacing w:before="120" w:after="120" w:line="240" w:lineRule="auto"/>
              <w:jc w:val="center"/>
              <w:rPr>
                <w:rFonts w:ascii="Times New Roman" w:hAnsi="Times New Roman"/>
                <w:i/>
                <w:sz w:val="18"/>
                <w:szCs w:val="18"/>
                <w:lang w:val="en-US"/>
              </w:rPr>
            </w:pPr>
            <w:r w:rsidRPr="008C28EB">
              <w:rPr>
                <w:rFonts w:ascii="Times New Roman" w:hAnsi="Times New Roman"/>
                <w:i/>
                <w:sz w:val="18"/>
                <w:szCs w:val="18"/>
                <w:lang w:val="en-US"/>
              </w:rPr>
              <w:t>EMU</w:t>
            </w:r>
          </w:p>
        </w:tc>
        <w:tc>
          <w:tcPr>
            <w:tcW w:w="5591" w:type="dxa"/>
            <w:tcBorders>
              <w:top w:val="nil"/>
              <w:left w:val="nil"/>
              <w:bottom w:val="nil"/>
              <w:right w:val="nil"/>
            </w:tcBorders>
            <w:shd w:val="clear" w:color="auto" w:fill="auto"/>
            <w:tcMar>
              <w:top w:w="15" w:type="dxa"/>
              <w:left w:w="15" w:type="dxa"/>
              <w:bottom w:w="0" w:type="dxa"/>
              <w:right w:w="15" w:type="dxa"/>
            </w:tcMar>
            <w:vAlign w:val="center"/>
          </w:tcPr>
          <w:p w14:paraId="4245321E" w14:textId="77777777" w:rsidR="007F6BC9" w:rsidRPr="008C28EB" w:rsidRDefault="007F6BC9" w:rsidP="00B70718">
            <w:pPr>
              <w:spacing w:before="120" w:after="120" w:line="240" w:lineRule="auto"/>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 dummy variable taking the value of 1 if the bank is</w:t>
            </w:r>
            <w:r w:rsidR="00F02DB6" w:rsidRPr="008C28EB">
              <w:rPr>
                <w:rFonts w:ascii="Times New Roman" w:eastAsia="Times New Roman" w:hAnsi="Times New Roman"/>
                <w:sz w:val="18"/>
                <w:szCs w:val="18"/>
                <w:lang w:val="en-US"/>
              </w:rPr>
              <w:t xml:space="preserve"> in one of the Euro area countries</w:t>
            </w:r>
            <w:r w:rsidRPr="008C28EB">
              <w:rPr>
                <w:rFonts w:ascii="Times New Roman" w:eastAsia="Times New Roman" w:hAnsi="Times New Roman"/>
                <w:sz w:val="18"/>
                <w:szCs w:val="18"/>
                <w:lang w:val="en-US"/>
              </w:rPr>
              <w:t xml:space="preserve"> and 0 otherwise</w:t>
            </w:r>
          </w:p>
        </w:tc>
        <w:tc>
          <w:tcPr>
            <w:tcW w:w="1166" w:type="dxa"/>
            <w:tcBorders>
              <w:top w:val="nil"/>
              <w:left w:val="nil"/>
              <w:bottom w:val="nil"/>
              <w:right w:val="nil"/>
            </w:tcBorders>
            <w:shd w:val="clear" w:color="auto" w:fill="auto"/>
            <w:tcMar>
              <w:top w:w="15" w:type="dxa"/>
              <w:left w:w="15" w:type="dxa"/>
              <w:bottom w:w="0" w:type="dxa"/>
              <w:right w:w="15" w:type="dxa"/>
            </w:tcMar>
            <w:vAlign w:val="center"/>
          </w:tcPr>
          <w:p w14:paraId="73A08F53" w14:textId="1CD1EC06" w:rsidR="007F6BC9" w:rsidRPr="008C28EB" w:rsidRDefault="00617096"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ECB</w:t>
            </w:r>
          </w:p>
        </w:tc>
      </w:tr>
      <w:tr w:rsidR="007F6BC9" w:rsidRPr="008C28EB" w14:paraId="3F167598" w14:textId="77777777" w:rsidTr="00B70718">
        <w:trPr>
          <w:trHeight w:val="451"/>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hideMark/>
          </w:tcPr>
          <w:p w14:paraId="39993A0D"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Relative size</w:t>
            </w:r>
          </w:p>
        </w:tc>
        <w:tc>
          <w:tcPr>
            <w:tcW w:w="961" w:type="dxa"/>
            <w:tcBorders>
              <w:top w:val="nil"/>
              <w:left w:val="nil"/>
              <w:bottom w:val="nil"/>
              <w:right w:val="nil"/>
            </w:tcBorders>
            <w:shd w:val="clear" w:color="auto" w:fill="auto"/>
            <w:tcMar>
              <w:top w:w="15" w:type="dxa"/>
              <w:left w:w="15" w:type="dxa"/>
              <w:bottom w:w="0" w:type="dxa"/>
              <w:right w:w="15" w:type="dxa"/>
            </w:tcMar>
            <w:vAlign w:val="center"/>
            <w:hideMark/>
          </w:tcPr>
          <w:p w14:paraId="4654D32C" w14:textId="77777777" w:rsidR="007F6BC9" w:rsidRPr="008C28EB" w:rsidRDefault="007F6BC9" w:rsidP="00B70718">
            <w:pPr>
              <w:spacing w:before="120" w:after="120" w:line="240" w:lineRule="auto"/>
              <w:jc w:val="center"/>
              <w:rPr>
                <w:rFonts w:ascii="Times New Roman" w:hAnsi="Times New Roman"/>
                <w:i/>
                <w:sz w:val="18"/>
                <w:szCs w:val="18"/>
                <w:lang w:val="en-US"/>
              </w:rPr>
            </w:pPr>
            <w:r w:rsidRPr="008C28EB">
              <w:rPr>
                <w:rFonts w:ascii="Times New Roman" w:hAnsi="Times New Roman"/>
                <w:i/>
                <w:sz w:val="18"/>
                <w:szCs w:val="18"/>
                <w:lang w:val="en-US"/>
              </w:rPr>
              <w:t>ReS</w:t>
            </w:r>
          </w:p>
        </w:tc>
        <w:tc>
          <w:tcPr>
            <w:tcW w:w="5591" w:type="dxa"/>
            <w:tcBorders>
              <w:top w:val="nil"/>
              <w:left w:val="nil"/>
              <w:bottom w:val="nil"/>
              <w:right w:val="nil"/>
            </w:tcBorders>
            <w:shd w:val="clear" w:color="auto" w:fill="auto"/>
            <w:tcMar>
              <w:top w:w="15" w:type="dxa"/>
              <w:left w:w="15" w:type="dxa"/>
              <w:bottom w:w="0" w:type="dxa"/>
              <w:right w:w="15" w:type="dxa"/>
            </w:tcMar>
            <w:vAlign w:val="center"/>
            <w:hideMark/>
          </w:tcPr>
          <w:p w14:paraId="3F361FA4"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eastAsia="Times New Roman" w:hAnsi="Times New Roman"/>
                <w:sz w:val="18"/>
                <w:szCs w:val="18"/>
                <w:lang w:val="en-US"/>
              </w:rPr>
              <w:t xml:space="preserve">The ratio between bank total assets and country GDP </w:t>
            </w:r>
          </w:p>
        </w:tc>
        <w:tc>
          <w:tcPr>
            <w:tcW w:w="1166" w:type="dxa"/>
            <w:tcBorders>
              <w:top w:val="nil"/>
              <w:left w:val="nil"/>
              <w:bottom w:val="nil"/>
              <w:right w:val="nil"/>
            </w:tcBorders>
            <w:shd w:val="clear" w:color="auto" w:fill="auto"/>
            <w:tcMar>
              <w:top w:w="15" w:type="dxa"/>
              <w:left w:w="15" w:type="dxa"/>
              <w:bottom w:w="0" w:type="dxa"/>
              <w:right w:w="15" w:type="dxa"/>
            </w:tcMar>
            <w:vAlign w:val="center"/>
            <w:hideMark/>
          </w:tcPr>
          <w:p w14:paraId="1A68BC8F" w14:textId="77777777" w:rsidR="007F6BC9" w:rsidRPr="008C28EB" w:rsidRDefault="007F6BC9"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Bankscope and World Bank.</w:t>
            </w:r>
          </w:p>
        </w:tc>
      </w:tr>
      <w:tr w:rsidR="007F6BC9" w:rsidRPr="008C28EB" w14:paraId="1E1BCBB8" w14:textId="77777777" w:rsidTr="00B70718">
        <w:trPr>
          <w:trHeight w:val="454"/>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tcPr>
          <w:p w14:paraId="5BAA122C"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Return on Assets</w:t>
            </w:r>
          </w:p>
        </w:tc>
        <w:tc>
          <w:tcPr>
            <w:tcW w:w="961" w:type="dxa"/>
            <w:tcBorders>
              <w:top w:val="nil"/>
              <w:left w:val="nil"/>
              <w:bottom w:val="nil"/>
              <w:right w:val="nil"/>
            </w:tcBorders>
            <w:shd w:val="clear" w:color="auto" w:fill="auto"/>
            <w:tcMar>
              <w:top w:w="15" w:type="dxa"/>
              <w:left w:w="15" w:type="dxa"/>
              <w:bottom w:w="0" w:type="dxa"/>
              <w:right w:w="15" w:type="dxa"/>
            </w:tcMar>
            <w:vAlign w:val="center"/>
          </w:tcPr>
          <w:p w14:paraId="2688068A" w14:textId="77777777" w:rsidR="007F6BC9" w:rsidRPr="008C28EB" w:rsidRDefault="007F6BC9" w:rsidP="00B70718">
            <w:pPr>
              <w:spacing w:before="120" w:after="120" w:line="240" w:lineRule="auto"/>
              <w:jc w:val="center"/>
              <w:rPr>
                <w:rFonts w:ascii="Times New Roman" w:hAnsi="Times New Roman"/>
                <w:i/>
                <w:sz w:val="18"/>
                <w:szCs w:val="18"/>
                <w:lang w:val="en-US"/>
              </w:rPr>
            </w:pPr>
            <w:r w:rsidRPr="008C28EB">
              <w:rPr>
                <w:rFonts w:ascii="Times New Roman" w:hAnsi="Times New Roman"/>
                <w:i/>
                <w:sz w:val="18"/>
                <w:szCs w:val="18"/>
                <w:lang w:val="en-US"/>
              </w:rPr>
              <w:t>ROA</w:t>
            </w:r>
          </w:p>
        </w:tc>
        <w:tc>
          <w:tcPr>
            <w:tcW w:w="5591" w:type="dxa"/>
            <w:tcBorders>
              <w:top w:val="nil"/>
              <w:left w:val="nil"/>
              <w:bottom w:val="nil"/>
              <w:right w:val="nil"/>
            </w:tcBorders>
            <w:shd w:val="clear" w:color="auto" w:fill="auto"/>
            <w:tcMar>
              <w:top w:w="15" w:type="dxa"/>
              <w:left w:w="15" w:type="dxa"/>
              <w:bottom w:w="0" w:type="dxa"/>
              <w:right w:w="15" w:type="dxa"/>
            </w:tcMar>
            <w:vAlign w:val="center"/>
          </w:tcPr>
          <w:p w14:paraId="4B6FACD5" w14:textId="77777777" w:rsidR="007F6BC9" w:rsidRPr="008C28EB" w:rsidRDefault="007F6BC9" w:rsidP="00B70718">
            <w:pPr>
              <w:spacing w:before="120" w:after="120" w:line="240" w:lineRule="auto"/>
              <w:rPr>
                <w:rFonts w:ascii="Times New Roman" w:eastAsia="Times New Roman" w:hAnsi="Times New Roman"/>
                <w:sz w:val="18"/>
                <w:szCs w:val="18"/>
                <w:lang w:val="en-US"/>
              </w:rPr>
            </w:pPr>
            <w:r w:rsidRPr="008C28EB">
              <w:rPr>
                <w:rFonts w:ascii="Times New Roman" w:eastAsia="Times New Roman" w:hAnsi="Times New Roman"/>
                <w:kern w:val="1"/>
                <w:sz w:val="18"/>
                <w:szCs w:val="18"/>
                <w:lang w:val="en-US" w:eastAsia="ar-SA"/>
              </w:rPr>
              <w:t>The ratio between pre-tax profits and total assets. This variable measures the bank profitability, avoiding the effect of fiscal differences among countries</w:t>
            </w:r>
          </w:p>
        </w:tc>
        <w:tc>
          <w:tcPr>
            <w:tcW w:w="1166" w:type="dxa"/>
            <w:tcBorders>
              <w:top w:val="nil"/>
              <w:left w:val="nil"/>
              <w:bottom w:val="nil"/>
              <w:right w:val="nil"/>
            </w:tcBorders>
            <w:shd w:val="clear" w:color="auto" w:fill="auto"/>
            <w:tcMar>
              <w:top w:w="15" w:type="dxa"/>
              <w:left w:w="15" w:type="dxa"/>
              <w:bottom w:w="0" w:type="dxa"/>
              <w:right w:w="15" w:type="dxa"/>
            </w:tcMar>
            <w:vAlign w:val="center"/>
          </w:tcPr>
          <w:p w14:paraId="164632E9" w14:textId="77777777" w:rsidR="007F6BC9" w:rsidRPr="008C28EB" w:rsidRDefault="007F6BC9"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Bankscope</w:t>
            </w:r>
          </w:p>
        </w:tc>
      </w:tr>
      <w:tr w:rsidR="007F6BC9" w:rsidRPr="008C28EB" w14:paraId="1B498937" w14:textId="77777777" w:rsidTr="00B70718">
        <w:trPr>
          <w:trHeight w:val="454"/>
          <w:jc w:val="center"/>
        </w:trPr>
        <w:tc>
          <w:tcPr>
            <w:tcW w:w="1478" w:type="dxa"/>
            <w:tcBorders>
              <w:top w:val="nil"/>
              <w:left w:val="nil"/>
              <w:bottom w:val="nil"/>
              <w:right w:val="nil"/>
            </w:tcBorders>
            <w:shd w:val="clear" w:color="auto" w:fill="auto"/>
            <w:tcMar>
              <w:top w:w="15" w:type="dxa"/>
              <w:left w:w="15" w:type="dxa"/>
              <w:bottom w:w="0" w:type="dxa"/>
              <w:right w:w="15" w:type="dxa"/>
            </w:tcMar>
            <w:vAlign w:val="center"/>
          </w:tcPr>
          <w:p w14:paraId="2B6318BA" w14:textId="77777777" w:rsidR="007F6BC9" w:rsidRPr="008C28EB" w:rsidRDefault="007F6BC9" w:rsidP="00B70718">
            <w:pPr>
              <w:spacing w:before="120" w:after="120" w:line="240" w:lineRule="auto"/>
              <w:rPr>
                <w:rFonts w:ascii="Times New Roman" w:hAnsi="Times New Roman"/>
                <w:sz w:val="18"/>
                <w:szCs w:val="18"/>
                <w:lang w:val="en-US"/>
              </w:rPr>
            </w:pPr>
            <w:r w:rsidRPr="008C28EB">
              <w:rPr>
                <w:rFonts w:ascii="Times New Roman" w:hAnsi="Times New Roman"/>
                <w:sz w:val="18"/>
                <w:szCs w:val="18"/>
                <w:lang w:val="en-US"/>
              </w:rPr>
              <w:t>Capitalization</w:t>
            </w:r>
          </w:p>
        </w:tc>
        <w:tc>
          <w:tcPr>
            <w:tcW w:w="961" w:type="dxa"/>
            <w:tcBorders>
              <w:top w:val="nil"/>
              <w:left w:val="nil"/>
              <w:bottom w:val="nil"/>
              <w:right w:val="nil"/>
            </w:tcBorders>
            <w:shd w:val="clear" w:color="auto" w:fill="auto"/>
            <w:tcMar>
              <w:top w:w="15" w:type="dxa"/>
              <w:left w:w="15" w:type="dxa"/>
              <w:bottom w:w="0" w:type="dxa"/>
              <w:right w:w="15" w:type="dxa"/>
            </w:tcMar>
            <w:vAlign w:val="center"/>
          </w:tcPr>
          <w:p w14:paraId="13B86AF8" w14:textId="77777777" w:rsidR="007F6BC9" w:rsidRPr="008C28EB" w:rsidRDefault="007F6BC9" w:rsidP="00B70718">
            <w:pPr>
              <w:spacing w:before="120" w:after="120" w:line="240" w:lineRule="auto"/>
              <w:jc w:val="center"/>
              <w:rPr>
                <w:rFonts w:ascii="Times New Roman" w:hAnsi="Times New Roman"/>
                <w:i/>
                <w:sz w:val="18"/>
                <w:szCs w:val="18"/>
                <w:lang w:val="en-US"/>
              </w:rPr>
            </w:pPr>
            <w:r w:rsidRPr="008C28EB">
              <w:rPr>
                <w:rFonts w:ascii="Times New Roman" w:eastAsia="Times New Roman" w:hAnsi="Times New Roman"/>
                <w:i/>
                <w:kern w:val="1"/>
                <w:sz w:val="18"/>
                <w:szCs w:val="18"/>
                <w:lang w:val="en-US" w:eastAsia="ar-SA"/>
              </w:rPr>
              <w:t>ETA</w:t>
            </w:r>
          </w:p>
        </w:tc>
        <w:tc>
          <w:tcPr>
            <w:tcW w:w="5591" w:type="dxa"/>
            <w:tcBorders>
              <w:top w:val="nil"/>
              <w:left w:val="nil"/>
              <w:bottom w:val="nil"/>
              <w:right w:val="nil"/>
            </w:tcBorders>
            <w:shd w:val="clear" w:color="auto" w:fill="auto"/>
            <w:tcMar>
              <w:top w:w="15" w:type="dxa"/>
              <w:left w:w="15" w:type="dxa"/>
              <w:bottom w:w="0" w:type="dxa"/>
              <w:right w:w="15" w:type="dxa"/>
            </w:tcMar>
            <w:vAlign w:val="center"/>
          </w:tcPr>
          <w:p w14:paraId="24EC65F1" w14:textId="77777777" w:rsidR="007F6BC9" w:rsidRPr="008C28EB" w:rsidRDefault="007F6BC9" w:rsidP="00B70718">
            <w:pPr>
              <w:suppressAutoHyphens/>
              <w:spacing w:before="120" w:after="120" w:line="240" w:lineRule="auto"/>
              <w:jc w:val="both"/>
              <w:rPr>
                <w:rFonts w:ascii="Times New Roman" w:eastAsia="Times New Roman" w:hAnsi="Times New Roman"/>
                <w:i/>
                <w:kern w:val="1"/>
                <w:sz w:val="18"/>
                <w:szCs w:val="18"/>
                <w:lang w:val="en-US" w:eastAsia="ar-SA"/>
              </w:rPr>
            </w:pPr>
            <w:r w:rsidRPr="008C28EB">
              <w:rPr>
                <w:rFonts w:ascii="Times New Roman" w:eastAsia="Times New Roman" w:hAnsi="Times New Roman"/>
                <w:kern w:val="1"/>
                <w:sz w:val="18"/>
                <w:szCs w:val="18"/>
                <w:lang w:val="en-US" w:eastAsia="ar-SA"/>
              </w:rPr>
              <w:t>The ratio between equity and total assets. This variable measures the bank capitalization without considering regulatory risk-weights for different asset classes</w:t>
            </w:r>
          </w:p>
        </w:tc>
        <w:tc>
          <w:tcPr>
            <w:tcW w:w="1166" w:type="dxa"/>
            <w:tcBorders>
              <w:top w:val="nil"/>
              <w:left w:val="nil"/>
              <w:bottom w:val="nil"/>
              <w:right w:val="nil"/>
            </w:tcBorders>
            <w:shd w:val="clear" w:color="auto" w:fill="auto"/>
            <w:tcMar>
              <w:top w:w="15" w:type="dxa"/>
              <w:left w:w="15" w:type="dxa"/>
              <w:bottom w:w="0" w:type="dxa"/>
              <w:right w:w="15" w:type="dxa"/>
            </w:tcMar>
            <w:vAlign w:val="center"/>
          </w:tcPr>
          <w:p w14:paraId="1C0F8AB9" w14:textId="77777777" w:rsidR="007F6BC9" w:rsidRPr="008C28EB" w:rsidRDefault="007F6BC9" w:rsidP="00617096">
            <w:pPr>
              <w:spacing w:before="120" w:after="120" w:line="240" w:lineRule="auto"/>
              <w:jc w:val="center"/>
              <w:rPr>
                <w:rFonts w:ascii="Times New Roman" w:hAnsi="Times New Roman"/>
                <w:sz w:val="18"/>
                <w:szCs w:val="18"/>
                <w:lang w:val="en-US"/>
              </w:rPr>
            </w:pPr>
            <w:r w:rsidRPr="008C28EB">
              <w:rPr>
                <w:rFonts w:ascii="Times New Roman" w:hAnsi="Times New Roman"/>
                <w:sz w:val="18"/>
                <w:szCs w:val="18"/>
                <w:lang w:val="en-US"/>
              </w:rPr>
              <w:t>Bankscope</w:t>
            </w:r>
          </w:p>
        </w:tc>
      </w:tr>
      <w:bookmarkEnd w:id="4"/>
      <w:bookmarkEnd w:id="5"/>
    </w:tbl>
    <w:p w14:paraId="6F21CAAF" w14:textId="77777777" w:rsidR="007F6BC9" w:rsidRPr="008C28EB" w:rsidRDefault="007F6BC9" w:rsidP="007F6BC9">
      <w:pPr>
        <w:spacing w:after="0" w:line="240" w:lineRule="auto"/>
        <w:rPr>
          <w:rFonts w:ascii="Times New Roman" w:hAnsi="Times New Roman"/>
          <w:b/>
          <w:sz w:val="18"/>
          <w:szCs w:val="18"/>
          <w:lang w:val="en-US"/>
        </w:rPr>
      </w:pPr>
    </w:p>
    <w:p w14:paraId="7E699541" w14:textId="77777777" w:rsidR="007F6BC9" w:rsidRPr="008C28EB" w:rsidRDefault="007F6BC9" w:rsidP="007F6BC9">
      <w:pPr>
        <w:spacing w:after="0" w:line="240" w:lineRule="auto"/>
        <w:rPr>
          <w:rFonts w:ascii="Times New Roman" w:hAnsi="Times New Roman"/>
          <w:b/>
          <w:sz w:val="18"/>
          <w:szCs w:val="18"/>
          <w:lang w:val="en-US"/>
        </w:rPr>
      </w:pPr>
      <w:r w:rsidRPr="008C28EB">
        <w:rPr>
          <w:rFonts w:ascii="Times New Roman" w:hAnsi="Times New Roman"/>
          <w:b/>
          <w:sz w:val="18"/>
          <w:szCs w:val="18"/>
          <w:lang w:val="en-US"/>
        </w:rPr>
        <w:br w:type="page"/>
      </w:r>
    </w:p>
    <w:p w14:paraId="338FDE38" w14:textId="77777777" w:rsidR="007F6BC9" w:rsidRPr="008C28EB" w:rsidRDefault="007F6BC9" w:rsidP="007F6BC9">
      <w:pPr>
        <w:jc w:val="center"/>
        <w:rPr>
          <w:rFonts w:ascii="Times New Roman" w:hAnsi="Times New Roman"/>
          <w:b/>
          <w:bCs/>
          <w:sz w:val="24"/>
          <w:szCs w:val="24"/>
          <w:lang w:val="en-US"/>
        </w:rPr>
      </w:pPr>
      <w:r w:rsidRPr="008C28EB">
        <w:rPr>
          <w:rFonts w:ascii="Times New Roman" w:hAnsi="Times New Roman"/>
          <w:b/>
          <w:bCs/>
          <w:sz w:val="24"/>
          <w:szCs w:val="24"/>
          <w:lang w:val="en-US"/>
        </w:rPr>
        <w:lastRenderedPageBreak/>
        <w:t>Table 6</w:t>
      </w:r>
    </w:p>
    <w:p w14:paraId="314CCAB5" w14:textId="77777777" w:rsidR="007F6BC9" w:rsidRPr="008C28EB" w:rsidRDefault="007F6BC9" w:rsidP="007F6BC9">
      <w:pPr>
        <w:jc w:val="center"/>
        <w:rPr>
          <w:rFonts w:ascii="Times New Roman" w:hAnsi="Times New Roman"/>
          <w:b/>
          <w:bCs/>
          <w:sz w:val="24"/>
          <w:szCs w:val="24"/>
          <w:lang w:val="en-US"/>
        </w:rPr>
      </w:pPr>
      <w:r w:rsidRPr="008C28EB">
        <w:rPr>
          <w:rFonts w:ascii="Times New Roman" w:hAnsi="Times New Roman"/>
          <w:b/>
          <w:bCs/>
          <w:sz w:val="24"/>
          <w:szCs w:val="24"/>
          <w:lang w:val="en-US"/>
        </w:rPr>
        <w:t xml:space="preserve">Summary statistics </w:t>
      </w:r>
    </w:p>
    <w:p w14:paraId="6A095CB7" w14:textId="77777777" w:rsidR="007F6BC9" w:rsidRPr="008C28EB" w:rsidRDefault="007F6BC9" w:rsidP="007F6BC9">
      <w:pPr>
        <w:spacing w:after="0" w:line="240" w:lineRule="auto"/>
        <w:jc w:val="both"/>
        <w:rPr>
          <w:rFonts w:ascii="Times New Roman" w:hAnsi="Times New Roman"/>
          <w:sz w:val="18"/>
          <w:szCs w:val="18"/>
          <w:lang w:val="en-US"/>
        </w:rPr>
      </w:pPr>
      <w:r w:rsidRPr="008C28EB">
        <w:rPr>
          <w:rFonts w:ascii="Times New Roman" w:hAnsi="Times New Roman"/>
          <w:sz w:val="18"/>
          <w:szCs w:val="18"/>
          <w:lang w:val="en-US"/>
        </w:rPr>
        <w:t xml:space="preserve">This table reports the sample mean and standard deviation for </w:t>
      </w:r>
      <w:r w:rsidR="0012655C" w:rsidRPr="008C28EB">
        <w:rPr>
          <w:rFonts w:ascii="Times New Roman" w:hAnsi="Times New Roman"/>
          <w:sz w:val="18"/>
          <w:szCs w:val="18"/>
          <w:lang w:val="en-US"/>
        </w:rPr>
        <w:t xml:space="preserve">all </w:t>
      </w:r>
      <w:r w:rsidRPr="008C28EB">
        <w:rPr>
          <w:rFonts w:ascii="Times New Roman" w:hAnsi="Times New Roman"/>
          <w:sz w:val="18"/>
          <w:szCs w:val="18"/>
          <w:lang w:val="en-US"/>
        </w:rPr>
        <w:t xml:space="preserve">the </w:t>
      </w:r>
      <w:r w:rsidR="0012655C" w:rsidRPr="008C28EB">
        <w:rPr>
          <w:rFonts w:ascii="Times New Roman" w:hAnsi="Times New Roman"/>
          <w:sz w:val="18"/>
          <w:szCs w:val="18"/>
          <w:lang w:val="en-US"/>
        </w:rPr>
        <w:t xml:space="preserve">continuous </w:t>
      </w:r>
      <w:r w:rsidRPr="008C28EB">
        <w:rPr>
          <w:rFonts w:ascii="Times New Roman" w:hAnsi="Times New Roman"/>
          <w:sz w:val="18"/>
          <w:szCs w:val="18"/>
          <w:lang w:val="en-US"/>
        </w:rPr>
        <w:t>variables used in the treatment analysis to investigate investors’ reaction during the SSM launch. The construction of variables is explained in Table 5. All values refer to 2013, the year before the public launch of the Single Supervisory Mechanism.</w:t>
      </w:r>
    </w:p>
    <w:p w14:paraId="0436C5F4" w14:textId="77777777" w:rsidR="007F6BC9" w:rsidRPr="008C28EB" w:rsidRDefault="007F6BC9" w:rsidP="007F6BC9">
      <w:pPr>
        <w:spacing w:after="0" w:line="240" w:lineRule="auto"/>
        <w:rPr>
          <w:rFonts w:ascii="Times New Roman" w:hAnsi="Times New Roman"/>
          <w:b/>
          <w:sz w:val="21"/>
          <w:szCs w:val="21"/>
          <w:lang w:val="en-US"/>
        </w:rPr>
      </w:pPr>
    </w:p>
    <w:p w14:paraId="4454E394" w14:textId="77777777" w:rsidR="009C295D" w:rsidRPr="008C28EB" w:rsidRDefault="009C295D" w:rsidP="007F6BC9">
      <w:pPr>
        <w:spacing w:after="0" w:line="240" w:lineRule="auto"/>
        <w:rPr>
          <w:rFonts w:ascii="Times New Roman" w:hAnsi="Times New Roman"/>
          <w:b/>
          <w:sz w:val="21"/>
          <w:szCs w:val="21"/>
          <w:lang w:val="en-US"/>
        </w:rPr>
      </w:pPr>
    </w:p>
    <w:tbl>
      <w:tblPr>
        <w:tblW w:w="9798" w:type="dxa"/>
        <w:tblCellMar>
          <w:left w:w="70" w:type="dxa"/>
          <w:right w:w="70" w:type="dxa"/>
        </w:tblCellMar>
        <w:tblLook w:val="04A0" w:firstRow="1" w:lastRow="0" w:firstColumn="1" w:lastColumn="0" w:noHBand="0" w:noVBand="1"/>
      </w:tblPr>
      <w:tblGrid>
        <w:gridCol w:w="1185"/>
        <w:gridCol w:w="1185"/>
        <w:gridCol w:w="1185"/>
        <w:gridCol w:w="1185"/>
        <w:gridCol w:w="1185"/>
        <w:gridCol w:w="1185"/>
        <w:gridCol w:w="1185"/>
        <w:gridCol w:w="1345"/>
        <w:gridCol w:w="158"/>
      </w:tblGrid>
      <w:tr w:rsidR="009C295D" w:rsidRPr="008C28EB" w14:paraId="167B492E" w14:textId="77777777" w:rsidTr="00DD7B34">
        <w:trPr>
          <w:trHeight w:val="300"/>
        </w:trPr>
        <w:tc>
          <w:tcPr>
            <w:tcW w:w="1185" w:type="dxa"/>
            <w:tcBorders>
              <w:top w:val="single" w:sz="4" w:space="0" w:color="auto"/>
              <w:left w:val="nil"/>
              <w:bottom w:val="single" w:sz="4" w:space="0" w:color="auto"/>
              <w:right w:val="nil"/>
            </w:tcBorders>
            <w:shd w:val="clear" w:color="auto" w:fill="auto"/>
            <w:noWrap/>
            <w:vAlign w:val="bottom"/>
          </w:tcPr>
          <w:p w14:paraId="07AB789D" w14:textId="77777777" w:rsidR="009C295D" w:rsidRPr="008C28EB" w:rsidRDefault="009C295D" w:rsidP="009C295D">
            <w:pPr>
              <w:spacing w:after="0" w:line="240" w:lineRule="auto"/>
              <w:rPr>
                <w:rFonts w:ascii="Times New Roman" w:eastAsia="Times New Roman" w:hAnsi="Times New Roman"/>
                <w:sz w:val="18"/>
                <w:szCs w:val="18"/>
                <w:lang w:val="en-US"/>
              </w:rPr>
            </w:pPr>
          </w:p>
        </w:tc>
        <w:tc>
          <w:tcPr>
            <w:tcW w:w="2370" w:type="dxa"/>
            <w:gridSpan w:val="2"/>
            <w:tcBorders>
              <w:top w:val="single" w:sz="4" w:space="0" w:color="auto"/>
              <w:left w:val="nil"/>
              <w:bottom w:val="single" w:sz="4" w:space="0" w:color="auto"/>
              <w:right w:val="nil"/>
            </w:tcBorders>
            <w:shd w:val="clear" w:color="auto" w:fill="auto"/>
            <w:noWrap/>
            <w:vAlign w:val="bottom"/>
          </w:tcPr>
          <w:p w14:paraId="583EDC53" w14:textId="068845F5" w:rsidR="009C295D" w:rsidRPr="008C28EB" w:rsidRDefault="009C295D" w:rsidP="00617096">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6"/>
                <w:szCs w:val="16"/>
                <w:lang w:val="en-US"/>
              </w:rPr>
              <w:t xml:space="preserve">Banks involved in the </w:t>
            </w:r>
            <w:r w:rsidR="00617096">
              <w:rPr>
                <w:rFonts w:ascii="Times New Roman" w:eastAsia="Times New Roman" w:hAnsi="Times New Roman"/>
                <w:sz w:val="16"/>
                <w:szCs w:val="16"/>
                <w:lang w:val="en-US"/>
              </w:rPr>
              <w:t>CA</w:t>
            </w:r>
            <w:r w:rsidRPr="008C28EB">
              <w:rPr>
                <w:rFonts w:ascii="Times New Roman" w:eastAsia="Times New Roman" w:hAnsi="Times New Roman"/>
                <w:sz w:val="16"/>
                <w:szCs w:val="16"/>
                <w:lang w:val="en-US"/>
              </w:rPr>
              <w:t xml:space="preserve"> (treated)</w:t>
            </w:r>
          </w:p>
        </w:tc>
        <w:tc>
          <w:tcPr>
            <w:tcW w:w="2370" w:type="dxa"/>
            <w:gridSpan w:val="2"/>
            <w:tcBorders>
              <w:top w:val="single" w:sz="4" w:space="0" w:color="auto"/>
              <w:left w:val="nil"/>
              <w:bottom w:val="single" w:sz="4" w:space="0" w:color="auto"/>
              <w:right w:val="nil"/>
            </w:tcBorders>
            <w:shd w:val="clear" w:color="auto" w:fill="auto"/>
            <w:noWrap/>
            <w:vAlign w:val="bottom"/>
          </w:tcPr>
          <w:p w14:paraId="7E974C51" w14:textId="0AE96EEA" w:rsidR="009C295D" w:rsidRPr="008C28EB" w:rsidRDefault="009C295D" w:rsidP="00617096">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6"/>
                <w:szCs w:val="16"/>
                <w:lang w:val="en-US"/>
              </w:rPr>
              <w:t xml:space="preserve">Banks not involved in the </w:t>
            </w:r>
            <w:r w:rsidR="00617096">
              <w:rPr>
                <w:rFonts w:ascii="Times New Roman" w:eastAsia="Times New Roman" w:hAnsi="Times New Roman"/>
                <w:sz w:val="16"/>
                <w:szCs w:val="16"/>
                <w:lang w:val="en-US"/>
              </w:rPr>
              <w:t>CA</w:t>
            </w:r>
            <w:r w:rsidRPr="008C28EB">
              <w:rPr>
                <w:rFonts w:ascii="Times New Roman" w:eastAsia="Times New Roman" w:hAnsi="Times New Roman"/>
                <w:sz w:val="16"/>
                <w:szCs w:val="16"/>
                <w:lang w:val="en-US"/>
              </w:rPr>
              <w:t xml:space="preserve"> (untreated)</w:t>
            </w:r>
          </w:p>
        </w:tc>
        <w:tc>
          <w:tcPr>
            <w:tcW w:w="2370" w:type="dxa"/>
            <w:gridSpan w:val="2"/>
            <w:tcBorders>
              <w:top w:val="single" w:sz="4" w:space="0" w:color="auto"/>
              <w:left w:val="nil"/>
              <w:bottom w:val="single" w:sz="4" w:space="0" w:color="auto"/>
              <w:right w:val="nil"/>
            </w:tcBorders>
            <w:shd w:val="clear" w:color="auto" w:fill="auto"/>
            <w:noWrap/>
            <w:vAlign w:val="center"/>
          </w:tcPr>
          <w:p w14:paraId="0D57BC69"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Total sample</w:t>
            </w:r>
          </w:p>
        </w:tc>
        <w:tc>
          <w:tcPr>
            <w:tcW w:w="1345" w:type="dxa"/>
            <w:tcBorders>
              <w:top w:val="single" w:sz="4" w:space="0" w:color="auto"/>
              <w:left w:val="nil"/>
              <w:bottom w:val="single" w:sz="4" w:space="0" w:color="auto"/>
              <w:right w:val="nil"/>
            </w:tcBorders>
            <w:shd w:val="clear" w:color="auto" w:fill="auto"/>
            <w:noWrap/>
            <w:vAlign w:val="bottom"/>
          </w:tcPr>
          <w:p w14:paraId="79E3BAB8"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Treated vs. untreated</w:t>
            </w:r>
          </w:p>
        </w:tc>
        <w:tc>
          <w:tcPr>
            <w:tcW w:w="158" w:type="dxa"/>
            <w:tcBorders>
              <w:top w:val="nil"/>
              <w:left w:val="nil"/>
              <w:bottom w:val="nil"/>
              <w:right w:val="nil"/>
            </w:tcBorders>
            <w:shd w:val="clear" w:color="auto" w:fill="auto"/>
            <w:noWrap/>
            <w:vAlign w:val="bottom"/>
          </w:tcPr>
          <w:p w14:paraId="307F15FD" w14:textId="77777777" w:rsidR="009C295D" w:rsidRPr="008C28EB" w:rsidRDefault="009C295D" w:rsidP="009C295D">
            <w:pPr>
              <w:spacing w:after="0" w:line="240" w:lineRule="auto"/>
              <w:rPr>
                <w:rFonts w:ascii="Times New Roman" w:eastAsia="Times New Roman" w:hAnsi="Times New Roman"/>
                <w:sz w:val="18"/>
                <w:szCs w:val="18"/>
                <w:lang w:val="en-US"/>
              </w:rPr>
            </w:pPr>
          </w:p>
        </w:tc>
      </w:tr>
      <w:tr w:rsidR="009C295D" w:rsidRPr="008C28EB" w14:paraId="3D168E75" w14:textId="77777777" w:rsidTr="00DD7B34">
        <w:trPr>
          <w:trHeight w:val="300"/>
        </w:trPr>
        <w:tc>
          <w:tcPr>
            <w:tcW w:w="1185" w:type="dxa"/>
            <w:tcBorders>
              <w:top w:val="single" w:sz="4" w:space="0" w:color="auto"/>
              <w:left w:val="nil"/>
              <w:bottom w:val="nil"/>
              <w:right w:val="nil"/>
            </w:tcBorders>
            <w:shd w:val="clear" w:color="auto" w:fill="auto"/>
            <w:noWrap/>
            <w:vAlign w:val="bottom"/>
            <w:hideMark/>
          </w:tcPr>
          <w:p w14:paraId="12B31B04" w14:textId="77777777" w:rsidR="009C295D" w:rsidRPr="008C28EB" w:rsidRDefault="009C295D" w:rsidP="009C295D">
            <w:pPr>
              <w:spacing w:after="0" w:line="240" w:lineRule="auto"/>
              <w:rPr>
                <w:rFonts w:ascii="Times New Roman" w:eastAsia="Times New Roman" w:hAnsi="Times New Roman"/>
                <w:sz w:val="18"/>
                <w:szCs w:val="18"/>
                <w:lang w:val="en-US"/>
              </w:rPr>
            </w:pPr>
          </w:p>
        </w:tc>
        <w:tc>
          <w:tcPr>
            <w:tcW w:w="1185" w:type="dxa"/>
            <w:tcBorders>
              <w:top w:val="single" w:sz="4" w:space="0" w:color="auto"/>
              <w:left w:val="nil"/>
              <w:bottom w:val="nil"/>
              <w:right w:val="nil"/>
            </w:tcBorders>
            <w:shd w:val="clear" w:color="auto" w:fill="auto"/>
            <w:noWrap/>
            <w:vAlign w:val="bottom"/>
            <w:hideMark/>
          </w:tcPr>
          <w:p w14:paraId="7C202FDB"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Mean</w:t>
            </w:r>
          </w:p>
        </w:tc>
        <w:tc>
          <w:tcPr>
            <w:tcW w:w="1185" w:type="dxa"/>
            <w:tcBorders>
              <w:top w:val="single" w:sz="4" w:space="0" w:color="auto"/>
              <w:left w:val="nil"/>
              <w:bottom w:val="nil"/>
              <w:right w:val="nil"/>
            </w:tcBorders>
            <w:shd w:val="clear" w:color="auto" w:fill="auto"/>
            <w:noWrap/>
            <w:vAlign w:val="bottom"/>
            <w:hideMark/>
          </w:tcPr>
          <w:p w14:paraId="79D8E8BB"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Std. Dev.</w:t>
            </w:r>
          </w:p>
        </w:tc>
        <w:tc>
          <w:tcPr>
            <w:tcW w:w="1185" w:type="dxa"/>
            <w:tcBorders>
              <w:top w:val="single" w:sz="4" w:space="0" w:color="auto"/>
              <w:left w:val="nil"/>
              <w:bottom w:val="nil"/>
              <w:right w:val="nil"/>
            </w:tcBorders>
            <w:shd w:val="clear" w:color="auto" w:fill="auto"/>
            <w:noWrap/>
            <w:vAlign w:val="bottom"/>
            <w:hideMark/>
          </w:tcPr>
          <w:p w14:paraId="116537A9"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Mean</w:t>
            </w:r>
          </w:p>
        </w:tc>
        <w:tc>
          <w:tcPr>
            <w:tcW w:w="1185" w:type="dxa"/>
            <w:tcBorders>
              <w:top w:val="single" w:sz="4" w:space="0" w:color="auto"/>
              <w:left w:val="nil"/>
              <w:bottom w:val="nil"/>
              <w:right w:val="nil"/>
            </w:tcBorders>
            <w:shd w:val="clear" w:color="auto" w:fill="auto"/>
            <w:noWrap/>
            <w:vAlign w:val="bottom"/>
            <w:hideMark/>
          </w:tcPr>
          <w:p w14:paraId="73150D42"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Std. Dev.</w:t>
            </w:r>
          </w:p>
        </w:tc>
        <w:tc>
          <w:tcPr>
            <w:tcW w:w="1185" w:type="dxa"/>
            <w:tcBorders>
              <w:top w:val="single" w:sz="4" w:space="0" w:color="auto"/>
              <w:left w:val="nil"/>
              <w:bottom w:val="nil"/>
              <w:right w:val="nil"/>
            </w:tcBorders>
            <w:shd w:val="clear" w:color="auto" w:fill="auto"/>
            <w:noWrap/>
            <w:vAlign w:val="bottom"/>
            <w:hideMark/>
          </w:tcPr>
          <w:p w14:paraId="09AA8608"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Mean</w:t>
            </w:r>
          </w:p>
        </w:tc>
        <w:tc>
          <w:tcPr>
            <w:tcW w:w="1185" w:type="dxa"/>
            <w:tcBorders>
              <w:top w:val="single" w:sz="4" w:space="0" w:color="auto"/>
              <w:left w:val="nil"/>
              <w:bottom w:val="nil"/>
              <w:right w:val="nil"/>
            </w:tcBorders>
            <w:shd w:val="clear" w:color="auto" w:fill="auto"/>
            <w:noWrap/>
            <w:vAlign w:val="bottom"/>
            <w:hideMark/>
          </w:tcPr>
          <w:p w14:paraId="6DE4877E"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Std. Dev.</w:t>
            </w:r>
          </w:p>
        </w:tc>
        <w:tc>
          <w:tcPr>
            <w:tcW w:w="1345" w:type="dxa"/>
            <w:tcBorders>
              <w:top w:val="single" w:sz="4" w:space="0" w:color="auto"/>
              <w:left w:val="nil"/>
              <w:bottom w:val="nil"/>
              <w:right w:val="nil"/>
            </w:tcBorders>
            <w:shd w:val="clear" w:color="auto" w:fill="auto"/>
            <w:noWrap/>
            <w:vAlign w:val="bottom"/>
            <w:hideMark/>
          </w:tcPr>
          <w:p w14:paraId="732EDB84" w14:textId="77777777" w:rsidR="009C295D" w:rsidRPr="008C28EB" w:rsidRDefault="009C295D" w:rsidP="009C295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Diff. in mean</w:t>
            </w:r>
          </w:p>
        </w:tc>
        <w:tc>
          <w:tcPr>
            <w:tcW w:w="158" w:type="dxa"/>
            <w:tcBorders>
              <w:top w:val="nil"/>
              <w:left w:val="nil"/>
              <w:bottom w:val="nil"/>
              <w:right w:val="nil"/>
            </w:tcBorders>
            <w:shd w:val="clear" w:color="auto" w:fill="auto"/>
            <w:noWrap/>
            <w:vAlign w:val="bottom"/>
            <w:hideMark/>
          </w:tcPr>
          <w:p w14:paraId="67A842C6" w14:textId="77777777" w:rsidR="009C295D" w:rsidRPr="008C28EB" w:rsidRDefault="009C295D" w:rsidP="009C295D">
            <w:pPr>
              <w:spacing w:after="0" w:line="240" w:lineRule="auto"/>
              <w:rPr>
                <w:rFonts w:ascii="Times New Roman" w:eastAsia="Times New Roman" w:hAnsi="Times New Roman"/>
                <w:sz w:val="18"/>
                <w:szCs w:val="18"/>
                <w:lang w:val="en-US"/>
              </w:rPr>
            </w:pPr>
          </w:p>
        </w:tc>
      </w:tr>
      <w:tr w:rsidR="00AB6B3D" w:rsidRPr="008C28EB" w14:paraId="070FDD75" w14:textId="77777777" w:rsidTr="00EC00DB">
        <w:trPr>
          <w:gridAfter w:val="1"/>
          <w:wAfter w:w="158" w:type="dxa"/>
          <w:trHeight w:val="383"/>
        </w:trPr>
        <w:tc>
          <w:tcPr>
            <w:tcW w:w="1185" w:type="dxa"/>
            <w:tcBorders>
              <w:top w:val="nil"/>
              <w:left w:val="nil"/>
              <w:bottom w:val="nil"/>
              <w:right w:val="nil"/>
            </w:tcBorders>
            <w:shd w:val="clear" w:color="auto" w:fill="auto"/>
            <w:noWrap/>
            <w:vAlign w:val="center"/>
          </w:tcPr>
          <w:p w14:paraId="2563E0E4" w14:textId="77777777" w:rsidR="00AB6B3D" w:rsidRPr="008C28EB" w:rsidRDefault="00AB6B3D" w:rsidP="00AB6B3D">
            <w:pPr>
              <w:spacing w:after="0"/>
              <w:jc w:val="center"/>
              <w:rPr>
                <w:rFonts w:ascii="Times New Roman" w:hAnsi="Times New Roman"/>
                <w:sz w:val="18"/>
                <w:szCs w:val="18"/>
              </w:rPr>
            </w:pPr>
            <w:r w:rsidRPr="008C28EB">
              <w:rPr>
                <w:rFonts w:ascii="Times New Roman" w:eastAsia="Times New Roman" w:hAnsi="Times New Roman"/>
                <w:sz w:val="18"/>
                <w:szCs w:val="18"/>
                <w:lang w:val="en-US"/>
              </w:rPr>
              <w:t>ReS</w:t>
            </w:r>
          </w:p>
        </w:tc>
        <w:tc>
          <w:tcPr>
            <w:tcW w:w="1185" w:type="dxa"/>
            <w:tcBorders>
              <w:top w:val="nil"/>
              <w:left w:val="nil"/>
              <w:bottom w:val="nil"/>
              <w:right w:val="nil"/>
            </w:tcBorders>
            <w:shd w:val="clear" w:color="auto" w:fill="auto"/>
            <w:noWrap/>
            <w:vAlign w:val="bottom"/>
          </w:tcPr>
          <w:p w14:paraId="03B76220"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0.3924</w:t>
            </w:r>
          </w:p>
        </w:tc>
        <w:tc>
          <w:tcPr>
            <w:tcW w:w="1185" w:type="dxa"/>
            <w:tcBorders>
              <w:top w:val="nil"/>
              <w:left w:val="nil"/>
              <w:bottom w:val="nil"/>
              <w:right w:val="nil"/>
            </w:tcBorders>
            <w:shd w:val="clear" w:color="auto" w:fill="auto"/>
            <w:noWrap/>
            <w:vAlign w:val="bottom"/>
          </w:tcPr>
          <w:p w14:paraId="2D3C0A31"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0.3364</w:t>
            </w:r>
          </w:p>
        </w:tc>
        <w:tc>
          <w:tcPr>
            <w:tcW w:w="1185" w:type="dxa"/>
            <w:tcBorders>
              <w:top w:val="nil"/>
              <w:left w:val="nil"/>
              <w:bottom w:val="nil"/>
              <w:right w:val="nil"/>
            </w:tcBorders>
            <w:shd w:val="clear" w:color="auto" w:fill="auto"/>
            <w:noWrap/>
            <w:vAlign w:val="bottom"/>
          </w:tcPr>
          <w:p w14:paraId="735FC5DA"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0.1690</w:t>
            </w:r>
          </w:p>
        </w:tc>
        <w:tc>
          <w:tcPr>
            <w:tcW w:w="1185" w:type="dxa"/>
            <w:tcBorders>
              <w:top w:val="nil"/>
              <w:left w:val="nil"/>
              <w:bottom w:val="nil"/>
              <w:right w:val="nil"/>
            </w:tcBorders>
            <w:shd w:val="clear" w:color="auto" w:fill="auto"/>
            <w:noWrap/>
            <w:vAlign w:val="bottom"/>
          </w:tcPr>
          <w:p w14:paraId="3C36240C"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0.3828</w:t>
            </w:r>
          </w:p>
        </w:tc>
        <w:tc>
          <w:tcPr>
            <w:tcW w:w="1185" w:type="dxa"/>
            <w:tcBorders>
              <w:top w:val="nil"/>
              <w:left w:val="nil"/>
              <w:bottom w:val="nil"/>
              <w:right w:val="nil"/>
            </w:tcBorders>
            <w:shd w:val="clear" w:color="auto" w:fill="auto"/>
            <w:noWrap/>
            <w:vAlign w:val="bottom"/>
          </w:tcPr>
          <w:p w14:paraId="0411B0E9"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0.2542</w:t>
            </w:r>
          </w:p>
        </w:tc>
        <w:tc>
          <w:tcPr>
            <w:tcW w:w="1185" w:type="dxa"/>
            <w:tcBorders>
              <w:top w:val="nil"/>
              <w:left w:val="nil"/>
              <w:bottom w:val="nil"/>
              <w:right w:val="nil"/>
            </w:tcBorders>
            <w:shd w:val="clear" w:color="auto" w:fill="auto"/>
            <w:noWrap/>
            <w:vAlign w:val="bottom"/>
          </w:tcPr>
          <w:p w14:paraId="35BC983D"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0.3803</w:t>
            </w:r>
          </w:p>
        </w:tc>
        <w:tc>
          <w:tcPr>
            <w:tcW w:w="1345" w:type="dxa"/>
            <w:tcBorders>
              <w:top w:val="nil"/>
              <w:left w:val="nil"/>
              <w:bottom w:val="nil"/>
              <w:right w:val="nil"/>
            </w:tcBorders>
            <w:shd w:val="clear" w:color="auto" w:fill="auto"/>
            <w:noWrap/>
            <w:vAlign w:val="bottom"/>
          </w:tcPr>
          <w:p w14:paraId="1F291B7A"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0.2235***</w:t>
            </w:r>
          </w:p>
        </w:tc>
      </w:tr>
      <w:tr w:rsidR="00AB6B3D" w:rsidRPr="008C28EB" w14:paraId="1DCB5CAA" w14:textId="77777777" w:rsidTr="00EC00DB">
        <w:trPr>
          <w:gridAfter w:val="1"/>
          <w:wAfter w:w="158" w:type="dxa"/>
          <w:trHeight w:val="383"/>
        </w:trPr>
        <w:tc>
          <w:tcPr>
            <w:tcW w:w="1185" w:type="dxa"/>
            <w:tcBorders>
              <w:top w:val="nil"/>
              <w:left w:val="nil"/>
              <w:bottom w:val="nil"/>
              <w:right w:val="nil"/>
            </w:tcBorders>
            <w:shd w:val="clear" w:color="auto" w:fill="auto"/>
            <w:noWrap/>
            <w:vAlign w:val="center"/>
            <w:hideMark/>
          </w:tcPr>
          <w:p w14:paraId="06AF8595" w14:textId="77777777" w:rsidR="00AB6B3D" w:rsidRPr="008C28EB" w:rsidRDefault="00AB6B3D" w:rsidP="00AB6B3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Sta</w:t>
            </w:r>
          </w:p>
        </w:tc>
        <w:tc>
          <w:tcPr>
            <w:tcW w:w="1185" w:type="dxa"/>
            <w:tcBorders>
              <w:top w:val="nil"/>
              <w:left w:val="nil"/>
              <w:bottom w:val="nil"/>
              <w:right w:val="nil"/>
            </w:tcBorders>
            <w:shd w:val="clear" w:color="auto" w:fill="auto"/>
            <w:noWrap/>
            <w:vAlign w:val="bottom"/>
            <w:hideMark/>
          </w:tcPr>
          <w:p w14:paraId="16A461D3"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6.6336</w:t>
            </w:r>
          </w:p>
        </w:tc>
        <w:tc>
          <w:tcPr>
            <w:tcW w:w="1185" w:type="dxa"/>
            <w:tcBorders>
              <w:top w:val="nil"/>
              <w:left w:val="nil"/>
              <w:bottom w:val="nil"/>
              <w:right w:val="nil"/>
            </w:tcBorders>
            <w:shd w:val="clear" w:color="auto" w:fill="auto"/>
            <w:noWrap/>
            <w:vAlign w:val="bottom"/>
            <w:hideMark/>
          </w:tcPr>
          <w:p w14:paraId="3B499413"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9.1793</w:t>
            </w:r>
          </w:p>
        </w:tc>
        <w:tc>
          <w:tcPr>
            <w:tcW w:w="1185" w:type="dxa"/>
            <w:tcBorders>
              <w:top w:val="nil"/>
              <w:left w:val="nil"/>
              <w:bottom w:val="nil"/>
              <w:right w:val="nil"/>
            </w:tcBorders>
            <w:shd w:val="clear" w:color="auto" w:fill="auto"/>
            <w:noWrap/>
            <w:vAlign w:val="bottom"/>
            <w:hideMark/>
          </w:tcPr>
          <w:p w14:paraId="10C26E21"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3.1729</w:t>
            </w:r>
          </w:p>
        </w:tc>
        <w:tc>
          <w:tcPr>
            <w:tcW w:w="1185" w:type="dxa"/>
            <w:tcBorders>
              <w:top w:val="nil"/>
              <w:left w:val="nil"/>
              <w:bottom w:val="nil"/>
              <w:right w:val="nil"/>
            </w:tcBorders>
            <w:shd w:val="clear" w:color="auto" w:fill="auto"/>
            <w:noWrap/>
            <w:vAlign w:val="bottom"/>
            <w:hideMark/>
          </w:tcPr>
          <w:p w14:paraId="0E079792"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3.6721</w:t>
            </w:r>
          </w:p>
        </w:tc>
        <w:tc>
          <w:tcPr>
            <w:tcW w:w="1185" w:type="dxa"/>
            <w:tcBorders>
              <w:top w:val="nil"/>
              <w:left w:val="nil"/>
              <w:bottom w:val="nil"/>
              <w:right w:val="nil"/>
            </w:tcBorders>
            <w:shd w:val="clear" w:color="auto" w:fill="auto"/>
            <w:noWrap/>
            <w:vAlign w:val="bottom"/>
            <w:hideMark/>
          </w:tcPr>
          <w:p w14:paraId="544E7CA0"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4.4926</w:t>
            </w:r>
          </w:p>
        </w:tc>
        <w:tc>
          <w:tcPr>
            <w:tcW w:w="1185" w:type="dxa"/>
            <w:tcBorders>
              <w:top w:val="nil"/>
              <w:left w:val="nil"/>
              <w:bottom w:val="nil"/>
              <w:right w:val="nil"/>
            </w:tcBorders>
            <w:shd w:val="clear" w:color="auto" w:fill="auto"/>
            <w:noWrap/>
            <w:vAlign w:val="bottom"/>
            <w:hideMark/>
          </w:tcPr>
          <w:p w14:paraId="620FF5FE"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6.5449</w:t>
            </w:r>
          </w:p>
        </w:tc>
        <w:tc>
          <w:tcPr>
            <w:tcW w:w="1345" w:type="dxa"/>
            <w:tcBorders>
              <w:top w:val="nil"/>
              <w:left w:val="nil"/>
              <w:bottom w:val="nil"/>
              <w:right w:val="nil"/>
            </w:tcBorders>
            <w:shd w:val="clear" w:color="auto" w:fill="auto"/>
            <w:noWrap/>
            <w:vAlign w:val="bottom"/>
            <w:hideMark/>
          </w:tcPr>
          <w:p w14:paraId="195CF262"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3.4607**</w:t>
            </w:r>
          </w:p>
        </w:tc>
      </w:tr>
      <w:tr w:rsidR="00AB6B3D" w:rsidRPr="008C28EB" w14:paraId="2598FA54" w14:textId="77777777" w:rsidTr="00EC00DB">
        <w:trPr>
          <w:gridAfter w:val="1"/>
          <w:wAfter w:w="158" w:type="dxa"/>
          <w:trHeight w:val="383"/>
        </w:trPr>
        <w:tc>
          <w:tcPr>
            <w:tcW w:w="1185" w:type="dxa"/>
            <w:tcBorders>
              <w:top w:val="nil"/>
              <w:left w:val="nil"/>
              <w:bottom w:val="nil"/>
              <w:right w:val="nil"/>
            </w:tcBorders>
            <w:shd w:val="clear" w:color="auto" w:fill="auto"/>
            <w:noWrap/>
            <w:vAlign w:val="center"/>
            <w:hideMark/>
          </w:tcPr>
          <w:p w14:paraId="1DAEAF0A" w14:textId="77777777" w:rsidR="00AB6B3D" w:rsidRPr="008C28EB" w:rsidRDefault="00AB6B3D" w:rsidP="00AB6B3D">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lang w:val="en-US"/>
              </w:rPr>
              <w:t>GDP</w:t>
            </w:r>
          </w:p>
        </w:tc>
        <w:tc>
          <w:tcPr>
            <w:tcW w:w="1185" w:type="dxa"/>
            <w:tcBorders>
              <w:top w:val="nil"/>
              <w:left w:val="nil"/>
              <w:bottom w:val="nil"/>
              <w:right w:val="nil"/>
            </w:tcBorders>
            <w:shd w:val="clear" w:color="auto" w:fill="auto"/>
            <w:noWrap/>
            <w:vAlign w:val="bottom"/>
            <w:hideMark/>
          </w:tcPr>
          <w:p w14:paraId="517DDED6"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1,090,000</w:t>
            </w:r>
          </w:p>
        </w:tc>
        <w:tc>
          <w:tcPr>
            <w:tcW w:w="1185" w:type="dxa"/>
            <w:tcBorders>
              <w:top w:val="nil"/>
              <w:left w:val="nil"/>
              <w:bottom w:val="nil"/>
              <w:right w:val="nil"/>
            </w:tcBorders>
            <w:shd w:val="clear" w:color="auto" w:fill="auto"/>
            <w:noWrap/>
            <w:vAlign w:val="bottom"/>
            <w:hideMark/>
          </w:tcPr>
          <w:p w14:paraId="64DA872A"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807,000</w:t>
            </w:r>
          </w:p>
        </w:tc>
        <w:tc>
          <w:tcPr>
            <w:tcW w:w="1185" w:type="dxa"/>
            <w:tcBorders>
              <w:top w:val="nil"/>
              <w:left w:val="nil"/>
              <w:bottom w:val="nil"/>
              <w:right w:val="nil"/>
            </w:tcBorders>
            <w:shd w:val="clear" w:color="auto" w:fill="auto"/>
            <w:noWrap/>
            <w:vAlign w:val="bottom"/>
            <w:hideMark/>
          </w:tcPr>
          <w:p w14:paraId="2E8044C7"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633,000</w:t>
            </w:r>
          </w:p>
        </w:tc>
        <w:tc>
          <w:tcPr>
            <w:tcW w:w="1185" w:type="dxa"/>
            <w:tcBorders>
              <w:top w:val="nil"/>
              <w:left w:val="nil"/>
              <w:bottom w:val="nil"/>
              <w:right w:val="nil"/>
            </w:tcBorders>
            <w:shd w:val="clear" w:color="auto" w:fill="auto"/>
            <w:noWrap/>
            <w:vAlign w:val="bottom"/>
            <w:hideMark/>
          </w:tcPr>
          <w:p w14:paraId="09DB5D10"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753,000</w:t>
            </w:r>
          </w:p>
        </w:tc>
        <w:tc>
          <w:tcPr>
            <w:tcW w:w="1185" w:type="dxa"/>
            <w:tcBorders>
              <w:top w:val="nil"/>
              <w:left w:val="nil"/>
              <w:bottom w:val="nil"/>
              <w:right w:val="nil"/>
            </w:tcBorders>
            <w:shd w:val="clear" w:color="auto" w:fill="auto"/>
            <w:noWrap/>
            <w:vAlign w:val="bottom"/>
            <w:hideMark/>
          </w:tcPr>
          <w:p w14:paraId="3F8DEF53"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808,000</w:t>
            </w:r>
          </w:p>
        </w:tc>
        <w:tc>
          <w:tcPr>
            <w:tcW w:w="1185" w:type="dxa"/>
            <w:tcBorders>
              <w:top w:val="nil"/>
              <w:left w:val="nil"/>
              <w:bottom w:val="nil"/>
              <w:right w:val="nil"/>
            </w:tcBorders>
            <w:shd w:val="clear" w:color="auto" w:fill="auto"/>
            <w:noWrap/>
            <w:vAlign w:val="bottom"/>
            <w:hideMark/>
          </w:tcPr>
          <w:p w14:paraId="43232C0D"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803,000</w:t>
            </w:r>
          </w:p>
        </w:tc>
        <w:tc>
          <w:tcPr>
            <w:tcW w:w="1345" w:type="dxa"/>
            <w:tcBorders>
              <w:top w:val="nil"/>
              <w:left w:val="nil"/>
              <w:bottom w:val="nil"/>
              <w:right w:val="nil"/>
            </w:tcBorders>
            <w:shd w:val="clear" w:color="auto" w:fill="auto"/>
            <w:noWrap/>
            <w:vAlign w:val="bottom"/>
            <w:hideMark/>
          </w:tcPr>
          <w:p w14:paraId="375DD3F4"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457,000***</w:t>
            </w:r>
          </w:p>
        </w:tc>
      </w:tr>
      <w:tr w:rsidR="00AB6B3D" w:rsidRPr="008C28EB" w14:paraId="637816D5" w14:textId="77777777" w:rsidTr="00EC00DB">
        <w:trPr>
          <w:gridAfter w:val="1"/>
          <w:wAfter w:w="158" w:type="dxa"/>
          <w:trHeight w:val="383"/>
        </w:trPr>
        <w:tc>
          <w:tcPr>
            <w:tcW w:w="1185" w:type="dxa"/>
            <w:tcBorders>
              <w:top w:val="nil"/>
              <w:left w:val="nil"/>
              <w:bottom w:val="nil"/>
              <w:right w:val="nil"/>
            </w:tcBorders>
            <w:shd w:val="clear" w:color="auto" w:fill="auto"/>
            <w:noWrap/>
            <w:vAlign w:val="center"/>
          </w:tcPr>
          <w:p w14:paraId="78C83550" w14:textId="77777777" w:rsidR="00AB6B3D" w:rsidRPr="008C28EB" w:rsidRDefault="00AB6B3D" w:rsidP="00AB6B3D">
            <w:pPr>
              <w:spacing w:after="0" w:line="240" w:lineRule="auto"/>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HHI</w:t>
            </w:r>
          </w:p>
        </w:tc>
        <w:tc>
          <w:tcPr>
            <w:tcW w:w="1185" w:type="dxa"/>
            <w:tcBorders>
              <w:top w:val="nil"/>
              <w:left w:val="nil"/>
              <w:bottom w:val="nil"/>
              <w:right w:val="nil"/>
            </w:tcBorders>
            <w:shd w:val="clear" w:color="auto" w:fill="auto"/>
            <w:noWrap/>
            <w:vAlign w:val="bottom"/>
          </w:tcPr>
          <w:p w14:paraId="33B2453C"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803.8444</w:t>
            </w:r>
          </w:p>
        </w:tc>
        <w:tc>
          <w:tcPr>
            <w:tcW w:w="1185" w:type="dxa"/>
            <w:tcBorders>
              <w:top w:val="nil"/>
              <w:left w:val="nil"/>
              <w:bottom w:val="nil"/>
              <w:right w:val="nil"/>
            </w:tcBorders>
            <w:shd w:val="clear" w:color="auto" w:fill="auto"/>
            <w:noWrap/>
            <w:vAlign w:val="bottom"/>
          </w:tcPr>
          <w:p w14:paraId="5916DC59"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559.9944</w:t>
            </w:r>
          </w:p>
        </w:tc>
        <w:tc>
          <w:tcPr>
            <w:tcW w:w="1185" w:type="dxa"/>
            <w:tcBorders>
              <w:top w:val="nil"/>
              <w:left w:val="nil"/>
              <w:bottom w:val="nil"/>
              <w:right w:val="nil"/>
            </w:tcBorders>
            <w:shd w:val="clear" w:color="auto" w:fill="auto"/>
            <w:noWrap/>
            <w:vAlign w:val="bottom"/>
          </w:tcPr>
          <w:p w14:paraId="5D101C18"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889.7260</w:t>
            </w:r>
          </w:p>
        </w:tc>
        <w:tc>
          <w:tcPr>
            <w:tcW w:w="1185" w:type="dxa"/>
            <w:tcBorders>
              <w:top w:val="nil"/>
              <w:left w:val="nil"/>
              <w:bottom w:val="nil"/>
              <w:right w:val="nil"/>
            </w:tcBorders>
            <w:shd w:val="clear" w:color="auto" w:fill="auto"/>
            <w:noWrap/>
            <w:vAlign w:val="bottom"/>
          </w:tcPr>
          <w:p w14:paraId="4E12B5C9"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496.2553</w:t>
            </w:r>
          </w:p>
        </w:tc>
        <w:tc>
          <w:tcPr>
            <w:tcW w:w="1185" w:type="dxa"/>
            <w:tcBorders>
              <w:top w:val="nil"/>
              <w:left w:val="nil"/>
              <w:bottom w:val="nil"/>
              <w:right w:val="nil"/>
            </w:tcBorders>
            <w:shd w:val="clear" w:color="auto" w:fill="auto"/>
            <w:noWrap/>
            <w:vAlign w:val="bottom"/>
          </w:tcPr>
          <w:p w14:paraId="3ED4BD88"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856.9746</w:t>
            </w:r>
          </w:p>
        </w:tc>
        <w:tc>
          <w:tcPr>
            <w:tcW w:w="1185" w:type="dxa"/>
            <w:tcBorders>
              <w:top w:val="nil"/>
              <w:left w:val="nil"/>
              <w:bottom w:val="nil"/>
              <w:right w:val="nil"/>
            </w:tcBorders>
            <w:shd w:val="clear" w:color="auto" w:fill="auto"/>
            <w:noWrap/>
            <w:vAlign w:val="bottom"/>
          </w:tcPr>
          <w:p w14:paraId="0277D843"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520.8052</w:t>
            </w:r>
          </w:p>
        </w:tc>
        <w:tc>
          <w:tcPr>
            <w:tcW w:w="1345" w:type="dxa"/>
            <w:tcBorders>
              <w:top w:val="nil"/>
              <w:left w:val="nil"/>
              <w:bottom w:val="nil"/>
              <w:right w:val="nil"/>
            </w:tcBorders>
            <w:shd w:val="clear" w:color="auto" w:fill="auto"/>
            <w:noWrap/>
            <w:vAlign w:val="bottom"/>
          </w:tcPr>
          <w:p w14:paraId="4AB02B40"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-85.8816</w:t>
            </w:r>
          </w:p>
        </w:tc>
      </w:tr>
      <w:tr w:rsidR="00AB6B3D" w:rsidRPr="008C28EB" w14:paraId="3D364EA1" w14:textId="77777777" w:rsidTr="00EC00DB">
        <w:trPr>
          <w:gridAfter w:val="1"/>
          <w:wAfter w:w="158" w:type="dxa"/>
          <w:trHeight w:val="383"/>
        </w:trPr>
        <w:tc>
          <w:tcPr>
            <w:tcW w:w="1185" w:type="dxa"/>
            <w:tcBorders>
              <w:top w:val="nil"/>
              <w:left w:val="nil"/>
              <w:right w:val="nil"/>
            </w:tcBorders>
            <w:shd w:val="clear" w:color="auto" w:fill="auto"/>
            <w:noWrap/>
            <w:vAlign w:val="center"/>
            <w:hideMark/>
          </w:tcPr>
          <w:p w14:paraId="1110DF65" w14:textId="77777777" w:rsidR="00AB6B3D" w:rsidRPr="008C28EB" w:rsidRDefault="00AB6B3D" w:rsidP="00AB6B3D">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lang w:val="en-US"/>
              </w:rPr>
              <w:t>ROA</w:t>
            </w:r>
          </w:p>
        </w:tc>
        <w:tc>
          <w:tcPr>
            <w:tcW w:w="1185" w:type="dxa"/>
            <w:tcBorders>
              <w:top w:val="nil"/>
              <w:left w:val="nil"/>
              <w:right w:val="nil"/>
            </w:tcBorders>
            <w:shd w:val="clear" w:color="auto" w:fill="auto"/>
            <w:noWrap/>
            <w:vAlign w:val="bottom"/>
            <w:hideMark/>
          </w:tcPr>
          <w:p w14:paraId="4F56DC63"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0.0004</w:t>
            </w:r>
          </w:p>
        </w:tc>
        <w:tc>
          <w:tcPr>
            <w:tcW w:w="1185" w:type="dxa"/>
            <w:tcBorders>
              <w:top w:val="nil"/>
              <w:left w:val="nil"/>
              <w:right w:val="nil"/>
            </w:tcBorders>
            <w:shd w:val="clear" w:color="auto" w:fill="auto"/>
            <w:noWrap/>
            <w:vAlign w:val="bottom"/>
            <w:hideMark/>
          </w:tcPr>
          <w:p w14:paraId="5251B2BB"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0.0131</w:t>
            </w:r>
          </w:p>
        </w:tc>
        <w:tc>
          <w:tcPr>
            <w:tcW w:w="1185" w:type="dxa"/>
            <w:tcBorders>
              <w:top w:val="nil"/>
              <w:left w:val="nil"/>
              <w:right w:val="nil"/>
            </w:tcBorders>
            <w:shd w:val="clear" w:color="auto" w:fill="auto"/>
            <w:noWrap/>
            <w:vAlign w:val="bottom"/>
            <w:hideMark/>
          </w:tcPr>
          <w:p w14:paraId="234297F0"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0.0048</w:t>
            </w:r>
          </w:p>
        </w:tc>
        <w:tc>
          <w:tcPr>
            <w:tcW w:w="1185" w:type="dxa"/>
            <w:tcBorders>
              <w:top w:val="nil"/>
              <w:left w:val="nil"/>
              <w:right w:val="nil"/>
            </w:tcBorders>
            <w:shd w:val="clear" w:color="auto" w:fill="auto"/>
            <w:noWrap/>
            <w:vAlign w:val="bottom"/>
            <w:hideMark/>
          </w:tcPr>
          <w:p w14:paraId="4CCB8A29"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0.0131</w:t>
            </w:r>
          </w:p>
        </w:tc>
        <w:tc>
          <w:tcPr>
            <w:tcW w:w="1185" w:type="dxa"/>
            <w:tcBorders>
              <w:top w:val="nil"/>
              <w:left w:val="nil"/>
              <w:right w:val="nil"/>
            </w:tcBorders>
            <w:shd w:val="clear" w:color="auto" w:fill="auto"/>
            <w:noWrap/>
            <w:vAlign w:val="bottom"/>
            <w:hideMark/>
          </w:tcPr>
          <w:p w14:paraId="378014AC"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0.0031</w:t>
            </w:r>
          </w:p>
        </w:tc>
        <w:tc>
          <w:tcPr>
            <w:tcW w:w="1185" w:type="dxa"/>
            <w:tcBorders>
              <w:top w:val="nil"/>
              <w:left w:val="nil"/>
              <w:right w:val="nil"/>
            </w:tcBorders>
            <w:shd w:val="clear" w:color="auto" w:fill="auto"/>
            <w:noWrap/>
            <w:vAlign w:val="bottom"/>
            <w:hideMark/>
          </w:tcPr>
          <w:p w14:paraId="47A5D2CA"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0.0133</w:t>
            </w:r>
          </w:p>
        </w:tc>
        <w:tc>
          <w:tcPr>
            <w:tcW w:w="1345" w:type="dxa"/>
            <w:tcBorders>
              <w:top w:val="nil"/>
              <w:left w:val="nil"/>
              <w:right w:val="nil"/>
            </w:tcBorders>
            <w:shd w:val="clear" w:color="auto" w:fill="auto"/>
            <w:noWrap/>
            <w:vAlign w:val="bottom"/>
            <w:hideMark/>
          </w:tcPr>
          <w:p w14:paraId="3F947416"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-0.0045*</w:t>
            </w:r>
          </w:p>
        </w:tc>
      </w:tr>
      <w:tr w:rsidR="00AB6B3D" w:rsidRPr="008C28EB" w14:paraId="3D50F82E" w14:textId="77777777" w:rsidTr="00EC00DB">
        <w:trPr>
          <w:gridAfter w:val="1"/>
          <w:wAfter w:w="158" w:type="dxa"/>
          <w:trHeight w:val="383"/>
        </w:trPr>
        <w:tc>
          <w:tcPr>
            <w:tcW w:w="1185" w:type="dxa"/>
            <w:tcBorders>
              <w:top w:val="nil"/>
              <w:left w:val="nil"/>
              <w:bottom w:val="single" w:sz="4" w:space="0" w:color="auto"/>
              <w:right w:val="nil"/>
            </w:tcBorders>
            <w:shd w:val="clear" w:color="auto" w:fill="auto"/>
            <w:noWrap/>
            <w:vAlign w:val="center"/>
            <w:hideMark/>
          </w:tcPr>
          <w:p w14:paraId="677339C6" w14:textId="77777777" w:rsidR="00AB6B3D" w:rsidRPr="008C28EB" w:rsidRDefault="00AB6B3D" w:rsidP="00AB6B3D">
            <w:pPr>
              <w:spacing w:after="0" w:line="240" w:lineRule="auto"/>
              <w:jc w:val="center"/>
              <w:rPr>
                <w:rFonts w:ascii="Times New Roman" w:eastAsia="Times New Roman" w:hAnsi="Times New Roman"/>
                <w:sz w:val="18"/>
                <w:szCs w:val="18"/>
              </w:rPr>
            </w:pPr>
            <w:r w:rsidRPr="008C28EB">
              <w:rPr>
                <w:rFonts w:ascii="Times New Roman" w:eastAsia="Times New Roman" w:hAnsi="Times New Roman"/>
                <w:sz w:val="18"/>
                <w:szCs w:val="18"/>
                <w:lang w:val="en-US"/>
              </w:rPr>
              <w:t>ETA</w:t>
            </w:r>
          </w:p>
        </w:tc>
        <w:tc>
          <w:tcPr>
            <w:tcW w:w="1185" w:type="dxa"/>
            <w:tcBorders>
              <w:top w:val="nil"/>
              <w:left w:val="nil"/>
              <w:bottom w:val="single" w:sz="4" w:space="0" w:color="auto"/>
              <w:right w:val="nil"/>
            </w:tcBorders>
            <w:shd w:val="clear" w:color="auto" w:fill="auto"/>
            <w:noWrap/>
            <w:vAlign w:val="bottom"/>
            <w:hideMark/>
          </w:tcPr>
          <w:p w14:paraId="4A7C3F1D"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0.0643</w:t>
            </w:r>
          </w:p>
        </w:tc>
        <w:tc>
          <w:tcPr>
            <w:tcW w:w="1185" w:type="dxa"/>
            <w:tcBorders>
              <w:top w:val="nil"/>
              <w:left w:val="nil"/>
              <w:bottom w:val="single" w:sz="4" w:space="0" w:color="auto"/>
              <w:right w:val="nil"/>
            </w:tcBorders>
            <w:shd w:val="clear" w:color="auto" w:fill="auto"/>
            <w:noWrap/>
            <w:vAlign w:val="bottom"/>
            <w:hideMark/>
          </w:tcPr>
          <w:p w14:paraId="1B8E21BD"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0.0207</w:t>
            </w:r>
          </w:p>
        </w:tc>
        <w:tc>
          <w:tcPr>
            <w:tcW w:w="1185" w:type="dxa"/>
            <w:tcBorders>
              <w:top w:val="nil"/>
              <w:left w:val="nil"/>
              <w:bottom w:val="single" w:sz="4" w:space="0" w:color="auto"/>
              <w:right w:val="nil"/>
            </w:tcBorders>
            <w:shd w:val="clear" w:color="auto" w:fill="auto"/>
            <w:noWrap/>
            <w:vAlign w:val="bottom"/>
            <w:hideMark/>
          </w:tcPr>
          <w:p w14:paraId="36B12035"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0.1074</w:t>
            </w:r>
          </w:p>
        </w:tc>
        <w:tc>
          <w:tcPr>
            <w:tcW w:w="1185" w:type="dxa"/>
            <w:tcBorders>
              <w:top w:val="nil"/>
              <w:left w:val="nil"/>
              <w:bottom w:val="single" w:sz="4" w:space="0" w:color="auto"/>
              <w:right w:val="nil"/>
            </w:tcBorders>
            <w:shd w:val="clear" w:color="auto" w:fill="auto"/>
            <w:noWrap/>
            <w:vAlign w:val="bottom"/>
            <w:hideMark/>
          </w:tcPr>
          <w:p w14:paraId="442D7535"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0.0941</w:t>
            </w:r>
          </w:p>
        </w:tc>
        <w:tc>
          <w:tcPr>
            <w:tcW w:w="1185" w:type="dxa"/>
            <w:tcBorders>
              <w:top w:val="nil"/>
              <w:left w:val="nil"/>
              <w:bottom w:val="single" w:sz="4" w:space="0" w:color="auto"/>
              <w:right w:val="nil"/>
            </w:tcBorders>
            <w:shd w:val="clear" w:color="auto" w:fill="auto"/>
            <w:noWrap/>
            <w:vAlign w:val="bottom"/>
            <w:hideMark/>
          </w:tcPr>
          <w:p w14:paraId="1EF657EF"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0.0910</w:t>
            </w:r>
          </w:p>
        </w:tc>
        <w:tc>
          <w:tcPr>
            <w:tcW w:w="1185" w:type="dxa"/>
            <w:tcBorders>
              <w:top w:val="nil"/>
              <w:left w:val="nil"/>
              <w:bottom w:val="single" w:sz="4" w:space="0" w:color="auto"/>
              <w:right w:val="nil"/>
            </w:tcBorders>
            <w:shd w:val="clear" w:color="auto" w:fill="auto"/>
            <w:noWrap/>
            <w:vAlign w:val="bottom"/>
            <w:hideMark/>
          </w:tcPr>
          <w:p w14:paraId="6B9831F4"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0.0778</w:t>
            </w:r>
          </w:p>
        </w:tc>
        <w:tc>
          <w:tcPr>
            <w:tcW w:w="1345" w:type="dxa"/>
            <w:tcBorders>
              <w:top w:val="nil"/>
              <w:left w:val="nil"/>
              <w:bottom w:val="single" w:sz="4" w:space="0" w:color="auto"/>
              <w:right w:val="nil"/>
            </w:tcBorders>
            <w:shd w:val="clear" w:color="auto" w:fill="auto"/>
            <w:noWrap/>
            <w:vAlign w:val="bottom"/>
            <w:hideMark/>
          </w:tcPr>
          <w:p w14:paraId="48C15E71" w14:textId="77777777" w:rsidR="00AB6B3D" w:rsidRPr="008C28EB" w:rsidRDefault="00AB6B3D" w:rsidP="00AB6B3D">
            <w:pPr>
              <w:spacing w:after="0"/>
              <w:jc w:val="center"/>
              <w:rPr>
                <w:rFonts w:ascii="Times New Roman" w:hAnsi="Times New Roman"/>
                <w:sz w:val="18"/>
                <w:szCs w:val="18"/>
              </w:rPr>
            </w:pPr>
            <w:r w:rsidRPr="008C28EB">
              <w:rPr>
                <w:rFonts w:ascii="Times New Roman" w:hAnsi="Times New Roman"/>
                <w:sz w:val="18"/>
                <w:szCs w:val="18"/>
              </w:rPr>
              <w:t>-0.0431***</w:t>
            </w:r>
          </w:p>
        </w:tc>
      </w:tr>
    </w:tbl>
    <w:p w14:paraId="664DE276" w14:textId="77777777" w:rsidR="009C295D" w:rsidRPr="008C28EB" w:rsidRDefault="009C295D" w:rsidP="007F6BC9">
      <w:pPr>
        <w:spacing w:after="0" w:line="240" w:lineRule="auto"/>
        <w:rPr>
          <w:rFonts w:ascii="Times New Roman" w:hAnsi="Times New Roman"/>
          <w:b/>
          <w:sz w:val="21"/>
          <w:szCs w:val="21"/>
          <w:lang w:val="en-US"/>
        </w:rPr>
      </w:pPr>
    </w:p>
    <w:p w14:paraId="54F5BC55" w14:textId="77777777" w:rsidR="009C295D" w:rsidRPr="008C28EB" w:rsidRDefault="009C295D" w:rsidP="009C295D">
      <w:pPr>
        <w:ind w:right="-147"/>
        <w:jc w:val="both"/>
        <w:rPr>
          <w:rFonts w:ascii="Times New Roman" w:hAnsi="Times New Roman"/>
          <w:b/>
          <w:lang w:val="en-US"/>
        </w:rPr>
      </w:pPr>
      <w:r w:rsidRPr="008C28EB">
        <w:rPr>
          <w:rFonts w:ascii="Times New Roman" w:hAnsi="Times New Roman"/>
          <w:b/>
          <w:lang w:val="en-US"/>
        </w:rPr>
        <w:br w:type="page"/>
      </w:r>
    </w:p>
    <w:p w14:paraId="7246DF32" w14:textId="77777777" w:rsidR="007F6BC9" w:rsidRPr="008C28EB" w:rsidRDefault="007F6BC9" w:rsidP="007F6BC9">
      <w:pPr>
        <w:ind w:right="-147"/>
        <w:jc w:val="center"/>
        <w:rPr>
          <w:rFonts w:ascii="Times New Roman" w:hAnsi="Times New Roman"/>
          <w:b/>
          <w:lang w:val="en-US"/>
        </w:rPr>
      </w:pPr>
      <w:r w:rsidRPr="008C28EB">
        <w:rPr>
          <w:rFonts w:ascii="Times New Roman" w:hAnsi="Times New Roman"/>
          <w:b/>
          <w:lang w:val="en-US"/>
        </w:rPr>
        <w:lastRenderedPageBreak/>
        <w:t>Table 7</w:t>
      </w:r>
      <w:r w:rsidRPr="008C28EB">
        <w:rPr>
          <w:rFonts w:ascii="Times New Roman" w:hAnsi="Times New Roman"/>
          <w:b/>
          <w:lang w:val="en-US"/>
        </w:rPr>
        <w:br/>
        <w:t>The Single Supervisory Treatment effect</w:t>
      </w:r>
    </w:p>
    <w:p w14:paraId="23ED6499" w14:textId="77777777" w:rsidR="007F6BC9" w:rsidRPr="008C28EB" w:rsidRDefault="007F6BC9" w:rsidP="007F6BC9">
      <w:pPr>
        <w:ind w:right="-147"/>
        <w:jc w:val="both"/>
        <w:rPr>
          <w:rFonts w:ascii="Times New Roman" w:hAnsi="Times New Roman"/>
          <w:sz w:val="16"/>
          <w:szCs w:val="16"/>
          <w:lang w:val="en-US"/>
        </w:rPr>
      </w:pPr>
      <w:r w:rsidRPr="008C28EB">
        <w:rPr>
          <w:rFonts w:ascii="Times New Roman" w:hAnsi="Times New Roman"/>
          <w:sz w:val="16"/>
          <w:szCs w:val="16"/>
          <w:lang w:val="en-US"/>
        </w:rPr>
        <w:t>This table reports th</w:t>
      </w:r>
      <w:r w:rsidR="002D10B0" w:rsidRPr="008C28EB">
        <w:rPr>
          <w:rFonts w:ascii="Times New Roman" w:hAnsi="Times New Roman"/>
          <w:sz w:val="16"/>
          <w:szCs w:val="16"/>
          <w:lang w:val="en-US"/>
        </w:rPr>
        <w:t xml:space="preserve">e results of a </w:t>
      </w:r>
      <w:r w:rsidRPr="008C28EB">
        <w:rPr>
          <w:rFonts w:ascii="Times New Roman" w:hAnsi="Times New Roman"/>
          <w:sz w:val="16"/>
          <w:szCs w:val="16"/>
          <w:lang w:val="en-US"/>
        </w:rPr>
        <w:t xml:space="preserve">regression in which the dependent variable is the abnormal return around ECB press announcement related to the launch of the Single Supervisory Mechanism (SSM). Our treatment binary variable, </w:t>
      </w:r>
      <w:r w:rsidRPr="008C28EB">
        <w:rPr>
          <w:rFonts w:ascii="Times New Roman" w:hAnsi="Times New Roman"/>
          <w:i/>
          <w:sz w:val="16"/>
          <w:szCs w:val="16"/>
          <w:lang w:val="en-US"/>
        </w:rPr>
        <w:t>w</w:t>
      </w:r>
      <w:r w:rsidRPr="008C28EB">
        <w:rPr>
          <w:rFonts w:ascii="Times New Roman" w:hAnsi="Times New Roman"/>
          <w:sz w:val="16"/>
          <w:szCs w:val="16"/>
          <w:lang w:val="en-US"/>
        </w:rPr>
        <w:t xml:space="preserve">, distinguishes </w:t>
      </w:r>
      <w:r w:rsidR="00C077C7" w:rsidRPr="008C28EB">
        <w:rPr>
          <w:rFonts w:ascii="Times New Roman" w:hAnsi="Times New Roman"/>
          <w:sz w:val="16"/>
          <w:szCs w:val="16"/>
          <w:lang w:val="en-US"/>
        </w:rPr>
        <w:t xml:space="preserve">between </w:t>
      </w:r>
      <w:r w:rsidRPr="008C28EB">
        <w:rPr>
          <w:rFonts w:ascii="Times New Roman" w:hAnsi="Times New Roman"/>
          <w:sz w:val="16"/>
          <w:szCs w:val="16"/>
          <w:lang w:val="en-US"/>
        </w:rPr>
        <w:t>treated and untreated banks. We control for location in the Euro Area (</w:t>
      </w:r>
      <w:r w:rsidRPr="008C28EB">
        <w:rPr>
          <w:rFonts w:ascii="Times New Roman" w:hAnsi="Times New Roman"/>
          <w:i/>
          <w:sz w:val="16"/>
          <w:szCs w:val="16"/>
          <w:lang w:val="en-US"/>
        </w:rPr>
        <w:t>EMU</w:t>
      </w:r>
      <w:r w:rsidRPr="008C28EB">
        <w:rPr>
          <w:rFonts w:ascii="Times New Roman" w:hAnsi="Times New Roman"/>
          <w:sz w:val="16"/>
          <w:szCs w:val="16"/>
          <w:lang w:val="en-US"/>
        </w:rPr>
        <w:t>), relative size (</w:t>
      </w:r>
      <w:r w:rsidRPr="008C28EB">
        <w:rPr>
          <w:rFonts w:ascii="Times New Roman" w:hAnsi="Times New Roman"/>
          <w:i/>
          <w:sz w:val="18"/>
          <w:szCs w:val="18"/>
          <w:lang w:val="en-US"/>
        </w:rPr>
        <w:t>ReS</w:t>
      </w:r>
      <w:r w:rsidRPr="008C28EB">
        <w:rPr>
          <w:rFonts w:ascii="Times New Roman" w:hAnsi="Times New Roman"/>
          <w:sz w:val="16"/>
          <w:szCs w:val="16"/>
          <w:lang w:val="en-US"/>
        </w:rPr>
        <w:t>, i.e., the ratio of total assets over country GDP), the amount of state aids (</w:t>
      </w:r>
      <w:r w:rsidRPr="008C28EB">
        <w:rPr>
          <w:rFonts w:ascii="Times New Roman" w:hAnsi="Times New Roman"/>
          <w:i/>
          <w:sz w:val="18"/>
          <w:szCs w:val="18"/>
          <w:lang w:val="en-US"/>
        </w:rPr>
        <w:t>Sta</w:t>
      </w:r>
      <w:r w:rsidRPr="008C28EB">
        <w:rPr>
          <w:rFonts w:ascii="Times New Roman" w:hAnsi="Times New Roman"/>
          <w:sz w:val="16"/>
          <w:szCs w:val="16"/>
          <w:lang w:val="en-US"/>
        </w:rPr>
        <w:t>, i.e., the amount of resources devoted to recapitalization and asset relief purposes over the period 2008-2012, as a percentage of 2012 GDP), the nominal GDP of the country (</w:t>
      </w:r>
      <w:r w:rsidRPr="008C28EB">
        <w:rPr>
          <w:rFonts w:ascii="Times New Roman" w:hAnsi="Times New Roman"/>
          <w:i/>
          <w:sz w:val="16"/>
          <w:szCs w:val="16"/>
          <w:lang w:val="en-US"/>
        </w:rPr>
        <w:t>GDP</w:t>
      </w:r>
      <w:r w:rsidRPr="008C28EB">
        <w:rPr>
          <w:rFonts w:ascii="Times New Roman" w:hAnsi="Times New Roman"/>
          <w:sz w:val="16"/>
          <w:szCs w:val="16"/>
          <w:lang w:val="en-US"/>
        </w:rPr>
        <w:t>), the level of industry concentration (</w:t>
      </w:r>
      <w:r w:rsidRPr="008C28EB">
        <w:rPr>
          <w:rFonts w:ascii="Times New Roman" w:hAnsi="Times New Roman"/>
          <w:i/>
          <w:sz w:val="16"/>
          <w:szCs w:val="16"/>
          <w:lang w:val="en-US"/>
        </w:rPr>
        <w:t>HHI</w:t>
      </w:r>
      <w:r w:rsidRPr="008C28EB">
        <w:rPr>
          <w:rFonts w:ascii="Times New Roman" w:hAnsi="Times New Roman"/>
          <w:sz w:val="16"/>
          <w:szCs w:val="16"/>
          <w:lang w:val="en-US"/>
        </w:rPr>
        <w:t>, i.e. the Herfindhal-Hirshman index), the bank’s profitability (ROA), and capitalization (</w:t>
      </w:r>
      <w:r w:rsidRPr="008C28EB">
        <w:rPr>
          <w:rFonts w:ascii="Times New Roman" w:hAnsi="Times New Roman"/>
          <w:i/>
          <w:sz w:val="16"/>
          <w:szCs w:val="16"/>
          <w:lang w:val="en-US"/>
        </w:rPr>
        <w:t>ETA</w:t>
      </w:r>
      <w:r w:rsidRPr="008C28EB">
        <w:rPr>
          <w:rFonts w:ascii="Times New Roman" w:hAnsi="Times New Roman"/>
          <w:sz w:val="16"/>
          <w:szCs w:val="16"/>
          <w:lang w:val="en-US"/>
        </w:rPr>
        <w:t xml:space="preserve">).We assume a heterogeneous response, so that the average treatment effect (ATE) is different from either the average treatment effect on treated (ATET) and the average treatment effect on non-treated (ATENT). </w:t>
      </w:r>
      <w:r w:rsidR="00B750E7" w:rsidRPr="008C28EB">
        <w:rPr>
          <w:rFonts w:ascii="Times New Roman" w:hAnsi="Times New Roman"/>
          <w:sz w:val="16"/>
          <w:szCs w:val="16"/>
          <w:lang w:val="en-US"/>
        </w:rPr>
        <w:t xml:space="preserve">Robust standard errors are in parentheses. </w:t>
      </w:r>
      <w:r w:rsidRPr="008C28EB">
        <w:rPr>
          <w:rFonts w:ascii="Times New Roman" w:hAnsi="Times New Roman"/>
          <w:sz w:val="16"/>
          <w:szCs w:val="16"/>
          <w:lang w:val="en-US"/>
        </w:rPr>
        <w:t>Source: Authors’ elaboration on European Central Bank, Bankscope, and Datastream</w:t>
      </w:r>
    </w:p>
    <w:p w14:paraId="6538F68E" w14:textId="77777777" w:rsidR="007F6BC9" w:rsidRPr="008C28EB" w:rsidRDefault="007F6BC9" w:rsidP="007F6BC9">
      <w:pPr>
        <w:rPr>
          <w:b/>
          <w:lang w:val="en-US"/>
        </w:rPr>
      </w:pPr>
      <w:r w:rsidRPr="008C28EB">
        <w:rPr>
          <w:rFonts w:ascii="Times New Roman" w:hAnsi="Times New Roman"/>
          <w:b/>
          <w:sz w:val="18"/>
          <w:szCs w:val="18"/>
          <w:lang w:val="en-US"/>
        </w:rPr>
        <w:t>Panel A: coefficient estimates</w:t>
      </w:r>
    </w:p>
    <w:tbl>
      <w:tblPr>
        <w:tblW w:w="7143" w:type="dxa"/>
        <w:jc w:val="center"/>
        <w:tblLayout w:type="fixed"/>
        <w:tblCellMar>
          <w:left w:w="75" w:type="dxa"/>
          <w:right w:w="75" w:type="dxa"/>
        </w:tblCellMar>
        <w:tblLook w:val="0000" w:firstRow="0" w:lastRow="0" w:firstColumn="0" w:lastColumn="0" w:noHBand="0" w:noVBand="0"/>
      </w:tblPr>
      <w:tblGrid>
        <w:gridCol w:w="1275"/>
        <w:gridCol w:w="1540"/>
        <w:gridCol w:w="1386"/>
        <w:gridCol w:w="1531"/>
        <w:gridCol w:w="1411"/>
      </w:tblGrid>
      <w:tr w:rsidR="00B750E7" w:rsidRPr="008C28EB" w14:paraId="37E929CD" w14:textId="77777777" w:rsidTr="00B750E7">
        <w:trPr>
          <w:jc w:val="center"/>
        </w:trPr>
        <w:tc>
          <w:tcPr>
            <w:tcW w:w="1275" w:type="dxa"/>
            <w:tcBorders>
              <w:top w:val="single" w:sz="6" w:space="0" w:color="auto"/>
              <w:left w:val="nil"/>
              <w:bottom w:val="nil"/>
              <w:right w:val="nil"/>
            </w:tcBorders>
          </w:tcPr>
          <w:p w14:paraId="55578F89"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single" w:sz="6" w:space="0" w:color="auto"/>
              <w:left w:val="nil"/>
              <w:bottom w:val="nil"/>
              <w:right w:val="nil"/>
            </w:tcBorders>
          </w:tcPr>
          <w:p w14:paraId="1B2A4E78"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(1)</w:t>
            </w:r>
          </w:p>
        </w:tc>
        <w:tc>
          <w:tcPr>
            <w:tcW w:w="1386" w:type="dxa"/>
            <w:tcBorders>
              <w:top w:val="single" w:sz="6" w:space="0" w:color="auto"/>
              <w:left w:val="nil"/>
              <w:bottom w:val="nil"/>
              <w:right w:val="nil"/>
            </w:tcBorders>
          </w:tcPr>
          <w:p w14:paraId="411100F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(2)</w:t>
            </w:r>
          </w:p>
        </w:tc>
        <w:tc>
          <w:tcPr>
            <w:tcW w:w="1531" w:type="dxa"/>
            <w:tcBorders>
              <w:top w:val="single" w:sz="6" w:space="0" w:color="auto"/>
              <w:left w:val="nil"/>
              <w:bottom w:val="nil"/>
              <w:right w:val="nil"/>
            </w:tcBorders>
          </w:tcPr>
          <w:p w14:paraId="445E3C5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(3)</w:t>
            </w:r>
          </w:p>
        </w:tc>
        <w:tc>
          <w:tcPr>
            <w:tcW w:w="1411" w:type="dxa"/>
            <w:tcBorders>
              <w:top w:val="single" w:sz="6" w:space="0" w:color="auto"/>
              <w:left w:val="nil"/>
              <w:bottom w:val="nil"/>
              <w:right w:val="nil"/>
            </w:tcBorders>
          </w:tcPr>
          <w:p w14:paraId="6E3D1205"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(4)</w:t>
            </w:r>
          </w:p>
        </w:tc>
      </w:tr>
      <w:tr w:rsidR="00B750E7" w:rsidRPr="008C28EB" w14:paraId="29E3D33A" w14:textId="77777777" w:rsidTr="00B750E7">
        <w:trPr>
          <w:jc w:val="center"/>
        </w:trPr>
        <w:tc>
          <w:tcPr>
            <w:tcW w:w="1275" w:type="dxa"/>
            <w:tcBorders>
              <w:top w:val="nil"/>
              <w:left w:val="nil"/>
              <w:bottom w:val="single" w:sz="6" w:space="0" w:color="auto"/>
              <w:right w:val="nil"/>
            </w:tcBorders>
          </w:tcPr>
          <w:p w14:paraId="06F56B2D"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single" w:sz="6" w:space="0" w:color="auto"/>
              <w:right w:val="nil"/>
            </w:tcBorders>
            <w:vAlign w:val="bottom"/>
          </w:tcPr>
          <w:p w14:paraId="101D5EB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4 November 2014</w:t>
            </w:r>
          </w:p>
        </w:tc>
        <w:tc>
          <w:tcPr>
            <w:tcW w:w="1386" w:type="dxa"/>
            <w:tcBorders>
              <w:top w:val="nil"/>
              <w:left w:val="nil"/>
              <w:bottom w:val="single" w:sz="6" w:space="0" w:color="auto"/>
              <w:right w:val="nil"/>
            </w:tcBorders>
            <w:vAlign w:val="bottom"/>
          </w:tcPr>
          <w:p w14:paraId="51C6486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26 October 2014</w:t>
            </w:r>
          </w:p>
        </w:tc>
        <w:tc>
          <w:tcPr>
            <w:tcW w:w="1531" w:type="dxa"/>
            <w:tcBorders>
              <w:top w:val="nil"/>
              <w:left w:val="nil"/>
              <w:bottom w:val="single" w:sz="6" w:space="0" w:color="auto"/>
              <w:right w:val="nil"/>
            </w:tcBorders>
            <w:vAlign w:val="bottom"/>
          </w:tcPr>
          <w:p w14:paraId="3ED44F51"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4 November 2014</w:t>
            </w:r>
          </w:p>
        </w:tc>
        <w:tc>
          <w:tcPr>
            <w:tcW w:w="1411" w:type="dxa"/>
            <w:tcBorders>
              <w:top w:val="nil"/>
              <w:left w:val="nil"/>
              <w:bottom w:val="single" w:sz="6" w:space="0" w:color="auto"/>
              <w:right w:val="nil"/>
            </w:tcBorders>
            <w:vAlign w:val="bottom"/>
          </w:tcPr>
          <w:p w14:paraId="71F39D3B"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26 October 2014</w:t>
            </w:r>
          </w:p>
        </w:tc>
      </w:tr>
      <w:tr w:rsidR="00B750E7" w:rsidRPr="008C28EB" w14:paraId="72C50C83" w14:textId="77777777" w:rsidTr="00B750E7">
        <w:trPr>
          <w:jc w:val="center"/>
        </w:trPr>
        <w:tc>
          <w:tcPr>
            <w:tcW w:w="1275" w:type="dxa"/>
            <w:tcBorders>
              <w:top w:val="nil"/>
              <w:left w:val="nil"/>
              <w:bottom w:val="nil"/>
              <w:right w:val="nil"/>
            </w:tcBorders>
          </w:tcPr>
          <w:p w14:paraId="242B160A"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23F9396D" w14:textId="77777777" w:rsidR="00B750E7" w:rsidRPr="008C28EB" w:rsidRDefault="00B750E7" w:rsidP="00B750E7">
            <w:pPr>
              <w:spacing w:after="0" w:line="240" w:lineRule="auto"/>
              <w:jc w:val="center"/>
              <w:rPr>
                <w:rFonts w:ascii="Times New Roman" w:hAnsi="Times New Roman"/>
                <w:sz w:val="18"/>
                <w:szCs w:val="18"/>
                <w:lang w:val="en-US"/>
              </w:rPr>
            </w:pPr>
          </w:p>
        </w:tc>
        <w:tc>
          <w:tcPr>
            <w:tcW w:w="1386" w:type="dxa"/>
            <w:tcBorders>
              <w:top w:val="nil"/>
              <w:left w:val="nil"/>
              <w:bottom w:val="nil"/>
              <w:right w:val="nil"/>
            </w:tcBorders>
          </w:tcPr>
          <w:p w14:paraId="2B1CE27D" w14:textId="77777777" w:rsidR="00B750E7" w:rsidRPr="008C28EB" w:rsidRDefault="00B750E7" w:rsidP="00B750E7">
            <w:pPr>
              <w:spacing w:after="0" w:line="240" w:lineRule="auto"/>
              <w:jc w:val="center"/>
              <w:rPr>
                <w:rFonts w:ascii="Times New Roman" w:hAnsi="Times New Roman"/>
                <w:sz w:val="18"/>
                <w:szCs w:val="18"/>
                <w:lang w:val="en-US"/>
              </w:rPr>
            </w:pPr>
          </w:p>
        </w:tc>
        <w:tc>
          <w:tcPr>
            <w:tcW w:w="1531" w:type="dxa"/>
            <w:tcBorders>
              <w:top w:val="nil"/>
              <w:left w:val="nil"/>
              <w:bottom w:val="nil"/>
              <w:right w:val="nil"/>
            </w:tcBorders>
          </w:tcPr>
          <w:p w14:paraId="0E29B1BA" w14:textId="77777777" w:rsidR="00B750E7" w:rsidRPr="008C28EB" w:rsidRDefault="00B750E7" w:rsidP="00B750E7">
            <w:pPr>
              <w:spacing w:after="0" w:line="240" w:lineRule="auto"/>
              <w:jc w:val="center"/>
              <w:rPr>
                <w:rFonts w:ascii="Times New Roman" w:hAnsi="Times New Roman"/>
                <w:sz w:val="18"/>
                <w:szCs w:val="18"/>
                <w:lang w:val="en-US"/>
              </w:rPr>
            </w:pPr>
          </w:p>
        </w:tc>
        <w:tc>
          <w:tcPr>
            <w:tcW w:w="1411" w:type="dxa"/>
            <w:tcBorders>
              <w:top w:val="nil"/>
              <w:left w:val="nil"/>
              <w:bottom w:val="nil"/>
              <w:right w:val="nil"/>
            </w:tcBorders>
          </w:tcPr>
          <w:p w14:paraId="7093D7A7" w14:textId="77777777" w:rsidR="00B750E7" w:rsidRPr="008C28EB" w:rsidRDefault="00B750E7" w:rsidP="00B750E7">
            <w:pPr>
              <w:spacing w:after="0" w:line="240" w:lineRule="auto"/>
              <w:jc w:val="center"/>
              <w:rPr>
                <w:rFonts w:ascii="Times New Roman" w:hAnsi="Times New Roman"/>
                <w:sz w:val="18"/>
                <w:szCs w:val="18"/>
                <w:lang w:val="en-US"/>
              </w:rPr>
            </w:pPr>
          </w:p>
        </w:tc>
      </w:tr>
      <w:tr w:rsidR="00B750E7" w:rsidRPr="008C28EB" w14:paraId="6AC6F82F" w14:textId="77777777" w:rsidTr="00B750E7">
        <w:trPr>
          <w:jc w:val="center"/>
        </w:trPr>
        <w:tc>
          <w:tcPr>
            <w:tcW w:w="1275" w:type="dxa"/>
            <w:tcBorders>
              <w:top w:val="nil"/>
              <w:left w:val="nil"/>
              <w:bottom w:val="nil"/>
              <w:right w:val="nil"/>
            </w:tcBorders>
            <w:vAlign w:val="bottom"/>
          </w:tcPr>
          <w:p w14:paraId="0C7DFEB2"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sz w:val="18"/>
                <w:szCs w:val="18"/>
                <w:lang w:val="en-US"/>
              </w:rPr>
              <w:t>W</w:t>
            </w:r>
          </w:p>
        </w:tc>
        <w:tc>
          <w:tcPr>
            <w:tcW w:w="1540" w:type="dxa"/>
            <w:tcBorders>
              <w:top w:val="nil"/>
              <w:left w:val="nil"/>
              <w:bottom w:val="nil"/>
              <w:right w:val="nil"/>
            </w:tcBorders>
          </w:tcPr>
          <w:p w14:paraId="58A0A4F1"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-0.01577*</w:t>
            </w:r>
          </w:p>
        </w:tc>
        <w:tc>
          <w:tcPr>
            <w:tcW w:w="1386" w:type="dxa"/>
            <w:tcBorders>
              <w:top w:val="nil"/>
              <w:left w:val="nil"/>
              <w:bottom w:val="nil"/>
              <w:right w:val="nil"/>
            </w:tcBorders>
          </w:tcPr>
          <w:p w14:paraId="25E486D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-0.03038***</w:t>
            </w:r>
          </w:p>
        </w:tc>
        <w:tc>
          <w:tcPr>
            <w:tcW w:w="1531" w:type="dxa"/>
            <w:tcBorders>
              <w:top w:val="nil"/>
              <w:left w:val="nil"/>
              <w:bottom w:val="nil"/>
              <w:right w:val="nil"/>
            </w:tcBorders>
          </w:tcPr>
          <w:p w14:paraId="4B14F4E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-0.01734*</w:t>
            </w:r>
          </w:p>
        </w:tc>
        <w:tc>
          <w:tcPr>
            <w:tcW w:w="1411" w:type="dxa"/>
            <w:tcBorders>
              <w:top w:val="nil"/>
              <w:left w:val="nil"/>
              <w:bottom w:val="nil"/>
              <w:right w:val="nil"/>
            </w:tcBorders>
          </w:tcPr>
          <w:p w14:paraId="7E03970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-0.02143**</w:t>
            </w:r>
          </w:p>
        </w:tc>
      </w:tr>
      <w:tr w:rsidR="00B750E7" w:rsidRPr="008C28EB" w14:paraId="74B975FB" w14:textId="77777777" w:rsidTr="00B750E7">
        <w:trPr>
          <w:jc w:val="center"/>
        </w:trPr>
        <w:tc>
          <w:tcPr>
            <w:tcW w:w="1275" w:type="dxa"/>
            <w:tcBorders>
              <w:top w:val="nil"/>
              <w:left w:val="nil"/>
              <w:bottom w:val="nil"/>
              <w:right w:val="nil"/>
            </w:tcBorders>
            <w:vAlign w:val="bottom"/>
          </w:tcPr>
          <w:p w14:paraId="6E2C05E7"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29EB5F3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(0.00833)</w:t>
            </w:r>
          </w:p>
        </w:tc>
        <w:tc>
          <w:tcPr>
            <w:tcW w:w="1386" w:type="dxa"/>
            <w:tcBorders>
              <w:top w:val="nil"/>
              <w:left w:val="nil"/>
              <w:bottom w:val="nil"/>
              <w:right w:val="nil"/>
            </w:tcBorders>
          </w:tcPr>
          <w:p w14:paraId="45B1656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(0.00923)</w:t>
            </w:r>
          </w:p>
        </w:tc>
        <w:tc>
          <w:tcPr>
            <w:tcW w:w="1531" w:type="dxa"/>
            <w:tcBorders>
              <w:top w:val="nil"/>
              <w:left w:val="nil"/>
              <w:bottom w:val="nil"/>
              <w:right w:val="nil"/>
            </w:tcBorders>
          </w:tcPr>
          <w:p w14:paraId="418CDE4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(0.00923)</w:t>
            </w:r>
          </w:p>
        </w:tc>
        <w:tc>
          <w:tcPr>
            <w:tcW w:w="1411" w:type="dxa"/>
            <w:tcBorders>
              <w:top w:val="nil"/>
              <w:left w:val="nil"/>
              <w:bottom w:val="nil"/>
              <w:right w:val="nil"/>
            </w:tcBorders>
          </w:tcPr>
          <w:p w14:paraId="54379E1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(0.01042)</w:t>
            </w:r>
          </w:p>
        </w:tc>
      </w:tr>
      <w:tr w:rsidR="00B750E7" w:rsidRPr="008C28EB" w14:paraId="600D3A18" w14:textId="77777777" w:rsidTr="00B750E7">
        <w:trPr>
          <w:jc w:val="center"/>
        </w:trPr>
        <w:tc>
          <w:tcPr>
            <w:tcW w:w="1275" w:type="dxa"/>
            <w:tcBorders>
              <w:top w:val="nil"/>
              <w:left w:val="nil"/>
              <w:bottom w:val="nil"/>
              <w:right w:val="nil"/>
            </w:tcBorders>
            <w:vAlign w:val="bottom"/>
          </w:tcPr>
          <w:p w14:paraId="09F007E9"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EMU</w:t>
            </w:r>
          </w:p>
        </w:tc>
        <w:tc>
          <w:tcPr>
            <w:tcW w:w="1540" w:type="dxa"/>
            <w:tcBorders>
              <w:top w:val="nil"/>
              <w:left w:val="nil"/>
              <w:bottom w:val="nil"/>
              <w:right w:val="nil"/>
            </w:tcBorders>
          </w:tcPr>
          <w:p w14:paraId="586C348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0.00335</w:t>
            </w:r>
          </w:p>
        </w:tc>
        <w:tc>
          <w:tcPr>
            <w:tcW w:w="1386" w:type="dxa"/>
            <w:tcBorders>
              <w:top w:val="nil"/>
              <w:left w:val="nil"/>
              <w:bottom w:val="nil"/>
              <w:right w:val="nil"/>
            </w:tcBorders>
          </w:tcPr>
          <w:p w14:paraId="4A27484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0.00767</w:t>
            </w:r>
          </w:p>
        </w:tc>
        <w:tc>
          <w:tcPr>
            <w:tcW w:w="1531" w:type="dxa"/>
            <w:tcBorders>
              <w:top w:val="nil"/>
              <w:left w:val="nil"/>
              <w:bottom w:val="nil"/>
              <w:right w:val="nil"/>
            </w:tcBorders>
          </w:tcPr>
          <w:p w14:paraId="600C9898"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0.00247</w:t>
            </w:r>
          </w:p>
        </w:tc>
        <w:tc>
          <w:tcPr>
            <w:tcW w:w="1411" w:type="dxa"/>
            <w:tcBorders>
              <w:top w:val="nil"/>
              <w:left w:val="nil"/>
              <w:bottom w:val="nil"/>
              <w:right w:val="nil"/>
            </w:tcBorders>
          </w:tcPr>
          <w:p w14:paraId="5E46E00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0.00267</w:t>
            </w:r>
          </w:p>
        </w:tc>
      </w:tr>
      <w:tr w:rsidR="00B750E7" w:rsidRPr="008C28EB" w14:paraId="2939BEB0" w14:textId="77777777" w:rsidTr="00B750E7">
        <w:trPr>
          <w:jc w:val="center"/>
        </w:trPr>
        <w:tc>
          <w:tcPr>
            <w:tcW w:w="1275" w:type="dxa"/>
            <w:tcBorders>
              <w:top w:val="nil"/>
              <w:left w:val="nil"/>
              <w:bottom w:val="nil"/>
              <w:right w:val="nil"/>
            </w:tcBorders>
            <w:vAlign w:val="bottom"/>
          </w:tcPr>
          <w:p w14:paraId="767A847B"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553953C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(0.00501)</w:t>
            </w:r>
          </w:p>
        </w:tc>
        <w:tc>
          <w:tcPr>
            <w:tcW w:w="1386" w:type="dxa"/>
            <w:tcBorders>
              <w:top w:val="nil"/>
              <w:left w:val="nil"/>
              <w:bottom w:val="nil"/>
              <w:right w:val="nil"/>
            </w:tcBorders>
          </w:tcPr>
          <w:p w14:paraId="134ECA5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(0.00542)</w:t>
            </w:r>
          </w:p>
        </w:tc>
        <w:tc>
          <w:tcPr>
            <w:tcW w:w="1531" w:type="dxa"/>
            <w:tcBorders>
              <w:top w:val="nil"/>
              <w:left w:val="nil"/>
              <w:bottom w:val="nil"/>
              <w:right w:val="nil"/>
            </w:tcBorders>
          </w:tcPr>
          <w:p w14:paraId="50B51A0F"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(0.00791)</w:t>
            </w:r>
          </w:p>
        </w:tc>
        <w:tc>
          <w:tcPr>
            <w:tcW w:w="1411" w:type="dxa"/>
            <w:tcBorders>
              <w:top w:val="nil"/>
              <w:left w:val="nil"/>
              <w:bottom w:val="nil"/>
              <w:right w:val="nil"/>
            </w:tcBorders>
          </w:tcPr>
          <w:p w14:paraId="4EB5A2F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(0.00817)</w:t>
            </w:r>
          </w:p>
        </w:tc>
      </w:tr>
      <w:tr w:rsidR="00B750E7" w:rsidRPr="008C28EB" w14:paraId="7B29E42C" w14:textId="77777777" w:rsidTr="00B750E7">
        <w:trPr>
          <w:jc w:val="center"/>
        </w:trPr>
        <w:tc>
          <w:tcPr>
            <w:tcW w:w="1275" w:type="dxa"/>
            <w:tcBorders>
              <w:top w:val="nil"/>
              <w:left w:val="nil"/>
              <w:bottom w:val="nil"/>
              <w:right w:val="nil"/>
            </w:tcBorders>
            <w:vAlign w:val="bottom"/>
          </w:tcPr>
          <w:p w14:paraId="2755416D"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ReS</w:t>
            </w:r>
          </w:p>
        </w:tc>
        <w:tc>
          <w:tcPr>
            <w:tcW w:w="1540" w:type="dxa"/>
            <w:tcBorders>
              <w:top w:val="nil"/>
              <w:left w:val="nil"/>
              <w:bottom w:val="nil"/>
              <w:right w:val="nil"/>
            </w:tcBorders>
          </w:tcPr>
          <w:p w14:paraId="0CBBC42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0.00105</w:t>
            </w:r>
          </w:p>
        </w:tc>
        <w:tc>
          <w:tcPr>
            <w:tcW w:w="1386" w:type="dxa"/>
            <w:tcBorders>
              <w:top w:val="nil"/>
              <w:left w:val="nil"/>
              <w:bottom w:val="nil"/>
              <w:right w:val="nil"/>
            </w:tcBorders>
          </w:tcPr>
          <w:p w14:paraId="1A5FA4B8"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-0.00072</w:t>
            </w:r>
          </w:p>
        </w:tc>
        <w:tc>
          <w:tcPr>
            <w:tcW w:w="1531" w:type="dxa"/>
            <w:tcBorders>
              <w:top w:val="nil"/>
              <w:left w:val="nil"/>
              <w:bottom w:val="nil"/>
              <w:right w:val="nil"/>
            </w:tcBorders>
          </w:tcPr>
          <w:p w14:paraId="623ED6F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0.00576</w:t>
            </w:r>
          </w:p>
        </w:tc>
        <w:tc>
          <w:tcPr>
            <w:tcW w:w="1411" w:type="dxa"/>
            <w:tcBorders>
              <w:top w:val="nil"/>
              <w:left w:val="nil"/>
              <w:bottom w:val="nil"/>
              <w:right w:val="nil"/>
            </w:tcBorders>
          </w:tcPr>
          <w:p w14:paraId="1FC8F348"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0.00125</w:t>
            </w:r>
          </w:p>
        </w:tc>
      </w:tr>
      <w:tr w:rsidR="00B750E7" w:rsidRPr="008C28EB" w14:paraId="52989455" w14:textId="77777777" w:rsidTr="00B750E7">
        <w:trPr>
          <w:jc w:val="center"/>
        </w:trPr>
        <w:tc>
          <w:tcPr>
            <w:tcW w:w="1275" w:type="dxa"/>
            <w:tcBorders>
              <w:top w:val="nil"/>
              <w:left w:val="nil"/>
              <w:bottom w:val="nil"/>
              <w:right w:val="nil"/>
            </w:tcBorders>
            <w:vAlign w:val="bottom"/>
          </w:tcPr>
          <w:p w14:paraId="11237615"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1875AE1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(0.00119)</w:t>
            </w:r>
          </w:p>
        </w:tc>
        <w:tc>
          <w:tcPr>
            <w:tcW w:w="1386" w:type="dxa"/>
            <w:tcBorders>
              <w:top w:val="nil"/>
              <w:left w:val="nil"/>
              <w:bottom w:val="nil"/>
              <w:right w:val="nil"/>
            </w:tcBorders>
          </w:tcPr>
          <w:p w14:paraId="75A567FF"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(0.00116)</w:t>
            </w:r>
          </w:p>
        </w:tc>
        <w:tc>
          <w:tcPr>
            <w:tcW w:w="1531" w:type="dxa"/>
            <w:tcBorders>
              <w:top w:val="nil"/>
              <w:left w:val="nil"/>
              <w:bottom w:val="nil"/>
              <w:right w:val="nil"/>
            </w:tcBorders>
          </w:tcPr>
          <w:p w14:paraId="65939D31"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(0.00479)</w:t>
            </w:r>
          </w:p>
        </w:tc>
        <w:tc>
          <w:tcPr>
            <w:tcW w:w="1411" w:type="dxa"/>
            <w:tcBorders>
              <w:top w:val="nil"/>
              <w:left w:val="nil"/>
              <w:bottom w:val="nil"/>
              <w:right w:val="nil"/>
            </w:tcBorders>
          </w:tcPr>
          <w:p w14:paraId="6B024ED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(0.00530)</w:t>
            </w:r>
          </w:p>
        </w:tc>
      </w:tr>
      <w:tr w:rsidR="00B750E7" w:rsidRPr="008C28EB" w14:paraId="11BFFA2D" w14:textId="77777777" w:rsidTr="00B750E7">
        <w:trPr>
          <w:jc w:val="center"/>
        </w:trPr>
        <w:tc>
          <w:tcPr>
            <w:tcW w:w="1275" w:type="dxa"/>
            <w:tcBorders>
              <w:top w:val="nil"/>
              <w:left w:val="nil"/>
              <w:bottom w:val="nil"/>
              <w:right w:val="nil"/>
            </w:tcBorders>
            <w:vAlign w:val="bottom"/>
          </w:tcPr>
          <w:p w14:paraId="427F5A1E"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Sta</w:t>
            </w:r>
          </w:p>
        </w:tc>
        <w:tc>
          <w:tcPr>
            <w:tcW w:w="1540" w:type="dxa"/>
            <w:tcBorders>
              <w:top w:val="nil"/>
              <w:left w:val="nil"/>
              <w:bottom w:val="nil"/>
              <w:right w:val="nil"/>
            </w:tcBorders>
          </w:tcPr>
          <w:p w14:paraId="2AB1178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0.01130***</w:t>
            </w:r>
          </w:p>
        </w:tc>
        <w:tc>
          <w:tcPr>
            <w:tcW w:w="1386" w:type="dxa"/>
            <w:tcBorders>
              <w:top w:val="nil"/>
              <w:left w:val="nil"/>
              <w:bottom w:val="nil"/>
              <w:right w:val="nil"/>
            </w:tcBorders>
          </w:tcPr>
          <w:p w14:paraId="66E1503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0.01309**</w:t>
            </w:r>
          </w:p>
        </w:tc>
        <w:tc>
          <w:tcPr>
            <w:tcW w:w="1531" w:type="dxa"/>
            <w:tcBorders>
              <w:top w:val="nil"/>
              <w:left w:val="nil"/>
              <w:bottom w:val="nil"/>
              <w:right w:val="nil"/>
            </w:tcBorders>
          </w:tcPr>
          <w:p w14:paraId="6CCF3F9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0.01035**</w:t>
            </w:r>
          </w:p>
        </w:tc>
        <w:tc>
          <w:tcPr>
            <w:tcW w:w="1411" w:type="dxa"/>
            <w:tcBorders>
              <w:top w:val="nil"/>
              <w:left w:val="nil"/>
              <w:bottom w:val="nil"/>
              <w:right w:val="nil"/>
            </w:tcBorders>
          </w:tcPr>
          <w:p w14:paraId="65C6ABF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0.01963***</w:t>
            </w:r>
          </w:p>
        </w:tc>
      </w:tr>
      <w:tr w:rsidR="00B750E7" w:rsidRPr="008C28EB" w14:paraId="120B4D90" w14:textId="77777777" w:rsidTr="00B750E7">
        <w:trPr>
          <w:jc w:val="center"/>
        </w:trPr>
        <w:tc>
          <w:tcPr>
            <w:tcW w:w="1275" w:type="dxa"/>
            <w:tcBorders>
              <w:top w:val="nil"/>
              <w:left w:val="nil"/>
              <w:bottom w:val="nil"/>
              <w:right w:val="nil"/>
            </w:tcBorders>
            <w:vAlign w:val="bottom"/>
          </w:tcPr>
          <w:p w14:paraId="0CED42DA"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052A690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(0.00353)</w:t>
            </w:r>
          </w:p>
        </w:tc>
        <w:tc>
          <w:tcPr>
            <w:tcW w:w="1386" w:type="dxa"/>
            <w:tcBorders>
              <w:top w:val="nil"/>
              <w:left w:val="nil"/>
              <w:bottom w:val="nil"/>
              <w:right w:val="nil"/>
            </w:tcBorders>
          </w:tcPr>
          <w:p w14:paraId="470B33F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(0.00636)</w:t>
            </w:r>
          </w:p>
        </w:tc>
        <w:tc>
          <w:tcPr>
            <w:tcW w:w="1531" w:type="dxa"/>
            <w:tcBorders>
              <w:top w:val="nil"/>
              <w:left w:val="nil"/>
              <w:bottom w:val="nil"/>
              <w:right w:val="nil"/>
            </w:tcBorders>
          </w:tcPr>
          <w:p w14:paraId="13D5541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(0.00454)</w:t>
            </w:r>
          </w:p>
        </w:tc>
        <w:tc>
          <w:tcPr>
            <w:tcW w:w="1411" w:type="dxa"/>
            <w:tcBorders>
              <w:top w:val="nil"/>
              <w:left w:val="nil"/>
              <w:bottom w:val="nil"/>
              <w:right w:val="nil"/>
            </w:tcBorders>
          </w:tcPr>
          <w:p w14:paraId="7A07A32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(0.00638)</w:t>
            </w:r>
          </w:p>
        </w:tc>
      </w:tr>
      <w:tr w:rsidR="00B750E7" w:rsidRPr="008C28EB" w14:paraId="716CFBA0" w14:textId="77777777" w:rsidTr="00B750E7">
        <w:trPr>
          <w:jc w:val="center"/>
        </w:trPr>
        <w:tc>
          <w:tcPr>
            <w:tcW w:w="1275" w:type="dxa"/>
            <w:tcBorders>
              <w:top w:val="nil"/>
              <w:left w:val="nil"/>
              <w:bottom w:val="nil"/>
              <w:right w:val="nil"/>
            </w:tcBorders>
            <w:vAlign w:val="bottom"/>
          </w:tcPr>
          <w:p w14:paraId="56AB55EB"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GDP</w:t>
            </w:r>
          </w:p>
        </w:tc>
        <w:tc>
          <w:tcPr>
            <w:tcW w:w="1540" w:type="dxa"/>
            <w:tcBorders>
              <w:top w:val="nil"/>
              <w:left w:val="nil"/>
              <w:bottom w:val="nil"/>
              <w:right w:val="nil"/>
            </w:tcBorders>
          </w:tcPr>
          <w:p w14:paraId="060BF29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-0.00685***</w:t>
            </w:r>
          </w:p>
        </w:tc>
        <w:tc>
          <w:tcPr>
            <w:tcW w:w="1386" w:type="dxa"/>
            <w:tcBorders>
              <w:top w:val="nil"/>
              <w:left w:val="nil"/>
              <w:bottom w:val="nil"/>
              <w:right w:val="nil"/>
            </w:tcBorders>
          </w:tcPr>
          <w:p w14:paraId="136632A5"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-0.00978***</w:t>
            </w:r>
          </w:p>
        </w:tc>
        <w:tc>
          <w:tcPr>
            <w:tcW w:w="1531" w:type="dxa"/>
            <w:tcBorders>
              <w:top w:val="nil"/>
              <w:left w:val="nil"/>
              <w:bottom w:val="nil"/>
              <w:right w:val="nil"/>
            </w:tcBorders>
          </w:tcPr>
          <w:p w14:paraId="52B1A8BA"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-0.00989**</w:t>
            </w:r>
          </w:p>
        </w:tc>
        <w:tc>
          <w:tcPr>
            <w:tcW w:w="1411" w:type="dxa"/>
            <w:tcBorders>
              <w:top w:val="nil"/>
              <w:left w:val="nil"/>
              <w:bottom w:val="nil"/>
              <w:right w:val="nil"/>
            </w:tcBorders>
          </w:tcPr>
          <w:p w14:paraId="04A2B7A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-0.02414***</w:t>
            </w:r>
          </w:p>
        </w:tc>
      </w:tr>
      <w:tr w:rsidR="00B750E7" w:rsidRPr="008C28EB" w14:paraId="6670C9A9" w14:textId="77777777" w:rsidTr="00B750E7">
        <w:trPr>
          <w:jc w:val="center"/>
        </w:trPr>
        <w:tc>
          <w:tcPr>
            <w:tcW w:w="1275" w:type="dxa"/>
            <w:tcBorders>
              <w:top w:val="nil"/>
              <w:left w:val="nil"/>
              <w:bottom w:val="nil"/>
              <w:right w:val="nil"/>
            </w:tcBorders>
            <w:vAlign w:val="bottom"/>
          </w:tcPr>
          <w:p w14:paraId="7CFE2787"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3D3F505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(0.00246)</w:t>
            </w:r>
          </w:p>
        </w:tc>
        <w:tc>
          <w:tcPr>
            <w:tcW w:w="1386" w:type="dxa"/>
            <w:tcBorders>
              <w:top w:val="nil"/>
              <w:left w:val="nil"/>
              <w:bottom w:val="nil"/>
              <w:right w:val="nil"/>
            </w:tcBorders>
          </w:tcPr>
          <w:p w14:paraId="40FAF66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(0.00264)</w:t>
            </w:r>
          </w:p>
        </w:tc>
        <w:tc>
          <w:tcPr>
            <w:tcW w:w="1531" w:type="dxa"/>
            <w:tcBorders>
              <w:top w:val="nil"/>
              <w:left w:val="nil"/>
              <w:bottom w:val="nil"/>
              <w:right w:val="nil"/>
            </w:tcBorders>
          </w:tcPr>
          <w:p w14:paraId="76CB6F2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(0.00493)</w:t>
            </w:r>
          </w:p>
        </w:tc>
        <w:tc>
          <w:tcPr>
            <w:tcW w:w="1411" w:type="dxa"/>
            <w:tcBorders>
              <w:top w:val="nil"/>
              <w:left w:val="nil"/>
              <w:bottom w:val="nil"/>
              <w:right w:val="nil"/>
            </w:tcBorders>
          </w:tcPr>
          <w:p w14:paraId="7573618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(0.00561)</w:t>
            </w:r>
          </w:p>
        </w:tc>
      </w:tr>
      <w:tr w:rsidR="00B750E7" w:rsidRPr="008C28EB" w14:paraId="18E5112A" w14:textId="77777777" w:rsidTr="00B750E7">
        <w:trPr>
          <w:jc w:val="center"/>
        </w:trPr>
        <w:tc>
          <w:tcPr>
            <w:tcW w:w="1275" w:type="dxa"/>
            <w:tcBorders>
              <w:top w:val="nil"/>
              <w:left w:val="nil"/>
              <w:bottom w:val="nil"/>
              <w:right w:val="nil"/>
            </w:tcBorders>
            <w:vAlign w:val="bottom"/>
          </w:tcPr>
          <w:p w14:paraId="0FF547F7"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HHI</w:t>
            </w:r>
          </w:p>
        </w:tc>
        <w:tc>
          <w:tcPr>
            <w:tcW w:w="1540" w:type="dxa"/>
            <w:tcBorders>
              <w:top w:val="nil"/>
              <w:left w:val="nil"/>
              <w:bottom w:val="nil"/>
              <w:right w:val="nil"/>
            </w:tcBorders>
          </w:tcPr>
          <w:p w14:paraId="4FD693F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-0.00749***</w:t>
            </w:r>
          </w:p>
        </w:tc>
        <w:tc>
          <w:tcPr>
            <w:tcW w:w="1386" w:type="dxa"/>
            <w:tcBorders>
              <w:top w:val="nil"/>
              <w:left w:val="nil"/>
              <w:bottom w:val="nil"/>
              <w:right w:val="nil"/>
            </w:tcBorders>
          </w:tcPr>
          <w:p w14:paraId="75F73E4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-0.00179</w:t>
            </w:r>
          </w:p>
        </w:tc>
        <w:tc>
          <w:tcPr>
            <w:tcW w:w="1531" w:type="dxa"/>
            <w:tcBorders>
              <w:top w:val="nil"/>
              <w:left w:val="nil"/>
              <w:bottom w:val="nil"/>
              <w:right w:val="nil"/>
            </w:tcBorders>
          </w:tcPr>
          <w:p w14:paraId="291CF19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-0.00982*</w:t>
            </w:r>
          </w:p>
        </w:tc>
        <w:tc>
          <w:tcPr>
            <w:tcW w:w="1411" w:type="dxa"/>
            <w:tcBorders>
              <w:top w:val="nil"/>
              <w:left w:val="nil"/>
              <w:bottom w:val="nil"/>
              <w:right w:val="nil"/>
            </w:tcBorders>
          </w:tcPr>
          <w:p w14:paraId="566C6ED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-0.00863</w:t>
            </w:r>
          </w:p>
        </w:tc>
      </w:tr>
      <w:tr w:rsidR="00B750E7" w:rsidRPr="008C28EB" w14:paraId="4C57C1F3" w14:textId="77777777" w:rsidTr="00B750E7">
        <w:trPr>
          <w:jc w:val="center"/>
        </w:trPr>
        <w:tc>
          <w:tcPr>
            <w:tcW w:w="1275" w:type="dxa"/>
            <w:tcBorders>
              <w:top w:val="nil"/>
              <w:left w:val="nil"/>
              <w:bottom w:val="nil"/>
              <w:right w:val="nil"/>
            </w:tcBorders>
            <w:vAlign w:val="bottom"/>
          </w:tcPr>
          <w:p w14:paraId="26D030AE"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1BE8547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(0.00244)</w:t>
            </w:r>
          </w:p>
        </w:tc>
        <w:tc>
          <w:tcPr>
            <w:tcW w:w="1386" w:type="dxa"/>
            <w:tcBorders>
              <w:top w:val="nil"/>
              <w:left w:val="nil"/>
              <w:bottom w:val="nil"/>
              <w:right w:val="nil"/>
            </w:tcBorders>
          </w:tcPr>
          <w:p w14:paraId="3AFBFC45"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(0.00191)</w:t>
            </w:r>
          </w:p>
        </w:tc>
        <w:tc>
          <w:tcPr>
            <w:tcW w:w="1531" w:type="dxa"/>
            <w:tcBorders>
              <w:top w:val="nil"/>
              <w:left w:val="nil"/>
              <w:bottom w:val="nil"/>
              <w:right w:val="nil"/>
            </w:tcBorders>
          </w:tcPr>
          <w:p w14:paraId="7009A3A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(0.00551)</w:t>
            </w:r>
          </w:p>
        </w:tc>
        <w:tc>
          <w:tcPr>
            <w:tcW w:w="1411" w:type="dxa"/>
            <w:tcBorders>
              <w:top w:val="nil"/>
              <w:left w:val="nil"/>
              <w:bottom w:val="nil"/>
              <w:right w:val="nil"/>
            </w:tcBorders>
          </w:tcPr>
          <w:p w14:paraId="3CD82D8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(0.00526)</w:t>
            </w:r>
          </w:p>
        </w:tc>
      </w:tr>
      <w:tr w:rsidR="00B750E7" w:rsidRPr="008C28EB" w14:paraId="4900909E" w14:textId="77777777" w:rsidTr="00B750E7">
        <w:trPr>
          <w:jc w:val="center"/>
        </w:trPr>
        <w:tc>
          <w:tcPr>
            <w:tcW w:w="1275" w:type="dxa"/>
            <w:tcBorders>
              <w:top w:val="nil"/>
              <w:left w:val="nil"/>
              <w:bottom w:val="nil"/>
              <w:right w:val="nil"/>
            </w:tcBorders>
            <w:vAlign w:val="bottom"/>
          </w:tcPr>
          <w:p w14:paraId="5DB877AB"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ROA</w:t>
            </w:r>
          </w:p>
        </w:tc>
        <w:tc>
          <w:tcPr>
            <w:tcW w:w="1540" w:type="dxa"/>
            <w:tcBorders>
              <w:top w:val="nil"/>
              <w:left w:val="nil"/>
              <w:bottom w:val="nil"/>
              <w:right w:val="nil"/>
            </w:tcBorders>
          </w:tcPr>
          <w:p w14:paraId="08D3C6A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0.00817**</w:t>
            </w:r>
          </w:p>
        </w:tc>
        <w:tc>
          <w:tcPr>
            <w:tcW w:w="1386" w:type="dxa"/>
            <w:tcBorders>
              <w:top w:val="nil"/>
              <w:left w:val="nil"/>
              <w:bottom w:val="nil"/>
              <w:right w:val="nil"/>
            </w:tcBorders>
          </w:tcPr>
          <w:p w14:paraId="3F787485"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0.00932***</w:t>
            </w:r>
          </w:p>
        </w:tc>
        <w:tc>
          <w:tcPr>
            <w:tcW w:w="1531" w:type="dxa"/>
            <w:tcBorders>
              <w:top w:val="nil"/>
              <w:left w:val="nil"/>
              <w:bottom w:val="nil"/>
              <w:right w:val="nil"/>
            </w:tcBorders>
          </w:tcPr>
          <w:p w14:paraId="0B1ADE3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0.00791*</w:t>
            </w:r>
          </w:p>
        </w:tc>
        <w:tc>
          <w:tcPr>
            <w:tcW w:w="1411" w:type="dxa"/>
            <w:tcBorders>
              <w:top w:val="nil"/>
              <w:left w:val="nil"/>
              <w:bottom w:val="nil"/>
              <w:right w:val="nil"/>
            </w:tcBorders>
          </w:tcPr>
          <w:p w14:paraId="20CBE44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0.00786**</w:t>
            </w:r>
          </w:p>
        </w:tc>
      </w:tr>
      <w:tr w:rsidR="00B750E7" w:rsidRPr="008C28EB" w14:paraId="5FA6F30E" w14:textId="77777777" w:rsidTr="00B750E7">
        <w:trPr>
          <w:jc w:val="center"/>
        </w:trPr>
        <w:tc>
          <w:tcPr>
            <w:tcW w:w="1275" w:type="dxa"/>
            <w:tcBorders>
              <w:top w:val="nil"/>
              <w:left w:val="nil"/>
              <w:bottom w:val="nil"/>
              <w:right w:val="nil"/>
            </w:tcBorders>
            <w:vAlign w:val="bottom"/>
          </w:tcPr>
          <w:p w14:paraId="35B8D2AB"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0E76B8B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(0.00387)</w:t>
            </w:r>
          </w:p>
        </w:tc>
        <w:tc>
          <w:tcPr>
            <w:tcW w:w="1386" w:type="dxa"/>
            <w:tcBorders>
              <w:top w:val="nil"/>
              <w:left w:val="nil"/>
              <w:bottom w:val="nil"/>
              <w:right w:val="nil"/>
            </w:tcBorders>
          </w:tcPr>
          <w:p w14:paraId="7B99596F"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(0.00305)</w:t>
            </w:r>
          </w:p>
        </w:tc>
        <w:tc>
          <w:tcPr>
            <w:tcW w:w="1531" w:type="dxa"/>
            <w:tcBorders>
              <w:top w:val="nil"/>
              <w:left w:val="nil"/>
              <w:bottom w:val="nil"/>
              <w:right w:val="nil"/>
            </w:tcBorders>
          </w:tcPr>
          <w:p w14:paraId="4508FB6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(0.00416)</w:t>
            </w:r>
          </w:p>
        </w:tc>
        <w:tc>
          <w:tcPr>
            <w:tcW w:w="1411" w:type="dxa"/>
            <w:tcBorders>
              <w:top w:val="nil"/>
              <w:left w:val="nil"/>
              <w:bottom w:val="nil"/>
              <w:right w:val="nil"/>
            </w:tcBorders>
          </w:tcPr>
          <w:p w14:paraId="04A2411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(0.00346)</w:t>
            </w:r>
          </w:p>
        </w:tc>
      </w:tr>
      <w:tr w:rsidR="00B750E7" w:rsidRPr="008C28EB" w14:paraId="0E65B2BD" w14:textId="77777777" w:rsidTr="00B750E7">
        <w:trPr>
          <w:jc w:val="center"/>
        </w:trPr>
        <w:tc>
          <w:tcPr>
            <w:tcW w:w="1275" w:type="dxa"/>
            <w:tcBorders>
              <w:top w:val="nil"/>
              <w:left w:val="nil"/>
              <w:bottom w:val="nil"/>
              <w:right w:val="nil"/>
            </w:tcBorders>
            <w:vAlign w:val="bottom"/>
          </w:tcPr>
          <w:p w14:paraId="22C73DAC"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ETA</w:t>
            </w:r>
          </w:p>
        </w:tc>
        <w:tc>
          <w:tcPr>
            <w:tcW w:w="1540" w:type="dxa"/>
            <w:tcBorders>
              <w:top w:val="nil"/>
              <w:left w:val="nil"/>
              <w:bottom w:val="nil"/>
              <w:right w:val="nil"/>
            </w:tcBorders>
          </w:tcPr>
          <w:p w14:paraId="5095C44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-0.00196**</w:t>
            </w:r>
          </w:p>
        </w:tc>
        <w:tc>
          <w:tcPr>
            <w:tcW w:w="1386" w:type="dxa"/>
            <w:tcBorders>
              <w:top w:val="nil"/>
              <w:left w:val="nil"/>
              <w:bottom w:val="nil"/>
              <w:right w:val="nil"/>
            </w:tcBorders>
          </w:tcPr>
          <w:p w14:paraId="1C98AF7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-0.00001</w:t>
            </w:r>
          </w:p>
        </w:tc>
        <w:tc>
          <w:tcPr>
            <w:tcW w:w="1531" w:type="dxa"/>
            <w:tcBorders>
              <w:top w:val="nil"/>
              <w:left w:val="nil"/>
              <w:bottom w:val="nil"/>
              <w:right w:val="nil"/>
            </w:tcBorders>
          </w:tcPr>
          <w:p w14:paraId="28912F5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0.00175</w:t>
            </w:r>
          </w:p>
        </w:tc>
        <w:tc>
          <w:tcPr>
            <w:tcW w:w="1411" w:type="dxa"/>
            <w:tcBorders>
              <w:top w:val="nil"/>
              <w:left w:val="nil"/>
              <w:bottom w:val="nil"/>
              <w:right w:val="nil"/>
            </w:tcBorders>
          </w:tcPr>
          <w:p w14:paraId="64D304A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-0.00093</w:t>
            </w:r>
          </w:p>
        </w:tc>
      </w:tr>
      <w:tr w:rsidR="00B750E7" w:rsidRPr="008C28EB" w14:paraId="3AA2BB9E" w14:textId="77777777" w:rsidTr="00B750E7">
        <w:trPr>
          <w:jc w:val="center"/>
        </w:trPr>
        <w:tc>
          <w:tcPr>
            <w:tcW w:w="1275" w:type="dxa"/>
            <w:tcBorders>
              <w:top w:val="nil"/>
              <w:left w:val="nil"/>
              <w:bottom w:val="nil"/>
              <w:right w:val="nil"/>
            </w:tcBorders>
            <w:vAlign w:val="bottom"/>
          </w:tcPr>
          <w:p w14:paraId="6E86C81C"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43B7D701"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(0.00090)</w:t>
            </w:r>
          </w:p>
        </w:tc>
        <w:tc>
          <w:tcPr>
            <w:tcW w:w="1386" w:type="dxa"/>
            <w:tcBorders>
              <w:top w:val="nil"/>
              <w:left w:val="nil"/>
              <w:bottom w:val="nil"/>
              <w:right w:val="nil"/>
            </w:tcBorders>
          </w:tcPr>
          <w:p w14:paraId="7EC00C8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(0.00092)</w:t>
            </w:r>
          </w:p>
        </w:tc>
        <w:tc>
          <w:tcPr>
            <w:tcW w:w="1531" w:type="dxa"/>
            <w:tcBorders>
              <w:top w:val="nil"/>
              <w:left w:val="nil"/>
              <w:bottom w:val="nil"/>
              <w:right w:val="nil"/>
            </w:tcBorders>
          </w:tcPr>
          <w:p w14:paraId="28AD04E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(0.00518)</w:t>
            </w:r>
          </w:p>
        </w:tc>
        <w:tc>
          <w:tcPr>
            <w:tcW w:w="1411" w:type="dxa"/>
            <w:tcBorders>
              <w:top w:val="nil"/>
              <w:left w:val="nil"/>
              <w:bottom w:val="nil"/>
              <w:right w:val="nil"/>
            </w:tcBorders>
          </w:tcPr>
          <w:p w14:paraId="10A23A4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(0.00583)</w:t>
            </w:r>
          </w:p>
        </w:tc>
      </w:tr>
      <w:tr w:rsidR="00B750E7" w:rsidRPr="008C28EB" w14:paraId="6A2549BB" w14:textId="77777777" w:rsidTr="00B750E7">
        <w:trPr>
          <w:jc w:val="center"/>
        </w:trPr>
        <w:tc>
          <w:tcPr>
            <w:tcW w:w="1275" w:type="dxa"/>
            <w:tcBorders>
              <w:top w:val="nil"/>
              <w:left w:val="nil"/>
              <w:bottom w:val="nil"/>
              <w:right w:val="nil"/>
            </w:tcBorders>
            <w:vAlign w:val="bottom"/>
          </w:tcPr>
          <w:p w14:paraId="10045F9D"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w*ReS</w:t>
            </w:r>
          </w:p>
        </w:tc>
        <w:tc>
          <w:tcPr>
            <w:tcW w:w="1540" w:type="dxa"/>
            <w:tcBorders>
              <w:top w:val="nil"/>
              <w:left w:val="nil"/>
              <w:bottom w:val="nil"/>
              <w:right w:val="nil"/>
            </w:tcBorders>
          </w:tcPr>
          <w:p w14:paraId="12D4BAE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-0.00110</w:t>
            </w:r>
          </w:p>
        </w:tc>
        <w:tc>
          <w:tcPr>
            <w:tcW w:w="1386" w:type="dxa"/>
            <w:tcBorders>
              <w:top w:val="nil"/>
              <w:left w:val="nil"/>
              <w:bottom w:val="nil"/>
              <w:right w:val="nil"/>
            </w:tcBorders>
          </w:tcPr>
          <w:p w14:paraId="061280CB"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0.01044</w:t>
            </w:r>
          </w:p>
        </w:tc>
        <w:tc>
          <w:tcPr>
            <w:tcW w:w="1531" w:type="dxa"/>
            <w:tcBorders>
              <w:top w:val="nil"/>
              <w:left w:val="nil"/>
              <w:bottom w:val="nil"/>
              <w:right w:val="nil"/>
            </w:tcBorders>
          </w:tcPr>
          <w:p w14:paraId="0EE3958F"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-0.00432</w:t>
            </w:r>
          </w:p>
        </w:tc>
        <w:tc>
          <w:tcPr>
            <w:tcW w:w="1411" w:type="dxa"/>
            <w:tcBorders>
              <w:top w:val="nil"/>
              <w:left w:val="nil"/>
              <w:bottom w:val="nil"/>
              <w:right w:val="nil"/>
            </w:tcBorders>
          </w:tcPr>
          <w:p w14:paraId="4BED501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0.01094</w:t>
            </w:r>
          </w:p>
        </w:tc>
      </w:tr>
      <w:tr w:rsidR="00B750E7" w:rsidRPr="008C28EB" w14:paraId="548B335A" w14:textId="77777777" w:rsidTr="00B750E7">
        <w:trPr>
          <w:jc w:val="center"/>
        </w:trPr>
        <w:tc>
          <w:tcPr>
            <w:tcW w:w="1275" w:type="dxa"/>
            <w:tcBorders>
              <w:top w:val="nil"/>
              <w:left w:val="nil"/>
              <w:bottom w:val="nil"/>
              <w:right w:val="nil"/>
            </w:tcBorders>
            <w:vAlign w:val="bottom"/>
          </w:tcPr>
          <w:p w14:paraId="338A758F"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61CCB4A1"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(0.00411)</w:t>
            </w:r>
          </w:p>
        </w:tc>
        <w:tc>
          <w:tcPr>
            <w:tcW w:w="1386" w:type="dxa"/>
            <w:tcBorders>
              <w:top w:val="nil"/>
              <w:left w:val="nil"/>
              <w:bottom w:val="nil"/>
              <w:right w:val="nil"/>
            </w:tcBorders>
          </w:tcPr>
          <w:p w14:paraId="053A81D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(0.00733)</w:t>
            </w:r>
          </w:p>
        </w:tc>
        <w:tc>
          <w:tcPr>
            <w:tcW w:w="1531" w:type="dxa"/>
            <w:tcBorders>
              <w:top w:val="nil"/>
              <w:left w:val="nil"/>
              <w:bottom w:val="nil"/>
              <w:right w:val="nil"/>
            </w:tcBorders>
          </w:tcPr>
          <w:p w14:paraId="309410E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(0.00505)</w:t>
            </w:r>
          </w:p>
        </w:tc>
        <w:tc>
          <w:tcPr>
            <w:tcW w:w="1411" w:type="dxa"/>
            <w:tcBorders>
              <w:top w:val="nil"/>
              <w:left w:val="nil"/>
              <w:bottom w:val="nil"/>
              <w:right w:val="nil"/>
            </w:tcBorders>
          </w:tcPr>
          <w:p w14:paraId="3B58B10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(0.00936)</w:t>
            </w:r>
          </w:p>
        </w:tc>
      </w:tr>
      <w:tr w:rsidR="00B750E7" w:rsidRPr="008C28EB" w14:paraId="493A9CC7" w14:textId="77777777" w:rsidTr="00B750E7">
        <w:trPr>
          <w:jc w:val="center"/>
        </w:trPr>
        <w:tc>
          <w:tcPr>
            <w:tcW w:w="1275" w:type="dxa"/>
            <w:tcBorders>
              <w:top w:val="nil"/>
              <w:left w:val="nil"/>
              <w:bottom w:val="nil"/>
              <w:right w:val="nil"/>
            </w:tcBorders>
            <w:vAlign w:val="bottom"/>
          </w:tcPr>
          <w:p w14:paraId="7B3DE22D"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w*Sta</w:t>
            </w:r>
          </w:p>
        </w:tc>
        <w:tc>
          <w:tcPr>
            <w:tcW w:w="1540" w:type="dxa"/>
            <w:tcBorders>
              <w:top w:val="nil"/>
              <w:left w:val="nil"/>
              <w:bottom w:val="nil"/>
              <w:right w:val="nil"/>
            </w:tcBorders>
          </w:tcPr>
          <w:p w14:paraId="101ADA6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-0.01573***</w:t>
            </w:r>
          </w:p>
        </w:tc>
        <w:tc>
          <w:tcPr>
            <w:tcW w:w="1386" w:type="dxa"/>
            <w:tcBorders>
              <w:top w:val="nil"/>
              <w:left w:val="nil"/>
              <w:bottom w:val="nil"/>
              <w:right w:val="nil"/>
            </w:tcBorders>
          </w:tcPr>
          <w:p w14:paraId="713A47A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-0.01064</w:t>
            </w:r>
          </w:p>
        </w:tc>
        <w:tc>
          <w:tcPr>
            <w:tcW w:w="1531" w:type="dxa"/>
            <w:tcBorders>
              <w:top w:val="nil"/>
              <w:left w:val="nil"/>
              <w:bottom w:val="nil"/>
              <w:right w:val="nil"/>
            </w:tcBorders>
          </w:tcPr>
          <w:p w14:paraId="63DC03D8"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-0.01590**</w:t>
            </w:r>
          </w:p>
        </w:tc>
        <w:tc>
          <w:tcPr>
            <w:tcW w:w="1411" w:type="dxa"/>
            <w:tcBorders>
              <w:top w:val="nil"/>
              <w:left w:val="nil"/>
              <w:bottom w:val="nil"/>
              <w:right w:val="nil"/>
            </w:tcBorders>
          </w:tcPr>
          <w:p w14:paraId="0A8C739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-0.01391</w:t>
            </w:r>
          </w:p>
        </w:tc>
      </w:tr>
      <w:tr w:rsidR="00B750E7" w:rsidRPr="008C28EB" w14:paraId="2A556890" w14:textId="77777777" w:rsidTr="00B750E7">
        <w:trPr>
          <w:jc w:val="center"/>
        </w:trPr>
        <w:tc>
          <w:tcPr>
            <w:tcW w:w="1275" w:type="dxa"/>
            <w:tcBorders>
              <w:top w:val="nil"/>
              <w:left w:val="nil"/>
              <w:bottom w:val="nil"/>
              <w:right w:val="nil"/>
            </w:tcBorders>
            <w:vAlign w:val="bottom"/>
          </w:tcPr>
          <w:p w14:paraId="689D57FB"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7745224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(0.00442)</w:t>
            </w:r>
          </w:p>
        </w:tc>
        <w:tc>
          <w:tcPr>
            <w:tcW w:w="1386" w:type="dxa"/>
            <w:tcBorders>
              <w:top w:val="nil"/>
              <w:left w:val="nil"/>
              <w:bottom w:val="nil"/>
              <w:right w:val="nil"/>
            </w:tcBorders>
          </w:tcPr>
          <w:p w14:paraId="324105CA"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(0.00715)</w:t>
            </w:r>
          </w:p>
        </w:tc>
        <w:tc>
          <w:tcPr>
            <w:tcW w:w="1531" w:type="dxa"/>
            <w:tcBorders>
              <w:top w:val="nil"/>
              <w:left w:val="nil"/>
              <w:bottom w:val="nil"/>
              <w:right w:val="nil"/>
            </w:tcBorders>
          </w:tcPr>
          <w:p w14:paraId="0387E3F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(0.00638)</w:t>
            </w:r>
          </w:p>
        </w:tc>
        <w:tc>
          <w:tcPr>
            <w:tcW w:w="1411" w:type="dxa"/>
            <w:tcBorders>
              <w:top w:val="nil"/>
              <w:left w:val="nil"/>
              <w:bottom w:val="nil"/>
              <w:right w:val="nil"/>
            </w:tcBorders>
          </w:tcPr>
          <w:p w14:paraId="0F40219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(0.01277)</w:t>
            </w:r>
          </w:p>
        </w:tc>
      </w:tr>
      <w:tr w:rsidR="00B750E7" w:rsidRPr="008C28EB" w14:paraId="05138D37" w14:textId="77777777" w:rsidTr="00B750E7">
        <w:trPr>
          <w:jc w:val="center"/>
        </w:trPr>
        <w:tc>
          <w:tcPr>
            <w:tcW w:w="1275" w:type="dxa"/>
            <w:tcBorders>
              <w:top w:val="nil"/>
              <w:left w:val="nil"/>
              <w:bottom w:val="nil"/>
              <w:right w:val="nil"/>
            </w:tcBorders>
            <w:vAlign w:val="bottom"/>
          </w:tcPr>
          <w:p w14:paraId="29991376"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w*GDP</w:t>
            </w:r>
          </w:p>
        </w:tc>
        <w:tc>
          <w:tcPr>
            <w:tcW w:w="1540" w:type="dxa"/>
            <w:tcBorders>
              <w:top w:val="nil"/>
              <w:left w:val="nil"/>
              <w:bottom w:val="nil"/>
              <w:right w:val="nil"/>
            </w:tcBorders>
          </w:tcPr>
          <w:p w14:paraId="708C63B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0.00522</w:t>
            </w:r>
          </w:p>
        </w:tc>
        <w:tc>
          <w:tcPr>
            <w:tcW w:w="1386" w:type="dxa"/>
            <w:tcBorders>
              <w:top w:val="nil"/>
              <w:left w:val="nil"/>
              <w:bottom w:val="nil"/>
              <w:right w:val="nil"/>
            </w:tcBorders>
          </w:tcPr>
          <w:p w14:paraId="54DA591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-0.00253</w:t>
            </w:r>
          </w:p>
        </w:tc>
        <w:tc>
          <w:tcPr>
            <w:tcW w:w="1531" w:type="dxa"/>
            <w:tcBorders>
              <w:top w:val="nil"/>
              <w:left w:val="nil"/>
              <w:bottom w:val="nil"/>
              <w:right w:val="nil"/>
            </w:tcBorders>
          </w:tcPr>
          <w:p w14:paraId="5799B4A1"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0.00381</w:t>
            </w:r>
          </w:p>
        </w:tc>
        <w:tc>
          <w:tcPr>
            <w:tcW w:w="1411" w:type="dxa"/>
            <w:tcBorders>
              <w:top w:val="nil"/>
              <w:left w:val="nil"/>
              <w:bottom w:val="nil"/>
              <w:right w:val="nil"/>
            </w:tcBorders>
          </w:tcPr>
          <w:p w14:paraId="3EB3716F"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-0.00050</w:t>
            </w:r>
          </w:p>
        </w:tc>
      </w:tr>
      <w:tr w:rsidR="00B750E7" w:rsidRPr="008C28EB" w14:paraId="3B6015B0" w14:textId="77777777" w:rsidTr="00B750E7">
        <w:trPr>
          <w:jc w:val="center"/>
        </w:trPr>
        <w:tc>
          <w:tcPr>
            <w:tcW w:w="1275" w:type="dxa"/>
            <w:tcBorders>
              <w:top w:val="nil"/>
              <w:left w:val="nil"/>
              <w:bottom w:val="nil"/>
              <w:right w:val="nil"/>
            </w:tcBorders>
            <w:vAlign w:val="bottom"/>
          </w:tcPr>
          <w:p w14:paraId="5A1D1AF2"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299F96F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(0.00589)</w:t>
            </w:r>
          </w:p>
        </w:tc>
        <w:tc>
          <w:tcPr>
            <w:tcW w:w="1386" w:type="dxa"/>
            <w:tcBorders>
              <w:top w:val="nil"/>
              <w:left w:val="nil"/>
              <w:bottom w:val="nil"/>
              <w:right w:val="nil"/>
            </w:tcBorders>
          </w:tcPr>
          <w:p w14:paraId="6A6EA45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(0.00734)</w:t>
            </w:r>
          </w:p>
        </w:tc>
        <w:tc>
          <w:tcPr>
            <w:tcW w:w="1531" w:type="dxa"/>
            <w:tcBorders>
              <w:top w:val="nil"/>
              <w:left w:val="nil"/>
              <w:bottom w:val="nil"/>
              <w:right w:val="nil"/>
            </w:tcBorders>
          </w:tcPr>
          <w:p w14:paraId="31A49DEA"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(0.00611)</w:t>
            </w:r>
          </w:p>
        </w:tc>
        <w:tc>
          <w:tcPr>
            <w:tcW w:w="1411" w:type="dxa"/>
            <w:tcBorders>
              <w:top w:val="nil"/>
              <w:left w:val="nil"/>
              <w:bottom w:val="nil"/>
              <w:right w:val="nil"/>
            </w:tcBorders>
          </w:tcPr>
          <w:p w14:paraId="134AE5D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(0.00689)</w:t>
            </w:r>
          </w:p>
        </w:tc>
      </w:tr>
      <w:tr w:rsidR="00B750E7" w:rsidRPr="008C28EB" w14:paraId="6CAF24C9" w14:textId="77777777" w:rsidTr="00B750E7">
        <w:trPr>
          <w:jc w:val="center"/>
        </w:trPr>
        <w:tc>
          <w:tcPr>
            <w:tcW w:w="1275" w:type="dxa"/>
            <w:tcBorders>
              <w:top w:val="nil"/>
              <w:left w:val="nil"/>
              <w:bottom w:val="nil"/>
              <w:right w:val="nil"/>
            </w:tcBorders>
            <w:vAlign w:val="bottom"/>
          </w:tcPr>
          <w:p w14:paraId="702CDDB2"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w*HHI</w:t>
            </w:r>
          </w:p>
        </w:tc>
        <w:tc>
          <w:tcPr>
            <w:tcW w:w="1540" w:type="dxa"/>
            <w:tcBorders>
              <w:top w:val="nil"/>
              <w:left w:val="nil"/>
              <w:bottom w:val="nil"/>
              <w:right w:val="nil"/>
            </w:tcBorders>
          </w:tcPr>
          <w:p w14:paraId="0441F0E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0.01544***</w:t>
            </w:r>
          </w:p>
        </w:tc>
        <w:tc>
          <w:tcPr>
            <w:tcW w:w="1386" w:type="dxa"/>
            <w:tcBorders>
              <w:top w:val="nil"/>
              <w:left w:val="nil"/>
              <w:bottom w:val="nil"/>
              <w:right w:val="nil"/>
            </w:tcBorders>
          </w:tcPr>
          <w:p w14:paraId="70C45FE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-0.01231</w:t>
            </w:r>
          </w:p>
        </w:tc>
        <w:tc>
          <w:tcPr>
            <w:tcW w:w="1531" w:type="dxa"/>
            <w:tcBorders>
              <w:top w:val="nil"/>
              <w:left w:val="nil"/>
              <w:bottom w:val="nil"/>
              <w:right w:val="nil"/>
            </w:tcBorders>
          </w:tcPr>
          <w:p w14:paraId="38A1114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0.01418***</w:t>
            </w:r>
          </w:p>
        </w:tc>
        <w:tc>
          <w:tcPr>
            <w:tcW w:w="1411" w:type="dxa"/>
            <w:tcBorders>
              <w:top w:val="nil"/>
              <w:left w:val="nil"/>
              <w:bottom w:val="nil"/>
              <w:right w:val="nil"/>
            </w:tcBorders>
          </w:tcPr>
          <w:p w14:paraId="1620357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-0.00984</w:t>
            </w:r>
          </w:p>
        </w:tc>
      </w:tr>
      <w:tr w:rsidR="00B750E7" w:rsidRPr="008C28EB" w14:paraId="75228E54" w14:textId="77777777" w:rsidTr="00B750E7">
        <w:trPr>
          <w:jc w:val="center"/>
        </w:trPr>
        <w:tc>
          <w:tcPr>
            <w:tcW w:w="1275" w:type="dxa"/>
            <w:tcBorders>
              <w:top w:val="nil"/>
              <w:left w:val="nil"/>
              <w:bottom w:val="nil"/>
              <w:right w:val="nil"/>
            </w:tcBorders>
            <w:vAlign w:val="bottom"/>
          </w:tcPr>
          <w:p w14:paraId="16233313"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5F6B23B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(0.00435)</w:t>
            </w:r>
          </w:p>
        </w:tc>
        <w:tc>
          <w:tcPr>
            <w:tcW w:w="1386" w:type="dxa"/>
            <w:tcBorders>
              <w:top w:val="nil"/>
              <w:left w:val="nil"/>
              <w:bottom w:val="nil"/>
              <w:right w:val="nil"/>
            </w:tcBorders>
          </w:tcPr>
          <w:p w14:paraId="2C45E5B8"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(0.00923)</w:t>
            </w:r>
          </w:p>
        </w:tc>
        <w:tc>
          <w:tcPr>
            <w:tcW w:w="1531" w:type="dxa"/>
            <w:tcBorders>
              <w:top w:val="nil"/>
              <w:left w:val="nil"/>
              <w:bottom w:val="nil"/>
              <w:right w:val="nil"/>
            </w:tcBorders>
          </w:tcPr>
          <w:p w14:paraId="108A8D3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(0.00533)</w:t>
            </w:r>
          </w:p>
        </w:tc>
        <w:tc>
          <w:tcPr>
            <w:tcW w:w="1411" w:type="dxa"/>
            <w:tcBorders>
              <w:top w:val="nil"/>
              <w:left w:val="nil"/>
              <w:bottom w:val="nil"/>
              <w:right w:val="nil"/>
            </w:tcBorders>
          </w:tcPr>
          <w:p w14:paraId="2E57B0B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(0.01057)</w:t>
            </w:r>
          </w:p>
        </w:tc>
      </w:tr>
      <w:tr w:rsidR="00B750E7" w:rsidRPr="008C28EB" w14:paraId="5D451BF6" w14:textId="77777777" w:rsidTr="00B750E7">
        <w:trPr>
          <w:jc w:val="center"/>
        </w:trPr>
        <w:tc>
          <w:tcPr>
            <w:tcW w:w="1275" w:type="dxa"/>
            <w:tcBorders>
              <w:top w:val="nil"/>
              <w:left w:val="nil"/>
              <w:bottom w:val="nil"/>
              <w:right w:val="nil"/>
            </w:tcBorders>
            <w:vAlign w:val="bottom"/>
          </w:tcPr>
          <w:p w14:paraId="49BB1B69"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w*ROA</w:t>
            </w:r>
          </w:p>
        </w:tc>
        <w:tc>
          <w:tcPr>
            <w:tcW w:w="1540" w:type="dxa"/>
            <w:tcBorders>
              <w:top w:val="nil"/>
              <w:left w:val="nil"/>
              <w:bottom w:val="nil"/>
              <w:right w:val="nil"/>
            </w:tcBorders>
          </w:tcPr>
          <w:p w14:paraId="2A175E6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-0.02266**</w:t>
            </w:r>
          </w:p>
        </w:tc>
        <w:tc>
          <w:tcPr>
            <w:tcW w:w="1386" w:type="dxa"/>
            <w:tcBorders>
              <w:top w:val="nil"/>
              <w:left w:val="nil"/>
              <w:bottom w:val="nil"/>
              <w:right w:val="nil"/>
            </w:tcBorders>
          </w:tcPr>
          <w:p w14:paraId="5D8CF49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0.02516**</w:t>
            </w:r>
          </w:p>
        </w:tc>
        <w:tc>
          <w:tcPr>
            <w:tcW w:w="1531" w:type="dxa"/>
            <w:tcBorders>
              <w:top w:val="nil"/>
              <w:left w:val="nil"/>
              <w:bottom w:val="nil"/>
              <w:right w:val="nil"/>
            </w:tcBorders>
          </w:tcPr>
          <w:p w14:paraId="03907C5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-0.01560*</w:t>
            </w:r>
          </w:p>
        </w:tc>
        <w:tc>
          <w:tcPr>
            <w:tcW w:w="1411" w:type="dxa"/>
            <w:tcBorders>
              <w:top w:val="nil"/>
              <w:left w:val="nil"/>
              <w:bottom w:val="nil"/>
              <w:right w:val="nil"/>
            </w:tcBorders>
          </w:tcPr>
          <w:p w14:paraId="58FF82A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0.01039</w:t>
            </w:r>
          </w:p>
        </w:tc>
      </w:tr>
      <w:tr w:rsidR="00B750E7" w:rsidRPr="008C28EB" w14:paraId="751051A7" w14:textId="77777777" w:rsidTr="00B750E7">
        <w:trPr>
          <w:jc w:val="center"/>
        </w:trPr>
        <w:tc>
          <w:tcPr>
            <w:tcW w:w="1275" w:type="dxa"/>
            <w:tcBorders>
              <w:top w:val="nil"/>
              <w:left w:val="nil"/>
              <w:bottom w:val="nil"/>
              <w:right w:val="nil"/>
            </w:tcBorders>
            <w:vAlign w:val="bottom"/>
          </w:tcPr>
          <w:p w14:paraId="3F4E8289"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41F2974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(0.00988)</w:t>
            </w:r>
          </w:p>
        </w:tc>
        <w:tc>
          <w:tcPr>
            <w:tcW w:w="1386" w:type="dxa"/>
            <w:tcBorders>
              <w:top w:val="nil"/>
              <w:left w:val="nil"/>
              <w:bottom w:val="nil"/>
              <w:right w:val="nil"/>
            </w:tcBorders>
          </w:tcPr>
          <w:p w14:paraId="12A1C8D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(0.01231)</w:t>
            </w:r>
          </w:p>
        </w:tc>
        <w:tc>
          <w:tcPr>
            <w:tcW w:w="1531" w:type="dxa"/>
            <w:tcBorders>
              <w:top w:val="nil"/>
              <w:left w:val="nil"/>
              <w:bottom w:val="nil"/>
              <w:right w:val="nil"/>
            </w:tcBorders>
          </w:tcPr>
          <w:p w14:paraId="63A2E8B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(0.00881)</w:t>
            </w:r>
          </w:p>
        </w:tc>
        <w:tc>
          <w:tcPr>
            <w:tcW w:w="1411" w:type="dxa"/>
            <w:tcBorders>
              <w:top w:val="nil"/>
              <w:left w:val="nil"/>
              <w:bottom w:val="nil"/>
              <w:right w:val="nil"/>
            </w:tcBorders>
          </w:tcPr>
          <w:p w14:paraId="7BC5F9E2"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(0.01249)</w:t>
            </w:r>
          </w:p>
        </w:tc>
      </w:tr>
      <w:tr w:rsidR="00B750E7" w:rsidRPr="008C28EB" w14:paraId="0B0708EA" w14:textId="77777777" w:rsidTr="00B750E7">
        <w:trPr>
          <w:jc w:val="center"/>
        </w:trPr>
        <w:tc>
          <w:tcPr>
            <w:tcW w:w="1275" w:type="dxa"/>
            <w:tcBorders>
              <w:top w:val="nil"/>
              <w:left w:val="nil"/>
              <w:bottom w:val="nil"/>
              <w:right w:val="nil"/>
            </w:tcBorders>
            <w:vAlign w:val="bottom"/>
          </w:tcPr>
          <w:p w14:paraId="0E196BEE"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i/>
                <w:sz w:val="18"/>
                <w:szCs w:val="18"/>
                <w:lang w:val="en-US"/>
              </w:rPr>
              <w:t>w*ETA</w:t>
            </w:r>
          </w:p>
        </w:tc>
        <w:tc>
          <w:tcPr>
            <w:tcW w:w="1540" w:type="dxa"/>
            <w:tcBorders>
              <w:top w:val="nil"/>
              <w:left w:val="nil"/>
              <w:bottom w:val="nil"/>
              <w:right w:val="nil"/>
            </w:tcBorders>
          </w:tcPr>
          <w:p w14:paraId="004E517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-0.00748</w:t>
            </w:r>
          </w:p>
        </w:tc>
        <w:tc>
          <w:tcPr>
            <w:tcW w:w="1386" w:type="dxa"/>
            <w:tcBorders>
              <w:top w:val="nil"/>
              <w:left w:val="nil"/>
              <w:bottom w:val="nil"/>
              <w:right w:val="nil"/>
            </w:tcBorders>
          </w:tcPr>
          <w:p w14:paraId="5798316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-0.00456</w:t>
            </w:r>
          </w:p>
        </w:tc>
        <w:tc>
          <w:tcPr>
            <w:tcW w:w="1531" w:type="dxa"/>
            <w:tcBorders>
              <w:top w:val="nil"/>
              <w:left w:val="nil"/>
              <w:bottom w:val="nil"/>
              <w:right w:val="nil"/>
            </w:tcBorders>
          </w:tcPr>
          <w:p w14:paraId="04ACEB5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-0.01850</w:t>
            </w:r>
          </w:p>
        </w:tc>
        <w:tc>
          <w:tcPr>
            <w:tcW w:w="1411" w:type="dxa"/>
            <w:tcBorders>
              <w:top w:val="nil"/>
              <w:left w:val="nil"/>
              <w:bottom w:val="nil"/>
              <w:right w:val="nil"/>
            </w:tcBorders>
          </w:tcPr>
          <w:p w14:paraId="78CDD23B"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0.01129</w:t>
            </w:r>
          </w:p>
        </w:tc>
      </w:tr>
      <w:tr w:rsidR="00B750E7" w:rsidRPr="008C28EB" w14:paraId="082F511A" w14:textId="77777777" w:rsidTr="00B750E7">
        <w:trPr>
          <w:jc w:val="center"/>
        </w:trPr>
        <w:tc>
          <w:tcPr>
            <w:tcW w:w="1275" w:type="dxa"/>
            <w:tcBorders>
              <w:top w:val="nil"/>
              <w:left w:val="nil"/>
              <w:bottom w:val="nil"/>
              <w:right w:val="nil"/>
            </w:tcBorders>
          </w:tcPr>
          <w:p w14:paraId="27EDA6A4"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631EACCE"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(0.02347)</w:t>
            </w:r>
          </w:p>
        </w:tc>
        <w:tc>
          <w:tcPr>
            <w:tcW w:w="1386" w:type="dxa"/>
            <w:tcBorders>
              <w:top w:val="nil"/>
              <w:left w:val="nil"/>
              <w:bottom w:val="nil"/>
              <w:right w:val="nil"/>
            </w:tcBorders>
          </w:tcPr>
          <w:p w14:paraId="2AD842C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(0.03743)</w:t>
            </w:r>
          </w:p>
        </w:tc>
        <w:tc>
          <w:tcPr>
            <w:tcW w:w="1531" w:type="dxa"/>
            <w:tcBorders>
              <w:top w:val="nil"/>
              <w:left w:val="nil"/>
              <w:bottom w:val="nil"/>
              <w:right w:val="nil"/>
            </w:tcBorders>
          </w:tcPr>
          <w:p w14:paraId="45860A35"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(0.02357)</w:t>
            </w:r>
          </w:p>
        </w:tc>
        <w:tc>
          <w:tcPr>
            <w:tcW w:w="1411" w:type="dxa"/>
            <w:tcBorders>
              <w:top w:val="nil"/>
              <w:left w:val="nil"/>
              <w:bottom w:val="nil"/>
              <w:right w:val="nil"/>
            </w:tcBorders>
          </w:tcPr>
          <w:p w14:paraId="42426527"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(0.04418)</w:t>
            </w:r>
          </w:p>
        </w:tc>
      </w:tr>
      <w:tr w:rsidR="00B750E7" w:rsidRPr="008C28EB" w14:paraId="188FEE87" w14:textId="77777777" w:rsidTr="00B750E7">
        <w:trPr>
          <w:jc w:val="center"/>
        </w:trPr>
        <w:tc>
          <w:tcPr>
            <w:tcW w:w="1275" w:type="dxa"/>
            <w:tcBorders>
              <w:top w:val="nil"/>
              <w:left w:val="nil"/>
              <w:bottom w:val="nil"/>
              <w:right w:val="nil"/>
            </w:tcBorders>
          </w:tcPr>
          <w:p w14:paraId="1A47144F"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33E2E794" w14:textId="77777777" w:rsidR="00B750E7" w:rsidRPr="008C28EB" w:rsidRDefault="00B750E7" w:rsidP="00B750E7">
            <w:pPr>
              <w:spacing w:after="0" w:line="240" w:lineRule="auto"/>
              <w:jc w:val="center"/>
              <w:rPr>
                <w:rFonts w:ascii="Times New Roman" w:hAnsi="Times New Roman"/>
                <w:sz w:val="18"/>
                <w:szCs w:val="18"/>
                <w:lang w:val="en-US"/>
              </w:rPr>
            </w:pPr>
          </w:p>
        </w:tc>
        <w:tc>
          <w:tcPr>
            <w:tcW w:w="1386" w:type="dxa"/>
            <w:tcBorders>
              <w:top w:val="nil"/>
              <w:left w:val="nil"/>
              <w:bottom w:val="nil"/>
              <w:right w:val="nil"/>
            </w:tcBorders>
          </w:tcPr>
          <w:p w14:paraId="22DADA2E" w14:textId="77777777" w:rsidR="00B750E7" w:rsidRPr="008C28EB" w:rsidRDefault="00B750E7" w:rsidP="00B750E7">
            <w:pPr>
              <w:spacing w:after="0" w:line="240" w:lineRule="auto"/>
              <w:jc w:val="center"/>
              <w:rPr>
                <w:rFonts w:ascii="Times New Roman" w:hAnsi="Times New Roman"/>
                <w:sz w:val="18"/>
                <w:szCs w:val="18"/>
                <w:lang w:val="en-US"/>
              </w:rPr>
            </w:pPr>
          </w:p>
        </w:tc>
        <w:tc>
          <w:tcPr>
            <w:tcW w:w="1531" w:type="dxa"/>
            <w:tcBorders>
              <w:top w:val="nil"/>
              <w:left w:val="nil"/>
              <w:bottom w:val="nil"/>
              <w:right w:val="nil"/>
            </w:tcBorders>
          </w:tcPr>
          <w:p w14:paraId="40F0E024" w14:textId="77777777" w:rsidR="00B750E7" w:rsidRPr="008C28EB" w:rsidRDefault="00B750E7" w:rsidP="00B750E7">
            <w:pPr>
              <w:spacing w:after="0" w:line="240" w:lineRule="auto"/>
              <w:jc w:val="center"/>
              <w:rPr>
                <w:rFonts w:ascii="Times New Roman" w:hAnsi="Times New Roman"/>
                <w:sz w:val="18"/>
                <w:szCs w:val="18"/>
                <w:lang w:val="en-US"/>
              </w:rPr>
            </w:pPr>
          </w:p>
        </w:tc>
        <w:tc>
          <w:tcPr>
            <w:tcW w:w="1411" w:type="dxa"/>
            <w:tcBorders>
              <w:top w:val="nil"/>
              <w:left w:val="nil"/>
              <w:bottom w:val="nil"/>
              <w:right w:val="nil"/>
            </w:tcBorders>
          </w:tcPr>
          <w:p w14:paraId="73D39F37" w14:textId="77777777" w:rsidR="00B750E7" w:rsidRPr="008C28EB" w:rsidRDefault="00B750E7" w:rsidP="00B750E7">
            <w:pPr>
              <w:spacing w:after="0" w:line="240" w:lineRule="auto"/>
              <w:jc w:val="center"/>
              <w:rPr>
                <w:rFonts w:ascii="Times New Roman" w:hAnsi="Times New Roman"/>
                <w:sz w:val="18"/>
                <w:szCs w:val="18"/>
                <w:lang w:val="en-US"/>
              </w:rPr>
            </w:pPr>
          </w:p>
        </w:tc>
      </w:tr>
      <w:tr w:rsidR="00B750E7" w:rsidRPr="008C28EB" w14:paraId="6C285F14" w14:textId="77777777" w:rsidTr="00B750E7">
        <w:trPr>
          <w:jc w:val="center"/>
        </w:trPr>
        <w:tc>
          <w:tcPr>
            <w:tcW w:w="1275" w:type="dxa"/>
            <w:tcBorders>
              <w:top w:val="nil"/>
              <w:left w:val="nil"/>
              <w:bottom w:val="nil"/>
              <w:right w:val="nil"/>
            </w:tcBorders>
          </w:tcPr>
          <w:p w14:paraId="64BE7A19"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sz w:val="18"/>
                <w:szCs w:val="18"/>
                <w:lang w:val="en-US"/>
              </w:rPr>
              <w:t>Squared terms</w:t>
            </w:r>
          </w:p>
        </w:tc>
        <w:tc>
          <w:tcPr>
            <w:tcW w:w="1540" w:type="dxa"/>
            <w:tcBorders>
              <w:top w:val="nil"/>
              <w:left w:val="nil"/>
              <w:bottom w:val="nil"/>
              <w:right w:val="nil"/>
            </w:tcBorders>
          </w:tcPr>
          <w:p w14:paraId="7A5EEEB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NO</w:t>
            </w:r>
          </w:p>
        </w:tc>
        <w:tc>
          <w:tcPr>
            <w:tcW w:w="1386" w:type="dxa"/>
            <w:tcBorders>
              <w:top w:val="nil"/>
              <w:left w:val="nil"/>
              <w:bottom w:val="nil"/>
              <w:right w:val="nil"/>
            </w:tcBorders>
          </w:tcPr>
          <w:p w14:paraId="26F9CAD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NO</w:t>
            </w:r>
          </w:p>
        </w:tc>
        <w:tc>
          <w:tcPr>
            <w:tcW w:w="1531" w:type="dxa"/>
            <w:tcBorders>
              <w:top w:val="nil"/>
              <w:left w:val="nil"/>
              <w:bottom w:val="nil"/>
              <w:right w:val="nil"/>
            </w:tcBorders>
          </w:tcPr>
          <w:p w14:paraId="57E654AB"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YES</w:t>
            </w:r>
          </w:p>
        </w:tc>
        <w:tc>
          <w:tcPr>
            <w:tcW w:w="1411" w:type="dxa"/>
            <w:tcBorders>
              <w:top w:val="nil"/>
              <w:left w:val="nil"/>
              <w:bottom w:val="nil"/>
              <w:right w:val="nil"/>
            </w:tcBorders>
          </w:tcPr>
          <w:p w14:paraId="3A4B0C6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YES</w:t>
            </w:r>
          </w:p>
        </w:tc>
      </w:tr>
      <w:tr w:rsidR="00B750E7" w:rsidRPr="008C28EB" w14:paraId="4B88F97B" w14:textId="77777777" w:rsidTr="00B750E7">
        <w:trPr>
          <w:jc w:val="center"/>
        </w:trPr>
        <w:tc>
          <w:tcPr>
            <w:tcW w:w="1275" w:type="dxa"/>
            <w:tcBorders>
              <w:top w:val="nil"/>
              <w:left w:val="nil"/>
              <w:bottom w:val="nil"/>
              <w:right w:val="nil"/>
            </w:tcBorders>
          </w:tcPr>
          <w:p w14:paraId="63D465EB"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6656D8B0" w14:textId="77777777" w:rsidR="00B750E7" w:rsidRPr="008C28EB" w:rsidRDefault="00B750E7" w:rsidP="00B750E7">
            <w:pPr>
              <w:spacing w:after="0" w:line="240" w:lineRule="auto"/>
              <w:jc w:val="center"/>
              <w:rPr>
                <w:rFonts w:ascii="Times New Roman" w:hAnsi="Times New Roman"/>
                <w:sz w:val="18"/>
                <w:szCs w:val="18"/>
                <w:lang w:val="en-US"/>
              </w:rPr>
            </w:pPr>
          </w:p>
        </w:tc>
        <w:tc>
          <w:tcPr>
            <w:tcW w:w="1386" w:type="dxa"/>
            <w:tcBorders>
              <w:top w:val="nil"/>
              <w:left w:val="nil"/>
              <w:bottom w:val="nil"/>
              <w:right w:val="nil"/>
            </w:tcBorders>
          </w:tcPr>
          <w:p w14:paraId="2CC3BC7E" w14:textId="77777777" w:rsidR="00B750E7" w:rsidRPr="008C28EB" w:rsidRDefault="00B750E7" w:rsidP="00B750E7">
            <w:pPr>
              <w:spacing w:after="0" w:line="240" w:lineRule="auto"/>
              <w:jc w:val="center"/>
              <w:rPr>
                <w:rFonts w:ascii="Times New Roman" w:hAnsi="Times New Roman"/>
                <w:sz w:val="18"/>
                <w:szCs w:val="18"/>
                <w:lang w:val="en-US"/>
              </w:rPr>
            </w:pPr>
          </w:p>
        </w:tc>
        <w:tc>
          <w:tcPr>
            <w:tcW w:w="1531" w:type="dxa"/>
            <w:tcBorders>
              <w:top w:val="nil"/>
              <w:left w:val="nil"/>
              <w:bottom w:val="nil"/>
              <w:right w:val="nil"/>
            </w:tcBorders>
          </w:tcPr>
          <w:p w14:paraId="6C22FE78" w14:textId="77777777" w:rsidR="00B750E7" w:rsidRPr="008C28EB" w:rsidRDefault="00B750E7" w:rsidP="00B750E7">
            <w:pPr>
              <w:spacing w:after="0" w:line="240" w:lineRule="auto"/>
              <w:jc w:val="center"/>
              <w:rPr>
                <w:rFonts w:ascii="Times New Roman" w:hAnsi="Times New Roman"/>
                <w:sz w:val="18"/>
                <w:szCs w:val="18"/>
                <w:lang w:val="en-US"/>
              </w:rPr>
            </w:pPr>
          </w:p>
        </w:tc>
        <w:tc>
          <w:tcPr>
            <w:tcW w:w="1411" w:type="dxa"/>
            <w:tcBorders>
              <w:top w:val="nil"/>
              <w:left w:val="nil"/>
              <w:bottom w:val="nil"/>
              <w:right w:val="nil"/>
            </w:tcBorders>
          </w:tcPr>
          <w:p w14:paraId="1589337D" w14:textId="77777777" w:rsidR="00B750E7" w:rsidRPr="008C28EB" w:rsidRDefault="00B750E7" w:rsidP="00B750E7">
            <w:pPr>
              <w:spacing w:after="0" w:line="240" w:lineRule="auto"/>
              <w:jc w:val="center"/>
              <w:rPr>
                <w:rFonts w:ascii="Times New Roman" w:hAnsi="Times New Roman"/>
                <w:sz w:val="18"/>
                <w:szCs w:val="18"/>
                <w:lang w:val="en-US"/>
              </w:rPr>
            </w:pPr>
          </w:p>
        </w:tc>
      </w:tr>
      <w:tr w:rsidR="00B750E7" w:rsidRPr="008C28EB" w14:paraId="0ACE82D5" w14:textId="77777777" w:rsidTr="00B750E7">
        <w:trPr>
          <w:jc w:val="center"/>
        </w:trPr>
        <w:tc>
          <w:tcPr>
            <w:tcW w:w="1275" w:type="dxa"/>
            <w:tcBorders>
              <w:top w:val="nil"/>
              <w:left w:val="nil"/>
              <w:bottom w:val="nil"/>
              <w:right w:val="nil"/>
            </w:tcBorders>
          </w:tcPr>
          <w:p w14:paraId="60D7D0ED"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sz w:val="18"/>
                <w:szCs w:val="18"/>
                <w:lang w:val="en-US"/>
              </w:rPr>
              <w:t>Constant</w:t>
            </w:r>
          </w:p>
        </w:tc>
        <w:tc>
          <w:tcPr>
            <w:tcW w:w="1540" w:type="dxa"/>
            <w:tcBorders>
              <w:top w:val="nil"/>
              <w:left w:val="nil"/>
              <w:bottom w:val="nil"/>
              <w:right w:val="nil"/>
            </w:tcBorders>
          </w:tcPr>
          <w:p w14:paraId="52770DDB"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-0.00688**</w:t>
            </w:r>
          </w:p>
        </w:tc>
        <w:tc>
          <w:tcPr>
            <w:tcW w:w="1386" w:type="dxa"/>
            <w:tcBorders>
              <w:top w:val="nil"/>
              <w:left w:val="nil"/>
              <w:bottom w:val="nil"/>
              <w:right w:val="nil"/>
            </w:tcBorders>
          </w:tcPr>
          <w:p w14:paraId="3C5B6AC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-0.00075</w:t>
            </w:r>
          </w:p>
        </w:tc>
        <w:tc>
          <w:tcPr>
            <w:tcW w:w="1531" w:type="dxa"/>
            <w:tcBorders>
              <w:top w:val="nil"/>
              <w:left w:val="nil"/>
              <w:bottom w:val="nil"/>
              <w:right w:val="nil"/>
            </w:tcBorders>
          </w:tcPr>
          <w:p w14:paraId="1A1BC3B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-0.00971***</w:t>
            </w:r>
          </w:p>
        </w:tc>
        <w:tc>
          <w:tcPr>
            <w:tcW w:w="1411" w:type="dxa"/>
            <w:tcBorders>
              <w:top w:val="nil"/>
              <w:left w:val="nil"/>
              <w:bottom w:val="nil"/>
              <w:right w:val="nil"/>
            </w:tcBorders>
          </w:tcPr>
          <w:p w14:paraId="3630D7AB"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-0.00184</w:t>
            </w:r>
          </w:p>
        </w:tc>
      </w:tr>
      <w:tr w:rsidR="00B750E7" w:rsidRPr="008C28EB" w14:paraId="2537CEE4" w14:textId="77777777" w:rsidTr="00B750E7">
        <w:trPr>
          <w:jc w:val="center"/>
        </w:trPr>
        <w:tc>
          <w:tcPr>
            <w:tcW w:w="1275" w:type="dxa"/>
            <w:tcBorders>
              <w:top w:val="nil"/>
              <w:left w:val="nil"/>
              <w:bottom w:val="nil"/>
              <w:right w:val="nil"/>
            </w:tcBorders>
          </w:tcPr>
          <w:p w14:paraId="2F7DD256"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nil"/>
              <w:right w:val="nil"/>
            </w:tcBorders>
          </w:tcPr>
          <w:p w14:paraId="08FB067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(0.00264)</w:t>
            </w:r>
          </w:p>
        </w:tc>
        <w:tc>
          <w:tcPr>
            <w:tcW w:w="1386" w:type="dxa"/>
            <w:tcBorders>
              <w:top w:val="nil"/>
              <w:left w:val="nil"/>
              <w:bottom w:val="nil"/>
              <w:right w:val="nil"/>
            </w:tcBorders>
          </w:tcPr>
          <w:p w14:paraId="2134835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(0.00273)</w:t>
            </w:r>
          </w:p>
        </w:tc>
        <w:tc>
          <w:tcPr>
            <w:tcW w:w="1531" w:type="dxa"/>
            <w:tcBorders>
              <w:top w:val="nil"/>
              <w:left w:val="nil"/>
              <w:bottom w:val="nil"/>
              <w:right w:val="nil"/>
            </w:tcBorders>
          </w:tcPr>
          <w:p w14:paraId="769F4E3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(0.00341)</w:t>
            </w:r>
          </w:p>
        </w:tc>
        <w:tc>
          <w:tcPr>
            <w:tcW w:w="1411" w:type="dxa"/>
            <w:tcBorders>
              <w:top w:val="nil"/>
              <w:left w:val="nil"/>
              <w:bottom w:val="nil"/>
              <w:right w:val="nil"/>
            </w:tcBorders>
          </w:tcPr>
          <w:p w14:paraId="58894563"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(0.00384)</w:t>
            </w:r>
          </w:p>
        </w:tc>
      </w:tr>
      <w:tr w:rsidR="00B750E7" w:rsidRPr="008C28EB" w14:paraId="512F5966" w14:textId="77777777" w:rsidTr="00B750E7">
        <w:trPr>
          <w:jc w:val="center"/>
        </w:trPr>
        <w:tc>
          <w:tcPr>
            <w:tcW w:w="1275" w:type="dxa"/>
            <w:tcBorders>
              <w:top w:val="nil"/>
              <w:left w:val="nil"/>
              <w:bottom w:val="single" w:sz="4" w:space="0" w:color="auto"/>
              <w:right w:val="nil"/>
            </w:tcBorders>
          </w:tcPr>
          <w:p w14:paraId="6908D831" w14:textId="77777777" w:rsidR="00B750E7" w:rsidRPr="008C28EB" w:rsidRDefault="00B750E7" w:rsidP="00B750E7">
            <w:pPr>
              <w:spacing w:after="0" w:line="240" w:lineRule="auto"/>
              <w:rPr>
                <w:rFonts w:ascii="Times New Roman" w:hAnsi="Times New Roman"/>
                <w:sz w:val="18"/>
                <w:szCs w:val="18"/>
                <w:lang w:val="en-US"/>
              </w:rPr>
            </w:pPr>
          </w:p>
        </w:tc>
        <w:tc>
          <w:tcPr>
            <w:tcW w:w="1540" w:type="dxa"/>
            <w:tcBorders>
              <w:top w:val="nil"/>
              <w:left w:val="nil"/>
              <w:bottom w:val="single" w:sz="4" w:space="0" w:color="auto"/>
              <w:right w:val="nil"/>
            </w:tcBorders>
          </w:tcPr>
          <w:p w14:paraId="135AC810" w14:textId="77777777" w:rsidR="00B750E7" w:rsidRPr="008C28EB" w:rsidRDefault="00B750E7" w:rsidP="00B750E7">
            <w:pPr>
              <w:spacing w:after="0" w:line="240" w:lineRule="auto"/>
              <w:jc w:val="center"/>
              <w:rPr>
                <w:rFonts w:ascii="Times New Roman" w:hAnsi="Times New Roman"/>
                <w:sz w:val="18"/>
                <w:szCs w:val="18"/>
                <w:lang w:val="en-US"/>
              </w:rPr>
            </w:pPr>
          </w:p>
        </w:tc>
        <w:tc>
          <w:tcPr>
            <w:tcW w:w="1386" w:type="dxa"/>
            <w:tcBorders>
              <w:top w:val="nil"/>
              <w:left w:val="nil"/>
              <w:bottom w:val="single" w:sz="4" w:space="0" w:color="auto"/>
              <w:right w:val="nil"/>
            </w:tcBorders>
          </w:tcPr>
          <w:p w14:paraId="1CB9D5BF" w14:textId="77777777" w:rsidR="00B750E7" w:rsidRPr="008C28EB" w:rsidRDefault="00B750E7" w:rsidP="00B750E7">
            <w:pPr>
              <w:spacing w:after="0" w:line="240" w:lineRule="auto"/>
              <w:jc w:val="center"/>
              <w:rPr>
                <w:rFonts w:ascii="Times New Roman" w:hAnsi="Times New Roman"/>
                <w:sz w:val="18"/>
                <w:szCs w:val="18"/>
                <w:lang w:val="en-US"/>
              </w:rPr>
            </w:pPr>
          </w:p>
        </w:tc>
        <w:tc>
          <w:tcPr>
            <w:tcW w:w="1531" w:type="dxa"/>
            <w:tcBorders>
              <w:top w:val="nil"/>
              <w:left w:val="nil"/>
              <w:bottom w:val="single" w:sz="4" w:space="0" w:color="auto"/>
              <w:right w:val="nil"/>
            </w:tcBorders>
          </w:tcPr>
          <w:p w14:paraId="2049C240" w14:textId="77777777" w:rsidR="00B750E7" w:rsidRPr="008C28EB" w:rsidRDefault="00B750E7" w:rsidP="00B750E7">
            <w:pPr>
              <w:spacing w:after="0" w:line="240" w:lineRule="auto"/>
              <w:jc w:val="center"/>
              <w:rPr>
                <w:rFonts w:ascii="Times New Roman" w:hAnsi="Times New Roman"/>
                <w:sz w:val="18"/>
                <w:szCs w:val="18"/>
                <w:lang w:val="en-US"/>
              </w:rPr>
            </w:pPr>
          </w:p>
        </w:tc>
        <w:tc>
          <w:tcPr>
            <w:tcW w:w="1411" w:type="dxa"/>
            <w:tcBorders>
              <w:top w:val="nil"/>
              <w:left w:val="nil"/>
              <w:bottom w:val="single" w:sz="4" w:space="0" w:color="auto"/>
              <w:right w:val="nil"/>
            </w:tcBorders>
          </w:tcPr>
          <w:p w14:paraId="48ADDE20" w14:textId="77777777" w:rsidR="00B750E7" w:rsidRPr="008C28EB" w:rsidRDefault="00B750E7" w:rsidP="00B750E7">
            <w:pPr>
              <w:spacing w:after="0" w:line="240" w:lineRule="auto"/>
              <w:jc w:val="center"/>
              <w:rPr>
                <w:rFonts w:ascii="Times New Roman" w:hAnsi="Times New Roman"/>
                <w:sz w:val="18"/>
                <w:szCs w:val="18"/>
                <w:lang w:val="en-US"/>
              </w:rPr>
            </w:pPr>
          </w:p>
        </w:tc>
      </w:tr>
      <w:tr w:rsidR="00B750E7" w:rsidRPr="008C28EB" w14:paraId="7CA8B398" w14:textId="77777777" w:rsidTr="00B750E7">
        <w:trPr>
          <w:jc w:val="center"/>
        </w:trPr>
        <w:tc>
          <w:tcPr>
            <w:tcW w:w="1275" w:type="dxa"/>
            <w:tcBorders>
              <w:top w:val="single" w:sz="4" w:space="0" w:color="auto"/>
              <w:left w:val="nil"/>
              <w:bottom w:val="nil"/>
              <w:right w:val="nil"/>
            </w:tcBorders>
          </w:tcPr>
          <w:p w14:paraId="20858DDA"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sz w:val="18"/>
                <w:szCs w:val="18"/>
                <w:lang w:val="en-US"/>
              </w:rPr>
              <w:t>Observations</w:t>
            </w:r>
          </w:p>
        </w:tc>
        <w:tc>
          <w:tcPr>
            <w:tcW w:w="1540" w:type="dxa"/>
            <w:tcBorders>
              <w:top w:val="single" w:sz="4" w:space="0" w:color="auto"/>
              <w:left w:val="nil"/>
              <w:bottom w:val="nil"/>
              <w:right w:val="nil"/>
            </w:tcBorders>
          </w:tcPr>
          <w:p w14:paraId="3E9F97F9"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118</w:t>
            </w:r>
          </w:p>
        </w:tc>
        <w:tc>
          <w:tcPr>
            <w:tcW w:w="1386" w:type="dxa"/>
            <w:tcBorders>
              <w:top w:val="single" w:sz="4" w:space="0" w:color="auto"/>
              <w:left w:val="nil"/>
              <w:bottom w:val="nil"/>
              <w:right w:val="nil"/>
            </w:tcBorders>
          </w:tcPr>
          <w:p w14:paraId="0B95F2A4"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118</w:t>
            </w:r>
          </w:p>
        </w:tc>
        <w:tc>
          <w:tcPr>
            <w:tcW w:w="1531" w:type="dxa"/>
            <w:tcBorders>
              <w:top w:val="single" w:sz="4" w:space="0" w:color="auto"/>
              <w:left w:val="nil"/>
              <w:bottom w:val="nil"/>
              <w:right w:val="nil"/>
            </w:tcBorders>
          </w:tcPr>
          <w:p w14:paraId="128A467D"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118</w:t>
            </w:r>
          </w:p>
        </w:tc>
        <w:tc>
          <w:tcPr>
            <w:tcW w:w="1411" w:type="dxa"/>
            <w:tcBorders>
              <w:top w:val="single" w:sz="4" w:space="0" w:color="auto"/>
              <w:left w:val="nil"/>
              <w:bottom w:val="nil"/>
              <w:right w:val="nil"/>
            </w:tcBorders>
          </w:tcPr>
          <w:p w14:paraId="5DBED2C5"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118</w:t>
            </w:r>
          </w:p>
        </w:tc>
      </w:tr>
      <w:tr w:rsidR="00B750E7" w:rsidRPr="008C28EB" w14:paraId="388C2759" w14:textId="77777777" w:rsidTr="00B750E7">
        <w:tblPrEx>
          <w:tblBorders>
            <w:bottom w:val="single" w:sz="6" w:space="0" w:color="auto"/>
          </w:tblBorders>
        </w:tblPrEx>
        <w:trPr>
          <w:jc w:val="center"/>
        </w:trPr>
        <w:tc>
          <w:tcPr>
            <w:tcW w:w="1275" w:type="dxa"/>
            <w:tcBorders>
              <w:top w:val="nil"/>
              <w:left w:val="nil"/>
              <w:bottom w:val="single" w:sz="6" w:space="0" w:color="auto"/>
              <w:right w:val="nil"/>
            </w:tcBorders>
          </w:tcPr>
          <w:p w14:paraId="6EFEBADD" w14:textId="77777777" w:rsidR="00B750E7" w:rsidRPr="008C28EB" w:rsidRDefault="00B750E7" w:rsidP="00B750E7">
            <w:pPr>
              <w:spacing w:after="0" w:line="240" w:lineRule="auto"/>
              <w:rPr>
                <w:rFonts w:ascii="Times New Roman" w:hAnsi="Times New Roman"/>
                <w:sz w:val="18"/>
                <w:szCs w:val="18"/>
                <w:lang w:val="en-US"/>
              </w:rPr>
            </w:pPr>
            <w:r w:rsidRPr="008C28EB">
              <w:rPr>
                <w:rFonts w:ascii="Times New Roman" w:hAnsi="Times New Roman"/>
                <w:sz w:val="18"/>
                <w:szCs w:val="18"/>
                <w:lang w:val="en-US"/>
              </w:rPr>
              <w:t>R-squared</w:t>
            </w:r>
          </w:p>
        </w:tc>
        <w:tc>
          <w:tcPr>
            <w:tcW w:w="1540" w:type="dxa"/>
            <w:tcBorders>
              <w:top w:val="nil"/>
              <w:left w:val="nil"/>
              <w:bottom w:val="single" w:sz="6" w:space="0" w:color="auto"/>
              <w:right w:val="nil"/>
            </w:tcBorders>
          </w:tcPr>
          <w:p w14:paraId="3D5398D0"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0.24452</w:t>
            </w:r>
          </w:p>
        </w:tc>
        <w:tc>
          <w:tcPr>
            <w:tcW w:w="1386" w:type="dxa"/>
            <w:tcBorders>
              <w:top w:val="nil"/>
              <w:left w:val="nil"/>
              <w:bottom w:val="single" w:sz="6" w:space="0" w:color="auto"/>
              <w:right w:val="nil"/>
            </w:tcBorders>
          </w:tcPr>
          <w:p w14:paraId="4B1A2606"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0.38503</w:t>
            </w:r>
          </w:p>
        </w:tc>
        <w:tc>
          <w:tcPr>
            <w:tcW w:w="1531" w:type="dxa"/>
            <w:tcBorders>
              <w:top w:val="nil"/>
              <w:left w:val="nil"/>
              <w:bottom w:val="single" w:sz="6" w:space="0" w:color="auto"/>
              <w:right w:val="nil"/>
            </w:tcBorders>
          </w:tcPr>
          <w:p w14:paraId="45319271"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0.28170</w:t>
            </w:r>
          </w:p>
        </w:tc>
        <w:tc>
          <w:tcPr>
            <w:tcW w:w="1411" w:type="dxa"/>
            <w:tcBorders>
              <w:top w:val="nil"/>
              <w:left w:val="nil"/>
              <w:bottom w:val="single" w:sz="6" w:space="0" w:color="auto"/>
              <w:right w:val="nil"/>
            </w:tcBorders>
          </w:tcPr>
          <w:p w14:paraId="19CBBFDC" w14:textId="77777777" w:rsidR="00B750E7" w:rsidRPr="008C28EB" w:rsidRDefault="00B750E7" w:rsidP="00B750E7">
            <w:pPr>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0.44155</w:t>
            </w:r>
          </w:p>
        </w:tc>
      </w:tr>
    </w:tbl>
    <w:p w14:paraId="73CE65A8" w14:textId="77777777" w:rsidR="00B750E7" w:rsidRPr="008C28EB" w:rsidRDefault="00B750E7" w:rsidP="007F6BC9">
      <w:pPr>
        <w:rPr>
          <w:lang w:val="en-US"/>
        </w:rPr>
      </w:pPr>
    </w:p>
    <w:p w14:paraId="501EE68D" w14:textId="77777777" w:rsidR="008C6D0D" w:rsidRPr="008C28EB" w:rsidRDefault="008C6D0D" w:rsidP="007F6BC9">
      <w:pPr>
        <w:rPr>
          <w:rFonts w:ascii="Times New Roman" w:hAnsi="Times New Roman"/>
          <w:b/>
          <w:sz w:val="18"/>
          <w:szCs w:val="18"/>
          <w:lang w:val="en-US"/>
        </w:rPr>
      </w:pPr>
    </w:p>
    <w:p w14:paraId="4C7F8743" w14:textId="77777777" w:rsidR="008C6D0D" w:rsidRPr="008C28EB" w:rsidRDefault="008C6D0D" w:rsidP="007F6BC9">
      <w:pPr>
        <w:rPr>
          <w:rFonts w:ascii="Times New Roman" w:hAnsi="Times New Roman"/>
          <w:b/>
          <w:sz w:val="18"/>
          <w:szCs w:val="18"/>
          <w:lang w:val="en-US"/>
        </w:rPr>
      </w:pPr>
    </w:p>
    <w:p w14:paraId="5374FF96" w14:textId="77777777" w:rsidR="008C6D0D" w:rsidRPr="008C28EB" w:rsidRDefault="008C6D0D" w:rsidP="007F6BC9">
      <w:pPr>
        <w:rPr>
          <w:rFonts w:ascii="Times New Roman" w:hAnsi="Times New Roman"/>
          <w:b/>
          <w:sz w:val="18"/>
          <w:szCs w:val="18"/>
          <w:lang w:val="en-US"/>
        </w:rPr>
      </w:pPr>
    </w:p>
    <w:p w14:paraId="4A7E0D0F" w14:textId="77777777" w:rsidR="007F6BC9" w:rsidRPr="008C28EB" w:rsidRDefault="007F6BC9" w:rsidP="007F6BC9">
      <w:pPr>
        <w:rPr>
          <w:lang w:val="en-US"/>
        </w:rPr>
      </w:pPr>
      <w:r w:rsidRPr="008C28EB">
        <w:rPr>
          <w:rFonts w:ascii="Times New Roman" w:hAnsi="Times New Roman"/>
          <w:b/>
          <w:sz w:val="18"/>
          <w:szCs w:val="18"/>
          <w:lang w:val="en-US"/>
        </w:rPr>
        <w:lastRenderedPageBreak/>
        <w:t>Panel B:  Market Model Abnormal Returns – Summary statistics of ATE(X), ATET(X), ATENT(X)</w:t>
      </w:r>
      <w:r w:rsidR="00C077C7" w:rsidRPr="008C28EB">
        <w:rPr>
          <w:rFonts w:ascii="Times New Roman" w:hAnsi="Times New Roman"/>
          <w:b/>
          <w:sz w:val="18"/>
          <w:szCs w:val="18"/>
          <w:lang w:val="en-US"/>
        </w:rPr>
        <w:t xml:space="preserve"> </w:t>
      </w:r>
      <w:r w:rsidR="008C6D0D" w:rsidRPr="008C28EB">
        <w:rPr>
          <w:rFonts w:ascii="Times New Roman" w:hAnsi="Times New Roman"/>
          <w:b/>
          <w:sz w:val="18"/>
          <w:szCs w:val="18"/>
          <w:lang w:val="en-US"/>
        </w:rPr>
        <w:t>for Models (1) and (2)</w:t>
      </w:r>
    </w:p>
    <w:tbl>
      <w:tblPr>
        <w:tblW w:w="5931" w:type="dxa"/>
        <w:tblInd w:w="70" w:type="dxa"/>
        <w:tblLayout w:type="fixed"/>
        <w:tblCellMar>
          <w:left w:w="70" w:type="dxa"/>
          <w:right w:w="70" w:type="dxa"/>
        </w:tblCellMar>
        <w:tblLook w:val="04A0" w:firstRow="1" w:lastRow="0" w:firstColumn="1" w:lastColumn="0" w:noHBand="0" w:noVBand="1"/>
      </w:tblPr>
      <w:tblGrid>
        <w:gridCol w:w="1051"/>
        <w:gridCol w:w="976"/>
        <w:gridCol w:w="976"/>
        <w:gridCol w:w="976"/>
        <w:gridCol w:w="976"/>
        <w:gridCol w:w="976"/>
      </w:tblGrid>
      <w:tr w:rsidR="007F6BC9" w:rsidRPr="008C28EB" w14:paraId="2B73367C" w14:textId="77777777" w:rsidTr="00B70718">
        <w:trPr>
          <w:trHeight w:val="255"/>
        </w:trPr>
        <w:tc>
          <w:tcPr>
            <w:tcW w:w="1051" w:type="dxa"/>
            <w:tcBorders>
              <w:top w:val="single" w:sz="4" w:space="0" w:color="auto"/>
              <w:left w:val="nil"/>
              <w:bottom w:val="single" w:sz="4" w:space="0" w:color="auto"/>
              <w:right w:val="nil"/>
            </w:tcBorders>
            <w:shd w:val="clear" w:color="auto" w:fill="auto"/>
            <w:noWrap/>
            <w:vAlign w:val="bottom"/>
            <w:hideMark/>
          </w:tcPr>
          <w:p w14:paraId="60C7E40B" w14:textId="77777777" w:rsidR="007F6BC9" w:rsidRPr="008C28EB" w:rsidRDefault="007F6BC9" w:rsidP="00B70718">
            <w:pPr>
              <w:spacing w:after="0" w:line="240" w:lineRule="auto"/>
              <w:contextualSpacing/>
              <w:rPr>
                <w:rFonts w:ascii="Times New Roman" w:eastAsia="Times New Roman" w:hAnsi="Times New Roman"/>
                <w:sz w:val="18"/>
                <w:szCs w:val="18"/>
                <w:lang w:val="en-US"/>
              </w:rPr>
            </w:pPr>
            <w:r w:rsidRPr="008C28EB">
              <w:rPr>
                <w:rFonts w:ascii="Times New Roman" w:hAnsi="Times New Roman"/>
                <w:sz w:val="18"/>
                <w:szCs w:val="18"/>
                <w:lang w:val="en-US"/>
              </w:rPr>
              <w:t>4 /11/2014</w:t>
            </w:r>
          </w:p>
        </w:tc>
        <w:tc>
          <w:tcPr>
            <w:tcW w:w="976" w:type="dxa"/>
            <w:tcBorders>
              <w:top w:val="single" w:sz="4" w:space="0" w:color="auto"/>
              <w:left w:val="nil"/>
              <w:bottom w:val="single" w:sz="4" w:space="0" w:color="auto"/>
              <w:right w:val="nil"/>
            </w:tcBorders>
            <w:shd w:val="clear" w:color="auto" w:fill="auto"/>
            <w:noWrap/>
            <w:vAlign w:val="bottom"/>
            <w:hideMark/>
          </w:tcPr>
          <w:p w14:paraId="6F8473E7"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Obs</w:t>
            </w:r>
          </w:p>
        </w:tc>
        <w:tc>
          <w:tcPr>
            <w:tcW w:w="976" w:type="dxa"/>
            <w:tcBorders>
              <w:top w:val="single" w:sz="4" w:space="0" w:color="auto"/>
              <w:left w:val="nil"/>
              <w:bottom w:val="single" w:sz="4" w:space="0" w:color="auto"/>
              <w:right w:val="nil"/>
            </w:tcBorders>
            <w:shd w:val="clear" w:color="auto" w:fill="auto"/>
            <w:noWrap/>
            <w:vAlign w:val="bottom"/>
            <w:hideMark/>
          </w:tcPr>
          <w:p w14:paraId="475F5310"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Mean</w:t>
            </w:r>
          </w:p>
        </w:tc>
        <w:tc>
          <w:tcPr>
            <w:tcW w:w="976" w:type="dxa"/>
            <w:tcBorders>
              <w:top w:val="single" w:sz="4" w:space="0" w:color="auto"/>
              <w:left w:val="nil"/>
              <w:bottom w:val="single" w:sz="4" w:space="0" w:color="auto"/>
              <w:right w:val="nil"/>
            </w:tcBorders>
            <w:shd w:val="clear" w:color="auto" w:fill="auto"/>
            <w:noWrap/>
            <w:vAlign w:val="bottom"/>
            <w:hideMark/>
          </w:tcPr>
          <w:p w14:paraId="2F026741"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Std. Dev.</w:t>
            </w:r>
          </w:p>
        </w:tc>
        <w:tc>
          <w:tcPr>
            <w:tcW w:w="976" w:type="dxa"/>
            <w:tcBorders>
              <w:top w:val="single" w:sz="4" w:space="0" w:color="auto"/>
              <w:left w:val="nil"/>
              <w:bottom w:val="single" w:sz="4" w:space="0" w:color="auto"/>
              <w:right w:val="nil"/>
            </w:tcBorders>
            <w:shd w:val="clear" w:color="auto" w:fill="auto"/>
            <w:noWrap/>
            <w:vAlign w:val="bottom"/>
            <w:hideMark/>
          </w:tcPr>
          <w:p w14:paraId="0A3FE54F"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Min</w:t>
            </w:r>
          </w:p>
        </w:tc>
        <w:tc>
          <w:tcPr>
            <w:tcW w:w="976" w:type="dxa"/>
            <w:tcBorders>
              <w:top w:val="single" w:sz="4" w:space="0" w:color="auto"/>
              <w:left w:val="nil"/>
              <w:bottom w:val="single" w:sz="4" w:space="0" w:color="auto"/>
              <w:right w:val="nil"/>
            </w:tcBorders>
            <w:shd w:val="clear" w:color="auto" w:fill="auto"/>
            <w:noWrap/>
            <w:vAlign w:val="bottom"/>
            <w:hideMark/>
          </w:tcPr>
          <w:p w14:paraId="504CC01F"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Max</w:t>
            </w:r>
          </w:p>
        </w:tc>
      </w:tr>
      <w:tr w:rsidR="007F6BC9" w:rsidRPr="008C28EB" w14:paraId="63A134E6" w14:textId="77777777" w:rsidTr="00B70718">
        <w:trPr>
          <w:trHeight w:val="255"/>
        </w:trPr>
        <w:tc>
          <w:tcPr>
            <w:tcW w:w="1051" w:type="dxa"/>
            <w:tcBorders>
              <w:top w:val="nil"/>
              <w:left w:val="nil"/>
              <w:bottom w:val="nil"/>
              <w:right w:val="nil"/>
            </w:tcBorders>
            <w:shd w:val="clear" w:color="auto" w:fill="auto"/>
            <w:noWrap/>
            <w:vAlign w:val="center"/>
            <w:hideMark/>
          </w:tcPr>
          <w:p w14:paraId="7DFE08FC"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ATE_x</w:t>
            </w:r>
          </w:p>
        </w:tc>
        <w:tc>
          <w:tcPr>
            <w:tcW w:w="976" w:type="dxa"/>
            <w:tcBorders>
              <w:top w:val="nil"/>
              <w:left w:val="nil"/>
              <w:bottom w:val="nil"/>
              <w:right w:val="nil"/>
            </w:tcBorders>
            <w:shd w:val="clear" w:color="auto" w:fill="auto"/>
            <w:noWrap/>
            <w:vAlign w:val="bottom"/>
            <w:hideMark/>
          </w:tcPr>
          <w:p w14:paraId="15ABB8DD"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118</w:t>
            </w:r>
          </w:p>
        </w:tc>
        <w:tc>
          <w:tcPr>
            <w:tcW w:w="976" w:type="dxa"/>
            <w:tcBorders>
              <w:top w:val="nil"/>
              <w:left w:val="nil"/>
              <w:bottom w:val="nil"/>
              <w:right w:val="nil"/>
            </w:tcBorders>
            <w:shd w:val="clear" w:color="auto" w:fill="auto"/>
            <w:noWrap/>
            <w:vAlign w:val="bottom"/>
            <w:hideMark/>
          </w:tcPr>
          <w:p w14:paraId="77DFBFF0"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-0.01577</w:t>
            </w:r>
          </w:p>
        </w:tc>
        <w:tc>
          <w:tcPr>
            <w:tcW w:w="976" w:type="dxa"/>
            <w:tcBorders>
              <w:top w:val="nil"/>
              <w:left w:val="nil"/>
              <w:bottom w:val="nil"/>
              <w:right w:val="nil"/>
            </w:tcBorders>
            <w:shd w:val="clear" w:color="auto" w:fill="auto"/>
            <w:noWrap/>
            <w:vAlign w:val="bottom"/>
            <w:hideMark/>
          </w:tcPr>
          <w:p w14:paraId="5DD3493B"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0.024064</w:t>
            </w:r>
          </w:p>
        </w:tc>
        <w:tc>
          <w:tcPr>
            <w:tcW w:w="976" w:type="dxa"/>
            <w:tcBorders>
              <w:top w:val="nil"/>
              <w:left w:val="nil"/>
              <w:bottom w:val="nil"/>
              <w:right w:val="nil"/>
            </w:tcBorders>
            <w:shd w:val="clear" w:color="auto" w:fill="auto"/>
            <w:noWrap/>
            <w:vAlign w:val="bottom"/>
            <w:hideMark/>
          </w:tcPr>
          <w:p w14:paraId="0DAD3DC5"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-0.10536</w:t>
            </w:r>
          </w:p>
        </w:tc>
        <w:tc>
          <w:tcPr>
            <w:tcW w:w="976" w:type="dxa"/>
            <w:tcBorders>
              <w:top w:val="nil"/>
              <w:left w:val="nil"/>
              <w:bottom w:val="nil"/>
              <w:right w:val="nil"/>
            </w:tcBorders>
            <w:shd w:val="clear" w:color="auto" w:fill="auto"/>
            <w:noWrap/>
            <w:vAlign w:val="bottom"/>
            <w:hideMark/>
          </w:tcPr>
          <w:p w14:paraId="4A27602B"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0.06681</w:t>
            </w:r>
          </w:p>
        </w:tc>
      </w:tr>
      <w:tr w:rsidR="007F6BC9" w:rsidRPr="008C28EB" w14:paraId="55494465" w14:textId="77777777" w:rsidTr="00B70718">
        <w:trPr>
          <w:trHeight w:val="255"/>
        </w:trPr>
        <w:tc>
          <w:tcPr>
            <w:tcW w:w="1051" w:type="dxa"/>
            <w:tcBorders>
              <w:top w:val="nil"/>
              <w:left w:val="nil"/>
              <w:right w:val="nil"/>
            </w:tcBorders>
            <w:shd w:val="clear" w:color="auto" w:fill="auto"/>
            <w:noWrap/>
            <w:vAlign w:val="center"/>
            <w:hideMark/>
          </w:tcPr>
          <w:p w14:paraId="3A774F3F"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ATET_x</w:t>
            </w:r>
          </w:p>
        </w:tc>
        <w:tc>
          <w:tcPr>
            <w:tcW w:w="976" w:type="dxa"/>
            <w:tcBorders>
              <w:top w:val="nil"/>
              <w:left w:val="nil"/>
              <w:right w:val="nil"/>
            </w:tcBorders>
            <w:shd w:val="clear" w:color="auto" w:fill="auto"/>
            <w:noWrap/>
            <w:vAlign w:val="bottom"/>
            <w:hideMark/>
          </w:tcPr>
          <w:p w14:paraId="0E27E8C0"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45</w:t>
            </w:r>
          </w:p>
        </w:tc>
        <w:tc>
          <w:tcPr>
            <w:tcW w:w="976" w:type="dxa"/>
            <w:tcBorders>
              <w:top w:val="nil"/>
              <w:left w:val="nil"/>
              <w:right w:val="nil"/>
            </w:tcBorders>
            <w:shd w:val="clear" w:color="auto" w:fill="auto"/>
            <w:noWrap/>
            <w:vAlign w:val="bottom"/>
            <w:hideMark/>
          </w:tcPr>
          <w:p w14:paraId="2C18BE74"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-0.01534</w:t>
            </w:r>
          </w:p>
        </w:tc>
        <w:tc>
          <w:tcPr>
            <w:tcW w:w="976" w:type="dxa"/>
            <w:tcBorders>
              <w:top w:val="nil"/>
              <w:left w:val="nil"/>
              <w:right w:val="nil"/>
            </w:tcBorders>
            <w:shd w:val="clear" w:color="auto" w:fill="auto"/>
            <w:noWrap/>
            <w:vAlign w:val="bottom"/>
            <w:hideMark/>
          </w:tcPr>
          <w:p w14:paraId="4C4F4487"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0.026014</w:t>
            </w:r>
          </w:p>
        </w:tc>
        <w:tc>
          <w:tcPr>
            <w:tcW w:w="976" w:type="dxa"/>
            <w:tcBorders>
              <w:top w:val="nil"/>
              <w:left w:val="nil"/>
              <w:right w:val="nil"/>
            </w:tcBorders>
            <w:shd w:val="clear" w:color="auto" w:fill="auto"/>
            <w:noWrap/>
            <w:vAlign w:val="bottom"/>
            <w:hideMark/>
          </w:tcPr>
          <w:p w14:paraId="1804C776"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-0.10481</w:t>
            </w:r>
          </w:p>
        </w:tc>
        <w:tc>
          <w:tcPr>
            <w:tcW w:w="976" w:type="dxa"/>
            <w:tcBorders>
              <w:top w:val="nil"/>
              <w:left w:val="nil"/>
              <w:right w:val="nil"/>
            </w:tcBorders>
            <w:shd w:val="clear" w:color="auto" w:fill="auto"/>
            <w:noWrap/>
            <w:vAlign w:val="bottom"/>
            <w:hideMark/>
          </w:tcPr>
          <w:p w14:paraId="0A64BA3C"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0.06681</w:t>
            </w:r>
          </w:p>
        </w:tc>
      </w:tr>
      <w:tr w:rsidR="007F6BC9" w:rsidRPr="008C28EB" w14:paraId="33A06DFF" w14:textId="77777777" w:rsidTr="00B70718">
        <w:trPr>
          <w:trHeight w:val="255"/>
        </w:trPr>
        <w:tc>
          <w:tcPr>
            <w:tcW w:w="1051" w:type="dxa"/>
            <w:tcBorders>
              <w:top w:val="nil"/>
              <w:left w:val="nil"/>
              <w:bottom w:val="single" w:sz="4" w:space="0" w:color="auto"/>
              <w:right w:val="nil"/>
            </w:tcBorders>
            <w:shd w:val="clear" w:color="auto" w:fill="auto"/>
            <w:noWrap/>
            <w:vAlign w:val="center"/>
            <w:hideMark/>
          </w:tcPr>
          <w:p w14:paraId="76D1C429"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ATENT_x</w:t>
            </w:r>
          </w:p>
        </w:tc>
        <w:tc>
          <w:tcPr>
            <w:tcW w:w="976" w:type="dxa"/>
            <w:tcBorders>
              <w:top w:val="nil"/>
              <w:left w:val="nil"/>
              <w:bottom w:val="single" w:sz="4" w:space="0" w:color="auto"/>
              <w:right w:val="nil"/>
            </w:tcBorders>
            <w:shd w:val="clear" w:color="auto" w:fill="auto"/>
            <w:noWrap/>
            <w:vAlign w:val="bottom"/>
            <w:hideMark/>
          </w:tcPr>
          <w:p w14:paraId="685F4131"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73</w:t>
            </w:r>
          </w:p>
        </w:tc>
        <w:tc>
          <w:tcPr>
            <w:tcW w:w="976" w:type="dxa"/>
            <w:tcBorders>
              <w:top w:val="nil"/>
              <w:left w:val="nil"/>
              <w:bottom w:val="single" w:sz="4" w:space="0" w:color="auto"/>
              <w:right w:val="nil"/>
            </w:tcBorders>
            <w:shd w:val="clear" w:color="auto" w:fill="auto"/>
            <w:noWrap/>
            <w:vAlign w:val="bottom"/>
            <w:hideMark/>
          </w:tcPr>
          <w:p w14:paraId="2954EF03"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-0.01603</w:t>
            </w:r>
          </w:p>
        </w:tc>
        <w:tc>
          <w:tcPr>
            <w:tcW w:w="976" w:type="dxa"/>
            <w:tcBorders>
              <w:top w:val="nil"/>
              <w:left w:val="nil"/>
              <w:bottom w:val="single" w:sz="4" w:space="0" w:color="auto"/>
              <w:right w:val="nil"/>
            </w:tcBorders>
            <w:shd w:val="clear" w:color="auto" w:fill="auto"/>
            <w:noWrap/>
            <w:vAlign w:val="bottom"/>
            <w:hideMark/>
          </w:tcPr>
          <w:p w14:paraId="3A620362"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0.022962</w:t>
            </w:r>
          </w:p>
        </w:tc>
        <w:tc>
          <w:tcPr>
            <w:tcW w:w="976" w:type="dxa"/>
            <w:tcBorders>
              <w:top w:val="nil"/>
              <w:left w:val="nil"/>
              <w:bottom w:val="single" w:sz="4" w:space="0" w:color="auto"/>
              <w:right w:val="nil"/>
            </w:tcBorders>
            <w:shd w:val="clear" w:color="auto" w:fill="auto"/>
            <w:noWrap/>
            <w:vAlign w:val="bottom"/>
            <w:hideMark/>
          </w:tcPr>
          <w:p w14:paraId="5D289068"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-0.10536</w:t>
            </w:r>
          </w:p>
        </w:tc>
        <w:tc>
          <w:tcPr>
            <w:tcW w:w="976" w:type="dxa"/>
            <w:tcBorders>
              <w:top w:val="nil"/>
              <w:left w:val="nil"/>
              <w:bottom w:val="single" w:sz="4" w:space="0" w:color="auto"/>
              <w:right w:val="nil"/>
            </w:tcBorders>
            <w:shd w:val="clear" w:color="auto" w:fill="auto"/>
            <w:noWrap/>
            <w:vAlign w:val="bottom"/>
            <w:hideMark/>
          </w:tcPr>
          <w:p w14:paraId="7838BC65"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0.059388</w:t>
            </w:r>
          </w:p>
        </w:tc>
      </w:tr>
    </w:tbl>
    <w:p w14:paraId="2CA89A7E" w14:textId="77777777" w:rsidR="007F6BC9" w:rsidRPr="008C28EB" w:rsidRDefault="007F6BC9" w:rsidP="007F6BC9">
      <w:pPr>
        <w:spacing w:after="0" w:line="240" w:lineRule="auto"/>
        <w:contextualSpacing/>
        <w:jc w:val="center"/>
        <w:rPr>
          <w:lang w:val="en-US"/>
        </w:rPr>
      </w:pPr>
    </w:p>
    <w:tbl>
      <w:tblPr>
        <w:tblW w:w="5856" w:type="dxa"/>
        <w:tblInd w:w="70" w:type="dxa"/>
        <w:tblCellMar>
          <w:left w:w="70" w:type="dxa"/>
          <w:right w:w="70" w:type="dxa"/>
        </w:tblCellMar>
        <w:tblLook w:val="04A0" w:firstRow="1" w:lastRow="0" w:firstColumn="1" w:lastColumn="0" w:noHBand="0" w:noVBand="1"/>
      </w:tblPr>
      <w:tblGrid>
        <w:gridCol w:w="976"/>
        <w:gridCol w:w="976"/>
        <w:gridCol w:w="976"/>
        <w:gridCol w:w="976"/>
        <w:gridCol w:w="976"/>
        <w:gridCol w:w="976"/>
      </w:tblGrid>
      <w:tr w:rsidR="007F6BC9" w:rsidRPr="008C28EB" w14:paraId="32D3A1CB" w14:textId="77777777" w:rsidTr="00B70718">
        <w:trPr>
          <w:trHeight w:val="255"/>
        </w:trPr>
        <w:tc>
          <w:tcPr>
            <w:tcW w:w="976" w:type="dxa"/>
            <w:tcBorders>
              <w:top w:val="single" w:sz="4" w:space="0" w:color="auto"/>
              <w:left w:val="nil"/>
              <w:bottom w:val="single" w:sz="4" w:space="0" w:color="auto"/>
              <w:right w:val="nil"/>
            </w:tcBorders>
            <w:shd w:val="clear" w:color="auto" w:fill="auto"/>
            <w:noWrap/>
            <w:vAlign w:val="bottom"/>
            <w:hideMark/>
          </w:tcPr>
          <w:p w14:paraId="5B3B98DB"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26/10/2014</w:t>
            </w:r>
          </w:p>
        </w:tc>
        <w:tc>
          <w:tcPr>
            <w:tcW w:w="976" w:type="dxa"/>
            <w:tcBorders>
              <w:top w:val="single" w:sz="4" w:space="0" w:color="auto"/>
              <w:left w:val="nil"/>
              <w:bottom w:val="single" w:sz="4" w:space="0" w:color="auto"/>
              <w:right w:val="nil"/>
            </w:tcBorders>
            <w:shd w:val="clear" w:color="auto" w:fill="auto"/>
            <w:noWrap/>
            <w:vAlign w:val="bottom"/>
            <w:hideMark/>
          </w:tcPr>
          <w:p w14:paraId="1863F588"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Obs</w:t>
            </w:r>
          </w:p>
        </w:tc>
        <w:tc>
          <w:tcPr>
            <w:tcW w:w="976" w:type="dxa"/>
            <w:tcBorders>
              <w:top w:val="single" w:sz="4" w:space="0" w:color="auto"/>
              <w:left w:val="nil"/>
              <w:bottom w:val="single" w:sz="4" w:space="0" w:color="auto"/>
              <w:right w:val="nil"/>
            </w:tcBorders>
            <w:shd w:val="clear" w:color="auto" w:fill="auto"/>
            <w:noWrap/>
            <w:vAlign w:val="bottom"/>
            <w:hideMark/>
          </w:tcPr>
          <w:p w14:paraId="4DCF326E"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Mean</w:t>
            </w:r>
          </w:p>
        </w:tc>
        <w:tc>
          <w:tcPr>
            <w:tcW w:w="976" w:type="dxa"/>
            <w:tcBorders>
              <w:top w:val="single" w:sz="4" w:space="0" w:color="auto"/>
              <w:left w:val="nil"/>
              <w:bottom w:val="single" w:sz="4" w:space="0" w:color="auto"/>
              <w:right w:val="nil"/>
            </w:tcBorders>
            <w:shd w:val="clear" w:color="auto" w:fill="auto"/>
            <w:noWrap/>
            <w:vAlign w:val="bottom"/>
            <w:hideMark/>
          </w:tcPr>
          <w:p w14:paraId="20CE7F81"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Std. Dev.</w:t>
            </w:r>
          </w:p>
        </w:tc>
        <w:tc>
          <w:tcPr>
            <w:tcW w:w="976" w:type="dxa"/>
            <w:tcBorders>
              <w:top w:val="single" w:sz="4" w:space="0" w:color="auto"/>
              <w:left w:val="nil"/>
              <w:bottom w:val="single" w:sz="4" w:space="0" w:color="auto"/>
              <w:right w:val="nil"/>
            </w:tcBorders>
            <w:shd w:val="clear" w:color="auto" w:fill="auto"/>
            <w:noWrap/>
            <w:vAlign w:val="bottom"/>
            <w:hideMark/>
          </w:tcPr>
          <w:p w14:paraId="2CFE2DAA"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Min</w:t>
            </w:r>
          </w:p>
        </w:tc>
        <w:tc>
          <w:tcPr>
            <w:tcW w:w="976" w:type="dxa"/>
            <w:tcBorders>
              <w:top w:val="single" w:sz="4" w:space="0" w:color="auto"/>
              <w:left w:val="nil"/>
              <w:bottom w:val="single" w:sz="4" w:space="0" w:color="auto"/>
              <w:right w:val="nil"/>
            </w:tcBorders>
            <w:shd w:val="clear" w:color="auto" w:fill="auto"/>
            <w:noWrap/>
            <w:vAlign w:val="bottom"/>
            <w:hideMark/>
          </w:tcPr>
          <w:p w14:paraId="2E2A9645"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Max</w:t>
            </w:r>
          </w:p>
        </w:tc>
      </w:tr>
      <w:tr w:rsidR="007F6BC9" w:rsidRPr="008C28EB" w14:paraId="0E5E6B6B" w14:textId="77777777" w:rsidTr="00B70718">
        <w:trPr>
          <w:trHeight w:val="255"/>
        </w:trPr>
        <w:tc>
          <w:tcPr>
            <w:tcW w:w="976" w:type="dxa"/>
            <w:tcBorders>
              <w:top w:val="nil"/>
              <w:left w:val="nil"/>
              <w:bottom w:val="nil"/>
              <w:right w:val="nil"/>
            </w:tcBorders>
            <w:shd w:val="clear" w:color="auto" w:fill="auto"/>
            <w:noWrap/>
            <w:vAlign w:val="bottom"/>
            <w:hideMark/>
          </w:tcPr>
          <w:p w14:paraId="7BF2C295"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ATE_x</w:t>
            </w:r>
          </w:p>
        </w:tc>
        <w:tc>
          <w:tcPr>
            <w:tcW w:w="976" w:type="dxa"/>
            <w:tcBorders>
              <w:top w:val="nil"/>
              <w:left w:val="nil"/>
              <w:bottom w:val="nil"/>
              <w:right w:val="nil"/>
            </w:tcBorders>
            <w:shd w:val="clear" w:color="auto" w:fill="auto"/>
            <w:noWrap/>
            <w:vAlign w:val="bottom"/>
            <w:hideMark/>
          </w:tcPr>
          <w:p w14:paraId="2B1FC62A"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118</w:t>
            </w:r>
          </w:p>
        </w:tc>
        <w:tc>
          <w:tcPr>
            <w:tcW w:w="976" w:type="dxa"/>
            <w:tcBorders>
              <w:top w:val="nil"/>
              <w:left w:val="nil"/>
              <w:bottom w:val="nil"/>
              <w:right w:val="nil"/>
            </w:tcBorders>
            <w:shd w:val="clear" w:color="auto" w:fill="auto"/>
            <w:noWrap/>
            <w:vAlign w:val="bottom"/>
            <w:hideMark/>
          </w:tcPr>
          <w:p w14:paraId="7D0212CB"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-0.03038</w:t>
            </w:r>
          </w:p>
        </w:tc>
        <w:tc>
          <w:tcPr>
            <w:tcW w:w="976" w:type="dxa"/>
            <w:tcBorders>
              <w:top w:val="nil"/>
              <w:left w:val="nil"/>
              <w:bottom w:val="nil"/>
              <w:right w:val="nil"/>
            </w:tcBorders>
            <w:shd w:val="clear" w:color="auto" w:fill="auto"/>
            <w:noWrap/>
            <w:vAlign w:val="bottom"/>
            <w:hideMark/>
          </w:tcPr>
          <w:p w14:paraId="5397F845"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0.027217</w:t>
            </w:r>
          </w:p>
        </w:tc>
        <w:tc>
          <w:tcPr>
            <w:tcW w:w="976" w:type="dxa"/>
            <w:tcBorders>
              <w:top w:val="nil"/>
              <w:left w:val="nil"/>
              <w:bottom w:val="nil"/>
              <w:right w:val="nil"/>
            </w:tcBorders>
            <w:shd w:val="clear" w:color="auto" w:fill="auto"/>
            <w:noWrap/>
            <w:vAlign w:val="bottom"/>
            <w:hideMark/>
          </w:tcPr>
          <w:p w14:paraId="081C5918"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-0.14407</w:t>
            </w:r>
          </w:p>
        </w:tc>
        <w:tc>
          <w:tcPr>
            <w:tcW w:w="976" w:type="dxa"/>
            <w:tcBorders>
              <w:top w:val="nil"/>
              <w:left w:val="nil"/>
              <w:bottom w:val="nil"/>
              <w:right w:val="nil"/>
            </w:tcBorders>
            <w:shd w:val="clear" w:color="auto" w:fill="auto"/>
            <w:noWrap/>
            <w:vAlign w:val="bottom"/>
            <w:hideMark/>
          </w:tcPr>
          <w:p w14:paraId="4292A205"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0.019142</w:t>
            </w:r>
          </w:p>
        </w:tc>
      </w:tr>
      <w:tr w:rsidR="007F6BC9" w:rsidRPr="008C28EB" w14:paraId="28A434A6" w14:textId="77777777" w:rsidTr="00B70718">
        <w:trPr>
          <w:trHeight w:val="255"/>
        </w:trPr>
        <w:tc>
          <w:tcPr>
            <w:tcW w:w="976" w:type="dxa"/>
            <w:tcBorders>
              <w:top w:val="nil"/>
              <w:left w:val="nil"/>
              <w:right w:val="nil"/>
            </w:tcBorders>
            <w:shd w:val="clear" w:color="auto" w:fill="auto"/>
            <w:noWrap/>
            <w:vAlign w:val="bottom"/>
            <w:hideMark/>
          </w:tcPr>
          <w:p w14:paraId="574B93EE"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ATET_x</w:t>
            </w:r>
          </w:p>
        </w:tc>
        <w:tc>
          <w:tcPr>
            <w:tcW w:w="976" w:type="dxa"/>
            <w:tcBorders>
              <w:top w:val="nil"/>
              <w:left w:val="nil"/>
              <w:right w:val="nil"/>
            </w:tcBorders>
            <w:shd w:val="clear" w:color="auto" w:fill="auto"/>
            <w:noWrap/>
            <w:vAlign w:val="bottom"/>
            <w:hideMark/>
          </w:tcPr>
          <w:p w14:paraId="0976E3D0"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45</w:t>
            </w:r>
          </w:p>
        </w:tc>
        <w:tc>
          <w:tcPr>
            <w:tcW w:w="976" w:type="dxa"/>
            <w:tcBorders>
              <w:top w:val="nil"/>
              <w:left w:val="nil"/>
              <w:right w:val="nil"/>
            </w:tcBorders>
            <w:shd w:val="clear" w:color="auto" w:fill="auto"/>
            <w:noWrap/>
            <w:vAlign w:val="bottom"/>
            <w:hideMark/>
          </w:tcPr>
          <w:p w14:paraId="310E4794"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-0.03174</w:t>
            </w:r>
          </w:p>
        </w:tc>
        <w:tc>
          <w:tcPr>
            <w:tcW w:w="976" w:type="dxa"/>
            <w:tcBorders>
              <w:top w:val="nil"/>
              <w:left w:val="nil"/>
              <w:right w:val="nil"/>
            </w:tcBorders>
            <w:shd w:val="clear" w:color="auto" w:fill="auto"/>
            <w:noWrap/>
            <w:vAlign w:val="bottom"/>
            <w:hideMark/>
          </w:tcPr>
          <w:p w14:paraId="0BDCC845"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0.025607</w:t>
            </w:r>
          </w:p>
        </w:tc>
        <w:tc>
          <w:tcPr>
            <w:tcW w:w="976" w:type="dxa"/>
            <w:tcBorders>
              <w:top w:val="nil"/>
              <w:left w:val="nil"/>
              <w:right w:val="nil"/>
            </w:tcBorders>
            <w:shd w:val="clear" w:color="auto" w:fill="auto"/>
            <w:noWrap/>
            <w:vAlign w:val="bottom"/>
            <w:hideMark/>
          </w:tcPr>
          <w:p w14:paraId="2FFBA7D4"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-0.1081</w:t>
            </w:r>
          </w:p>
        </w:tc>
        <w:tc>
          <w:tcPr>
            <w:tcW w:w="976" w:type="dxa"/>
            <w:tcBorders>
              <w:top w:val="nil"/>
              <w:left w:val="nil"/>
              <w:right w:val="nil"/>
            </w:tcBorders>
            <w:shd w:val="clear" w:color="auto" w:fill="auto"/>
            <w:noWrap/>
            <w:vAlign w:val="bottom"/>
            <w:hideMark/>
          </w:tcPr>
          <w:p w14:paraId="646242A9"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0.003046</w:t>
            </w:r>
          </w:p>
        </w:tc>
      </w:tr>
      <w:tr w:rsidR="007F6BC9" w:rsidRPr="008C28EB" w14:paraId="10C522C5" w14:textId="77777777" w:rsidTr="00B70718">
        <w:trPr>
          <w:trHeight w:val="255"/>
        </w:trPr>
        <w:tc>
          <w:tcPr>
            <w:tcW w:w="976" w:type="dxa"/>
            <w:tcBorders>
              <w:top w:val="nil"/>
              <w:left w:val="nil"/>
              <w:bottom w:val="single" w:sz="4" w:space="0" w:color="auto"/>
              <w:right w:val="nil"/>
            </w:tcBorders>
            <w:shd w:val="clear" w:color="auto" w:fill="auto"/>
            <w:noWrap/>
            <w:vAlign w:val="bottom"/>
            <w:hideMark/>
          </w:tcPr>
          <w:p w14:paraId="3E848352" w14:textId="77777777" w:rsidR="007F6BC9" w:rsidRPr="008C28EB" w:rsidRDefault="007F6BC9" w:rsidP="00B70718">
            <w:pPr>
              <w:spacing w:after="0" w:line="240" w:lineRule="auto"/>
              <w:contextualSpacing/>
              <w:jc w:val="center"/>
              <w:rPr>
                <w:rFonts w:ascii="Times New Roman" w:eastAsia="Times New Roman" w:hAnsi="Times New Roman"/>
                <w:sz w:val="18"/>
                <w:szCs w:val="18"/>
                <w:lang w:val="en-US"/>
              </w:rPr>
            </w:pPr>
            <w:r w:rsidRPr="008C28EB">
              <w:rPr>
                <w:rFonts w:ascii="Times New Roman" w:eastAsia="Times New Roman" w:hAnsi="Times New Roman"/>
                <w:sz w:val="18"/>
                <w:szCs w:val="18"/>
                <w:lang w:val="en-US"/>
              </w:rPr>
              <w:t>ATENT_x</w:t>
            </w:r>
          </w:p>
        </w:tc>
        <w:tc>
          <w:tcPr>
            <w:tcW w:w="976" w:type="dxa"/>
            <w:tcBorders>
              <w:top w:val="nil"/>
              <w:left w:val="nil"/>
              <w:bottom w:val="single" w:sz="4" w:space="0" w:color="auto"/>
              <w:right w:val="nil"/>
            </w:tcBorders>
            <w:shd w:val="clear" w:color="auto" w:fill="auto"/>
            <w:noWrap/>
            <w:vAlign w:val="bottom"/>
            <w:hideMark/>
          </w:tcPr>
          <w:p w14:paraId="7CAEB169"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73</w:t>
            </w:r>
          </w:p>
        </w:tc>
        <w:tc>
          <w:tcPr>
            <w:tcW w:w="976" w:type="dxa"/>
            <w:tcBorders>
              <w:top w:val="nil"/>
              <w:left w:val="nil"/>
              <w:bottom w:val="single" w:sz="4" w:space="0" w:color="auto"/>
              <w:right w:val="nil"/>
            </w:tcBorders>
            <w:shd w:val="clear" w:color="auto" w:fill="auto"/>
            <w:noWrap/>
            <w:vAlign w:val="bottom"/>
            <w:hideMark/>
          </w:tcPr>
          <w:p w14:paraId="54D8F411"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-0.02954</w:t>
            </w:r>
          </w:p>
        </w:tc>
        <w:tc>
          <w:tcPr>
            <w:tcW w:w="976" w:type="dxa"/>
            <w:tcBorders>
              <w:top w:val="nil"/>
              <w:left w:val="nil"/>
              <w:bottom w:val="single" w:sz="4" w:space="0" w:color="auto"/>
              <w:right w:val="nil"/>
            </w:tcBorders>
            <w:shd w:val="clear" w:color="auto" w:fill="auto"/>
            <w:noWrap/>
            <w:vAlign w:val="bottom"/>
            <w:hideMark/>
          </w:tcPr>
          <w:p w14:paraId="221811CF"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0.028305</w:t>
            </w:r>
          </w:p>
        </w:tc>
        <w:tc>
          <w:tcPr>
            <w:tcW w:w="976" w:type="dxa"/>
            <w:tcBorders>
              <w:top w:val="nil"/>
              <w:left w:val="nil"/>
              <w:bottom w:val="single" w:sz="4" w:space="0" w:color="auto"/>
              <w:right w:val="nil"/>
            </w:tcBorders>
            <w:shd w:val="clear" w:color="auto" w:fill="auto"/>
            <w:noWrap/>
            <w:vAlign w:val="bottom"/>
            <w:hideMark/>
          </w:tcPr>
          <w:p w14:paraId="106FFFAE"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-0.14407</w:t>
            </w:r>
          </w:p>
        </w:tc>
        <w:tc>
          <w:tcPr>
            <w:tcW w:w="976" w:type="dxa"/>
            <w:tcBorders>
              <w:top w:val="nil"/>
              <w:left w:val="nil"/>
              <w:bottom w:val="single" w:sz="4" w:space="0" w:color="auto"/>
              <w:right w:val="nil"/>
            </w:tcBorders>
            <w:shd w:val="clear" w:color="auto" w:fill="auto"/>
            <w:noWrap/>
            <w:vAlign w:val="bottom"/>
            <w:hideMark/>
          </w:tcPr>
          <w:p w14:paraId="33B062A5" w14:textId="77777777" w:rsidR="007F6BC9" w:rsidRPr="008C28EB" w:rsidRDefault="007F6BC9" w:rsidP="00B70718">
            <w:pPr>
              <w:spacing w:after="0"/>
              <w:jc w:val="center"/>
              <w:rPr>
                <w:rFonts w:ascii="Times New Roman" w:hAnsi="Times New Roman"/>
                <w:sz w:val="16"/>
                <w:szCs w:val="16"/>
                <w:lang w:val="en-US"/>
              </w:rPr>
            </w:pPr>
            <w:r w:rsidRPr="008C28EB">
              <w:rPr>
                <w:rFonts w:ascii="Times New Roman" w:hAnsi="Times New Roman"/>
                <w:sz w:val="16"/>
                <w:szCs w:val="16"/>
                <w:lang w:val="en-US"/>
              </w:rPr>
              <w:t>0.019142</w:t>
            </w:r>
          </w:p>
        </w:tc>
      </w:tr>
    </w:tbl>
    <w:p w14:paraId="75D39656" w14:textId="77777777" w:rsidR="007F6BC9" w:rsidRPr="008C28EB" w:rsidRDefault="007F6BC9" w:rsidP="007F6BC9">
      <w:pPr>
        <w:rPr>
          <w:lang w:val="en-US"/>
        </w:rPr>
      </w:pPr>
    </w:p>
    <w:p w14:paraId="513B58FA" w14:textId="77777777" w:rsidR="007F6BC9" w:rsidRPr="008C28EB" w:rsidRDefault="007F6BC9" w:rsidP="007F6BC9">
      <w:pPr>
        <w:spacing w:after="0" w:line="240" w:lineRule="auto"/>
        <w:rPr>
          <w:rFonts w:ascii="Times New Roman" w:hAnsi="Times New Roman"/>
          <w:b/>
          <w:sz w:val="21"/>
          <w:szCs w:val="21"/>
          <w:lang w:val="en-US"/>
        </w:rPr>
      </w:pPr>
    </w:p>
    <w:p w14:paraId="6CD152D9" w14:textId="77777777" w:rsidR="00DB6F4E" w:rsidRPr="008C28EB" w:rsidRDefault="00DB6F4E">
      <w:pPr>
        <w:spacing w:after="0" w:line="240" w:lineRule="auto"/>
        <w:rPr>
          <w:rFonts w:ascii="Times New Roman" w:hAnsi="Times New Roman"/>
          <w:b/>
          <w:sz w:val="24"/>
          <w:szCs w:val="24"/>
          <w:lang w:val="en-US"/>
        </w:rPr>
        <w:sectPr w:rsidR="00DB6F4E" w:rsidRPr="008C28EB" w:rsidSect="00243B0A">
          <w:footerReference w:type="default" r:id="rId11"/>
          <w:pgSz w:w="11901" w:h="16840"/>
          <w:pgMar w:top="1871" w:right="1871" w:bottom="1871" w:left="1871" w:header="709" w:footer="709" w:gutter="0"/>
          <w:cols w:space="708"/>
          <w:docGrid w:linePitch="360"/>
        </w:sectPr>
      </w:pPr>
    </w:p>
    <w:p w14:paraId="35643B7B" w14:textId="77777777" w:rsidR="008C6D0D" w:rsidRPr="008C28EB" w:rsidRDefault="008C6D0D" w:rsidP="008352CB">
      <w:pPr>
        <w:spacing w:after="0" w:line="240" w:lineRule="auto"/>
        <w:jc w:val="center"/>
        <w:rPr>
          <w:rFonts w:ascii="Times New Roman" w:hAnsi="Times New Roman"/>
          <w:b/>
          <w:lang w:val="en-US"/>
        </w:rPr>
      </w:pPr>
      <w:r w:rsidRPr="008C28EB">
        <w:rPr>
          <w:rFonts w:ascii="Times New Roman" w:hAnsi="Times New Roman"/>
          <w:b/>
          <w:lang w:val="en-US"/>
        </w:rPr>
        <w:lastRenderedPageBreak/>
        <w:t>Table 8</w:t>
      </w:r>
      <w:r w:rsidRPr="008C28EB">
        <w:rPr>
          <w:rFonts w:ascii="Times New Roman" w:hAnsi="Times New Roman"/>
          <w:b/>
          <w:lang w:val="en-US"/>
        </w:rPr>
        <w:br/>
        <w:t>The Single Supervisory Treatment effect – Robustness checks</w:t>
      </w:r>
    </w:p>
    <w:p w14:paraId="614A9FD8" w14:textId="41CE0D42" w:rsidR="008C6D0D" w:rsidRPr="008C28EB" w:rsidRDefault="008C6D0D" w:rsidP="008C6D0D">
      <w:pPr>
        <w:ind w:right="-147"/>
        <w:jc w:val="both"/>
        <w:rPr>
          <w:rFonts w:ascii="Times New Roman" w:hAnsi="Times New Roman"/>
          <w:sz w:val="16"/>
          <w:szCs w:val="16"/>
          <w:lang w:val="en-US"/>
        </w:rPr>
      </w:pPr>
      <w:r w:rsidRPr="008C28EB">
        <w:rPr>
          <w:rFonts w:ascii="Times New Roman" w:hAnsi="Times New Roman"/>
          <w:sz w:val="16"/>
          <w:szCs w:val="16"/>
          <w:lang w:val="en-US"/>
        </w:rPr>
        <w:t xml:space="preserve">This table reports the results for the </w:t>
      </w:r>
      <w:r w:rsidR="00E52E95" w:rsidRPr="008C28EB">
        <w:rPr>
          <w:rFonts w:ascii="Times New Roman" w:hAnsi="Times New Roman"/>
          <w:sz w:val="16"/>
          <w:szCs w:val="16"/>
          <w:lang w:val="en-US"/>
        </w:rPr>
        <w:t xml:space="preserve">same </w:t>
      </w:r>
      <w:r w:rsidRPr="008C28EB">
        <w:rPr>
          <w:rFonts w:ascii="Times New Roman" w:hAnsi="Times New Roman"/>
          <w:sz w:val="16"/>
          <w:szCs w:val="16"/>
          <w:lang w:val="en-US"/>
        </w:rPr>
        <w:t xml:space="preserve">regression models shown in Table 7, with </w:t>
      </w:r>
      <w:r w:rsidR="00E52E95" w:rsidRPr="008C28EB">
        <w:rPr>
          <w:rFonts w:ascii="Times New Roman" w:hAnsi="Times New Roman"/>
          <w:sz w:val="16"/>
          <w:szCs w:val="16"/>
          <w:lang w:val="en-US"/>
        </w:rPr>
        <w:t xml:space="preserve">the following </w:t>
      </w:r>
      <w:r w:rsidRPr="008C28EB">
        <w:rPr>
          <w:rFonts w:ascii="Times New Roman" w:hAnsi="Times New Roman"/>
          <w:sz w:val="16"/>
          <w:szCs w:val="16"/>
          <w:lang w:val="en-US"/>
        </w:rPr>
        <w:t xml:space="preserve">adjustments: Models (1) and (2) are run reducing the sample in order to have a comparable </w:t>
      </w:r>
      <w:r w:rsidR="00617096">
        <w:rPr>
          <w:rFonts w:ascii="Times New Roman" w:hAnsi="Times New Roman"/>
          <w:sz w:val="16"/>
          <w:szCs w:val="16"/>
          <w:lang w:val="en-US"/>
        </w:rPr>
        <w:t xml:space="preserve">bank </w:t>
      </w:r>
      <w:r w:rsidRPr="008C28EB">
        <w:rPr>
          <w:rFonts w:ascii="Times New Roman" w:hAnsi="Times New Roman"/>
          <w:sz w:val="16"/>
          <w:szCs w:val="16"/>
          <w:lang w:val="en-US"/>
        </w:rPr>
        <w:t xml:space="preserve">size </w:t>
      </w:r>
      <w:bookmarkStart w:id="6" w:name="_GoBack"/>
      <w:bookmarkEnd w:id="6"/>
      <w:r w:rsidRPr="008C28EB">
        <w:rPr>
          <w:rFonts w:ascii="Times New Roman" w:hAnsi="Times New Roman"/>
          <w:sz w:val="16"/>
          <w:szCs w:val="16"/>
          <w:lang w:val="en-US"/>
        </w:rPr>
        <w:t xml:space="preserve">in the subgroups of treated and control banks. Models (3) and (4) </w:t>
      </w:r>
      <w:r w:rsidR="00E52E95" w:rsidRPr="008C28EB">
        <w:rPr>
          <w:rFonts w:ascii="Times New Roman" w:hAnsi="Times New Roman"/>
          <w:sz w:val="16"/>
          <w:szCs w:val="16"/>
          <w:lang w:val="en-US"/>
        </w:rPr>
        <w:t>are run</w:t>
      </w:r>
      <w:r w:rsidR="00C077C7" w:rsidRPr="008C28EB">
        <w:rPr>
          <w:rFonts w:ascii="Times New Roman" w:hAnsi="Times New Roman"/>
          <w:sz w:val="16"/>
          <w:szCs w:val="16"/>
          <w:lang w:val="en-US"/>
        </w:rPr>
        <w:t xml:space="preserve"> </w:t>
      </w:r>
      <w:r w:rsidRPr="008C28EB">
        <w:rPr>
          <w:rFonts w:ascii="Times New Roman" w:hAnsi="Times New Roman"/>
          <w:sz w:val="16"/>
          <w:szCs w:val="16"/>
          <w:lang w:val="en-US"/>
        </w:rPr>
        <w:t>exclud</w:t>
      </w:r>
      <w:r w:rsidR="00E52E95" w:rsidRPr="008C28EB">
        <w:rPr>
          <w:rFonts w:ascii="Times New Roman" w:hAnsi="Times New Roman"/>
          <w:sz w:val="16"/>
          <w:szCs w:val="16"/>
          <w:lang w:val="en-US"/>
        </w:rPr>
        <w:t>ing</w:t>
      </w:r>
      <w:r w:rsidRPr="008C28EB">
        <w:rPr>
          <w:rFonts w:ascii="Times New Roman" w:hAnsi="Times New Roman"/>
          <w:sz w:val="16"/>
          <w:szCs w:val="16"/>
          <w:lang w:val="en-US"/>
        </w:rPr>
        <w:t xml:space="preserve"> banks with significant confounding events (</w:t>
      </w:r>
      <w:r w:rsidR="00DB6F4E" w:rsidRPr="008C28EB">
        <w:rPr>
          <w:rFonts w:ascii="Times New Roman" w:hAnsi="Times New Roman"/>
          <w:sz w:val="16"/>
          <w:szCs w:val="16"/>
          <w:lang w:val="en-US"/>
        </w:rPr>
        <w:t xml:space="preserve">e.g., </w:t>
      </w:r>
      <w:r w:rsidRPr="008C28EB">
        <w:rPr>
          <w:rFonts w:ascii="Times New Roman" w:hAnsi="Times New Roman"/>
          <w:sz w:val="16"/>
          <w:szCs w:val="16"/>
          <w:lang w:val="en-US"/>
        </w:rPr>
        <w:t>M&amp;As or CEO turnovers) around the announcement date. We control for location in the Euro Area (</w:t>
      </w:r>
      <w:r w:rsidRPr="008C28EB">
        <w:rPr>
          <w:rFonts w:ascii="Times New Roman" w:hAnsi="Times New Roman"/>
          <w:i/>
          <w:sz w:val="16"/>
          <w:szCs w:val="16"/>
          <w:lang w:val="en-US"/>
        </w:rPr>
        <w:t>EMU</w:t>
      </w:r>
      <w:r w:rsidRPr="008C28EB">
        <w:rPr>
          <w:rFonts w:ascii="Times New Roman" w:hAnsi="Times New Roman"/>
          <w:sz w:val="16"/>
          <w:szCs w:val="16"/>
          <w:lang w:val="en-US"/>
        </w:rPr>
        <w:t>), relative size (</w:t>
      </w:r>
      <w:r w:rsidRPr="008C28EB">
        <w:rPr>
          <w:rFonts w:ascii="Times New Roman" w:hAnsi="Times New Roman"/>
          <w:i/>
          <w:sz w:val="18"/>
          <w:szCs w:val="18"/>
          <w:lang w:val="en-US"/>
        </w:rPr>
        <w:t>ReS</w:t>
      </w:r>
      <w:r w:rsidRPr="008C28EB">
        <w:rPr>
          <w:rFonts w:ascii="Times New Roman" w:hAnsi="Times New Roman"/>
          <w:sz w:val="16"/>
          <w:szCs w:val="16"/>
          <w:lang w:val="en-US"/>
        </w:rPr>
        <w:t>, i.e., the ratio of total assets over country GDP), the amount of state aids (</w:t>
      </w:r>
      <w:r w:rsidRPr="008C28EB">
        <w:rPr>
          <w:rFonts w:ascii="Times New Roman" w:hAnsi="Times New Roman"/>
          <w:i/>
          <w:sz w:val="18"/>
          <w:szCs w:val="18"/>
          <w:lang w:val="en-US"/>
        </w:rPr>
        <w:t>Sta</w:t>
      </w:r>
      <w:r w:rsidRPr="008C28EB">
        <w:rPr>
          <w:rFonts w:ascii="Times New Roman" w:hAnsi="Times New Roman"/>
          <w:sz w:val="16"/>
          <w:szCs w:val="16"/>
          <w:lang w:val="en-US"/>
        </w:rPr>
        <w:t>, i.e., the amount of resources devoted to recapitalization and asset relief purposes over the period 2008-2012, as a percentage of 2012 GDP), the nominal GDP of the country (</w:t>
      </w:r>
      <w:r w:rsidRPr="008C28EB">
        <w:rPr>
          <w:rFonts w:ascii="Times New Roman" w:hAnsi="Times New Roman"/>
          <w:i/>
          <w:sz w:val="16"/>
          <w:szCs w:val="16"/>
          <w:lang w:val="en-US"/>
        </w:rPr>
        <w:t>GDP</w:t>
      </w:r>
      <w:r w:rsidRPr="008C28EB">
        <w:rPr>
          <w:rFonts w:ascii="Times New Roman" w:hAnsi="Times New Roman"/>
          <w:sz w:val="16"/>
          <w:szCs w:val="16"/>
          <w:lang w:val="en-US"/>
        </w:rPr>
        <w:t>), the level of industry concentration (</w:t>
      </w:r>
      <w:r w:rsidRPr="008C28EB">
        <w:rPr>
          <w:rFonts w:ascii="Times New Roman" w:hAnsi="Times New Roman"/>
          <w:i/>
          <w:sz w:val="16"/>
          <w:szCs w:val="16"/>
          <w:lang w:val="en-US"/>
        </w:rPr>
        <w:t>HHI</w:t>
      </w:r>
      <w:r w:rsidRPr="008C28EB">
        <w:rPr>
          <w:rFonts w:ascii="Times New Roman" w:hAnsi="Times New Roman"/>
          <w:sz w:val="16"/>
          <w:szCs w:val="16"/>
          <w:lang w:val="en-US"/>
        </w:rPr>
        <w:t>, i.e. the Herfindhal-Hirshman index), the bank’s profitability (ROA), and capitalization (</w:t>
      </w:r>
      <w:r w:rsidRPr="008C28EB">
        <w:rPr>
          <w:rFonts w:ascii="Times New Roman" w:hAnsi="Times New Roman"/>
          <w:i/>
          <w:sz w:val="16"/>
          <w:szCs w:val="16"/>
          <w:lang w:val="en-US"/>
        </w:rPr>
        <w:t>ETA</w:t>
      </w:r>
      <w:r w:rsidRPr="008C28EB">
        <w:rPr>
          <w:rFonts w:ascii="Times New Roman" w:hAnsi="Times New Roman"/>
          <w:sz w:val="16"/>
          <w:szCs w:val="16"/>
          <w:lang w:val="en-US"/>
        </w:rPr>
        <w:t xml:space="preserve">).We assume a heterogeneous response, so that the average treatment effect (ATE) is different from either the average treatment effect on treated </w:t>
      </w:r>
      <w:r w:rsidR="00C077C7" w:rsidRPr="008C28EB">
        <w:rPr>
          <w:rFonts w:ascii="Times New Roman" w:hAnsi="Times New Roman"/>
          <w:sz w:val="16"/>
          <w:szCs w:val="16"/>
          <w:lang w:val="en-US"/>
        </w:rPr>
        <w:t xml:space="preserve">banks </w:t>
      </w:r>
      <w:r w:rsidRPr="008C28EB">
        <w:rPr>
          <w:rFonts w:ascii="Times New Roman" w:hAnsi="Times New Roman"/>
          <w:sz w:val="16"/>
          <w:szCs w:val="16"/>
          <w:lang w:val="en-US"/>
        </w:rPr>
        <w:t xml:space="preserve">(ATET) and the average treatment effect on non-treated </w:t>
      </w:r>
      <w:r w:rsidR="00C077C7" w:rsidRPr="008C28EB">
        <w:rPr>
          <w:rFonts w:ascii="Times New Roman" w:hAnsi="Times New Roman"/>
          <w:sz w:val="16"/>
          <w:szCs w:val="16"/>
          <w:lang w:val="en-US"/>
        </w:rPr>
        <w:t>banks</w:t>
      </w:r>
      <w:r w:rsidR="008C28EB" w:rsidRPr="008C28EB">
        <w:rPr>
          <w:rFonts w:ascii="Times New Roman" w:hAnsi="Times New Roman"/>
          <w:sz w:val="16"/>
          <w:szCs w:val="16"/>
          <w:lang w:val="en-US"/>
        </w:rPr>
        <w:t xml:space="preserve"> </w:t>
      </w:r>
      <w:r w:rsidRPr="008C28EB">
        <w:rPr>
          <w:rFonts w:ascii="Times New Roman" w:hAnsi="Times New Roman"/>
          <w:sz w:val="16"/>
          <w:szCs w:val="16"/>
          <w:lang w:val="en-US"/>
        </w:rPr>
        <w:t>(ATENT). Robust standard errors are in parentheses. Source: Authors’ elaboration on European Central Bank, Bankscope, and Datastream</w:t>
      </w:r>
    </w:p>
    <w:p w14:paraId="06E30A39" w14:textId="77777777" w:rsidR="00787576" w:rsidRPr="008C28EB" w:rsidRDefault="00787576" w:rsidP="00DB6F4E">
      <w:pPr>
        <w:widowControl w:val="0"/>
        <w:autoSpaceDE w:val="0"/>
        <w:autoSpaceDN w:val="0"/>
        <w:adjustRightInd w:val="0"/>
        <w:spacing w:after="0" w:line="240" w:lineRule="auto"/>
        <w:jc w:val="center"/>
        <w:rPr>
          <w:rFonts w:ascii="Times New Roman" w:hAnsi="Times New Roman"/>
          <w:b/>
          <w:sz w:val="24"/>
          <w:szCs w:val="24"/>
          <w:lang w:val="en-US"/>
        </w:rPr>
      </w:pPr>
    </w:p>
    <w:tbl>
      <w:tblPr>
        <w:tblW w:w="10406" w:type="dxa"/>
        <w:jc w:val="center"/>
        <w:tblLayout w:type="fixed"/>
        <w:tblCellMar>
          <w:left w:w="75" w:type="dxa"/>
          <w:right w:w="75" w:type="dxa"/>
        </w:tblCellMar>
        <w:tblLook w:val="0000" w:firstRow="0" w:lastRow="0" w:firstColumn="0" w:lastColumn="0" w:noHBand="0" w:noVBand="0"/>
      </w:tblPr>
      <w:tblGrid>
        <w:gridCol w:w="1190"/>
        <w:gridCol w:w="2304"/>
        <w:gridCol w:w="2304"/>
        <w:gridCol w:w="2304"/>
        <w:gridCol w:w="2304"/>
      </w:tblGrid>
      <w:tr w:rsidR="000964A5" w:rsidRPr="008C28EB" w14:paraId="755A21B2" w14:textId="77777777" w:rsidTr="000964A5">
        <w:trPr>
          <w:jc w:val="center"/>
        </w:trPr>
        <w:tc>
          <w:tcPr>
            <w:tcW w:w="1190" w:type="dxa"/>
            <w:tcBorders>
              <w:top w:val="single" w:sz="6" w:space="0" w:color="auto"/>
              <w:left w:val="nil"/>
              <w:bottom w:val="nil"/>
              <w:right w:val="nil"/>
            </w:tcBorders>
          </w:tcPr>
          <w:p w14:paraId="4F0BDDA2"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lang w:val="en-US"/>
              </w:rPr>
            </w:pPr>
          </w:p>
        </w:tc>
        <w:tc>
          <w:tcPr>
            <w:tcW w:w="2304" w:type="dxa"/>
            <w:tcBorders>
              <w:top w:val="single" w:sz="6" w:space="0" w:color="auto"/>
              <w:left w:val="nil"/>
              <w:bottom w:val="nil"/>
              <w:right w:val="nil"/>
            </w:tcBorders>
          </w:tcPr>
          <w:p w14:paraId="15428125"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lang w:val="en-US"/>
              </w:rPr>
              <w:t>(1)</w:t>
            </w:r>
          </w:p>
        </w:tc>
        <w:tc>
          <w:tcPr>
            <w:tcW w:w="2304" w:type="dxa"/>
            <w:tcBorders>
              <w:top w:val="single" w:sz="6" w:space="0" w:color="auto"/>
              <w:left w:val="nil"/>
              <w:bottom w:val="nil"/>
              <w:right w:val="nil"/>
            </w:tcBorders>
          </w:tcPr>
          <w:p w14:paraId="3361347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lang w:val="en-US"/>
              </w:rPr>
              <w:t>(2)</w:t>
            </w:r>
          </w:p>
        </w:tc>
        <w:tc>
          <w:tcPr>
            <w:tcW w:w="2304" w:type="dxa"/>
            <w:tcBorders>
              <w:top w:val="single" w:sz="6" w:space="0" w:color="auto"/>
              <w:left w:val="nil"/>
              <w:bottom w:val="nil"/>
              <w:right w:val="nil"/>
            </w:tcBorders>
          </w:tcPr>
          <w:p w14:paraId="3327ADA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(5)</w:t>
            </w:r>
          </w:p>
        </w:tc>
        <w:tc>
          <w:tcPr>
            <w:tcW w:w="2304" w:type="dxa"/>
            <w:tcBorders>
              <w:top w:val="single" w:sz="6" w:space="0" w:color="auto"/>
              <w:left w:val="nil"/>
              <w:bottom w:val="nil"/>
              <w:right w:val="nil"/>
            </w:tcBorders>
          </w:tcPr>
          <w:p w14:paraId="143CA387"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(6)</w:t>
            </w:r>
          </w:p>
        </w:tc>
      </w:tr>
      <w:tr w:rsidR="000964A5" w:rsidRPr="008C28EB" w14:paraId="5BB451B9" w14:textId="77777777" w:rsidTr="000964A5">
        <w:trPr>
          <w:jc w:val="center"/>
        </w:trPr>
        <w:tc>
          <w:tcPr>
            <w:tcW w:w="1190" w:type="dxa"/>
            <w:tcBorders>
              <w:top w:val="nil"/>
              <w:left w:val="nil"/>
              <w:bottom w:val="single" w:sz="6" w:space="0" w:color="auto"/>
              <w:right w:val="nil"/>
            </w:tcBorders>
          </w:tcPr>
          <w:p w14:paraId="1DCB9796"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single" w:sz="6" w:space="0" w:color="auto"/>
              <w:right w:val="nil"/>
            </w:tcBorders>
            <w:vAlign w:val="bottom"/>
          </w:tcPr>
          <w:p w14:paraId="26831AF4"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lang w:val="en-US"/>
              </w:rPr>
              <w:t>4 November 2014</w:t>
            </w:r>
          </w:p>
        </w:tc>
        <w:tc>
          <w:tcPr>
            <w:tcW w:w="2304" w:type="dxa"/>
            <w:tcBorders>
              <w:top w:val="nil"/>
              <w:left w:val="nil"/>
              <w:bottom w:val="single" w:sz="6" w:space="0" w:color="auto"/>
              <w:right w:val="nil"/>
            </w:tcBorders>
            <w:vAlign w:val="bottom"/>
          </w:tcPr>
          <w:p w14:paraId="0EADC4BB"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lang w:val="en-US"/>
              </w:rPr>
              <w:t>26 October 2014</w:t>
            </w:r>
          </w:p>
        </w:tc>
        <w:tc>
          <w:tcPr>
            <w:tcW w:w="2304" w:type="dxa"/>
            <w:tcBorders>
              <w:top w:val="nil"/>
              <w:left w:val="nil"/>
              <w:bottom w:val="single" w:sz="6" w:space="0" w:color="auto"/>
              <w:right w:val="nil"/>
            </w:tcBorders>
            <w:vAlign w:val="bottom"/>
          </w:tcPr>
          <w:p w14:paraId="3B60F55A"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4 November 2014</w:t>
            </w:r>
          </w:p>
        </w:tc>
        <w:tc>
          <w:tcPr>
            <w:tcW w:w="2304" w:type="dxa"/>
            <w:tcBorders>
              <w:top w:val="nil"/>
              <w:left w:val="nil"/>
              <w:bottom w:val="single" w:sz="6" w:space="0" w:color="auto"/>
              <w:right w:val="nil"/>
            </w:tcBorders>
            <w:vAlign w:val="bottom"/>
          </w:tcPr>
          <w:p w14:paraId="11B1591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26 October 2014</w:t>
            </w:r>
          </w:p>
        </w:tc>
      </w:tr>
      <w:tr w:rsidR="000964A5" w:rsidRPr="008C28EB" w14:paraId="6548D207" w14:textId="77777777" w:rsidTr="000964A5">
        <w:trPr>
          <w:jc w:val="center"/>
        </w:trPr>
        <w:tc>
          <w:tcPr>
            <w:tcW w:w="1190" w:type="dxa"/>
            <w:tcBorders>
              <w:top w:val="nil"/>
              <w:left w:val="nil"/>
              <w:bottom w:val="nil"/>
              <w:right w:val="nil"/>
            </w:tcBorders>
          </w:tcPr>
          <w:p w14:paraId="2FB01C25" w14:textId="77777777" w:rsidR="000964A5" w:rsidRPr="008C28EB" w:rsidRDefault="000964A5" w:rsidP="000E4840">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12348D8A" w14:textId="77777777" w:rsidR="000964A5" w:rsidRPr="008C28EB" w:rsidRDefault="000964A5" w:rsidP="000E4840">
            <w:pPr>
              <w:widowControl w:val="0"/>
              <w:autoSpaceDE w:val="0"/>
              <w:autoSpaceDN w:val="0"/>
              <w:adjustRightInd w:val="0"/>
              <w:spacing w:after="0" w:line="240" w:lineRule="auto"/>
              <w:jc w:val="center"/>
              <w:rPr>
                <w:rFonts w:ascii="Times New Roman" w:hAnsi="Times New Roman"/>
                <w:sz w:val="18"/>
                <w:szCs w:val="18"/>
              </w:rPr>
            </w:pPr>
          </w:p>
        </w:tc>
        <w:tc>
          <w:tcPr>
            <w:tcW w:w="2304" w:type="dxa"/>
            <w:tcBorders>
              <w:top w:val="nil"/>
              <w:left w:val="nil"/>
              <w:bottom w:val="nil"/>
              <w:right w:val="nil"/>
            </w:tcBorders>
          </w:tcPr>
          <w:p w14:paraId="05268F4C" w14:textId="77777777" w:rsidR="000964A5" w:rsidRPr="008C28EB" w:rsidRDefault="000964A5" w:rsidP="000E4840">
            <w:pPr>
              <w:widowControl w:val="0"/>
              <w:autoSpaceDE w:val="0"/>
              <w:autoSpaceDN w:val="0"/>
              <w:adjustRightInd w:val="0"/>
              <w:spacing w:after="0" w:line="240" w:lineRule="auto"/>
              <w:jc w:val="center"/>
              <w:rPr>
                <w:rFonts w:ascii="Times New Roman" w:hAnsi="Times New Roman"/>
                <w:sz w:val="18"/>
                <w:szCs w:val="18"/>
              </w:rPr>
            </w:pPr>
          </w:p>
        </w:tc>
        <w:tc>
          <w:tcPr>
            <w:tcW w:w="2304" w:type="dxa"/>
            <w:tcBorders>
              <w:top w:val="nil"/>
              <w:left w:val="nil"/>
              <w:bottom w:val="nil"/>
              <w:right w:val="nil"/>
            </w:tcBorders>
          </w:tcPr>
          <w:p w14:paraId="335417DF" w14:textId="77777777" w:rsidR="000964A5" w:rsidRPr="008C28EB" w:rsidRDefault="000964A5" w:rsidP="000E4840">
            <w:pPr>
              <w:widowControl w:val="0"/>
              <w:autoSpaceDE w:val="0"/>
              <w:autoSpaceDN w:val="0"/>
              <w:adjustRightInd w:val="0"/>
              <w:spacing w:after="0" w:line="240" w:lineRule="auto"/>
              <w:jc w:val="center"/>
              <w:rPr>
                <w:rFonts w:ascii="Times New Roman" w:hAnsi="Times New Roman"/>
                <w:sz w:val="18"/>
                <w:szCs w:val="18"/>
                <w:lang w:val="en-US"/>
              </w:rPr>
            </w:pPr>
          </w:p>
        </w:tc>
        <w:tc>
          <w:tcPr>
            <w:tcW w:w="2304" w:type="dxa"/>
            <w:tcBorders>
              <w:top w:val="nil"/>
              <w:left w:val="nil"/>
              <w:bottom w:val="nil"/>
              <w:right w:val="nil"/>
            </w:tcBorders>
          </w:tcPr>
          <w:p w14:paraId="3C24A7DE" w14:textId="77777777" w:rsidR="000964A5" w:rsidRPr="008C28EB" w:rsidRDefault="000964A5" w:rsidP="000E4840">
            <w:pPr>
              <w:widowControl w:val="0"/>
              <w:autoSpaceDE w:val="0"/>
              <w:autoSpaceDN w:val="0"/>
              <w:adjustRightInd w:val="0"/>
              <w:spacing w:after="0" w:line="240" w:lineRule="auto"/>
              <w:jc w:val="center"/>
              <w:rPr>
                <w:rFonts w:ascii="Times New Roman" w:hAnsi="Times New Roman"/>
                <w:sz w:val="18"/>
                <w:szCs w:val="18"/>
                <w:lang w:val="en-US"/>
              </w:rPr>
            </w:pPr>
          </w:p>
        </w:tc>
      </w:tr>
      <w:tr w:rsidR="000964A5" w:rsidRPr="008C28EB" w14:paraId="295FAAD8" w14:textId="77777777" w:rsidTr="000964A5">
        <w:trPr>
          <w:jc w:val="center"/>
        </w:trPr>
        <w:tc>
          <w:tcPr>
            <w:tcW w:w="1190" w:type="dxa"/>
            <w:tcBorders>
              <w:top w:val="nil"/>
              <w:left w:val="nil"/>
              <w:bottom w:val="nil"/>
              <w:right w:val="nil"/>
            </w:tcBorders>
            <w:vAlign w:val="bottom"/>
          </w:tcPr>
          <w:p w14:paraId="35AE4357"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sz w:val="18"/>
                <w:szCs w:val="18"/>
                <w:lang w:val="en-US"/>
              </w:rPr>
              <w:t>W</w:t>
            </w:r>
          </w:p>
        </w:tc>
        <w:tc>
          <w:tcPr>
            <w:tcW w:w="2304" w:type="dxa"/>
            <w:tcBorders>
              <w:top w:val="nil"/>
              <w:left w:val="nil"/>
              <w:bottom w:val="nil"/>
              <w:right w:val="nil"/>
            </w:tcBorders>
          </w:tcPr>
          <w:p w14:paraId="795A308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-0.01558**</w:t>
            </w:r>
          </w:p>
        </w:tc>
        <w:tc>
          <w:tcPr>
            <w:tcW w:w="2304" w:type="dxa"/>
            <w:tcBorders>
              <w:top w:val="nil"/>
              <w:left w:val="nil"/>
              <w:bottom w:val="nil"/>
              <w:right w:val="nil"/>
            </w:tcBorders>
          </w:tcPr>
          <w:p w14:paraId="14058A2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-0.01623**</w:t>
            </w:r>
          </w:p>
        </w:tc>
        <w:tc>
          <w:tcPr>
            <w:tcW w:w="2304" w:type="dxa"/>
            <w:tcBorders>
              <w:top w:val="nil"/>
              <w:left w:val="nil"/>
              <w:bottom w:val="nil"/>
              <w:right w:val="nil"/>
            </w:tcBorders>
          </w:tcPr>
          <w:p w14:paraId="339200F7"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-0.01761**</w:t>
            </w:r>
          </w:p>
        </w:tc>
        <w:tc>
          <w:tcPr>
            <w:tcW w:w="2304" w:type="dxa"/>
            <w:tcBorders>
              <w:top w:val="nil"/>
              <w:left w:val="nil"/>
              <w:bottom w:val="nil"/>
              <w:right w:val="nil"/>
            </w:tcBorders>
          </w:tcPr>
          <w:p w14:paraId="033BD4C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-0.02792**</w:t>
            </w:r>
          </w:p>
        </w:tc>
      </w:tr>
      <w:tr w:rsidR="000964A5" w:rsidRPr="008C28EB" w14:paraId="66F1B229" w14:textId="77777777" w:rsidTr="000964A5">
        <w:trPr>
          <w:jc w:val="center"/>
        </w:trPr>
        <w:tc>
          <w:tcPr>
            <w:tcW w:w="1190" w:type="dxa"/>
            <w:tcBorders>
              <w:top w:val="nil"/>
              <w:left w:val="nil"/>
              <w:bottom w:val="nil"/>
              <w:right w:val="nil"/>
            </w:tcBorders>
            <w:vAlign w:val="bottom"/>
          </w:tcPr>
          <w:p w14:paraId="5629E94D"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20E80EB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(0.00725)</w:t>
            </w:r>
          </w:p>
        </w:tc>
        <w:tc>
          <w:tcPr>
            <w:tcW w:w="2304" w:type="dxa"/>
            <w:tcBorders>
              <w:top w:val="nil"/>
              <w:left w:val="nil"/>
              <w:bottom w:val="nil"/>
              <w:right w:val="nil"/>
            </w:tcBorders>
          </w:tcPr>
          <w:p w14:paraId="0189FB0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(0.00752)</w:t>
            </w:r>
          </w:p>
        </w:tc>
        <w:tc>
          <w:tcPr>
            <w:tcW w:w="2304" w:type="dxa"/>
            <w:tcBorders>
              <w:top w:val="nil"/>
              <w:left w:val="nil"/>
              <w:bottom w:val="nil"/>
              <w:right w:val="nil"/>
            </w:tcBorders>
          </w:tcPr>
          <w:p w14:paraId="256FB58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(0.00808)</w:t>
            </w:r>
          </w:p>
        </w:tc>
        <w:tc>
          <w:tcPr>
            <w:tcW w:w="2304" w:type="dxa"/>
            <w:tcBorders>
              <w:top w:val="nil"/>
              <w:left w:val="nil"/>
              <w:bottom w:val="nil"/>
              <w:right w:val="nil"/>
            </w:tcBorders>
          </w:tcPr>
          <w:p w14:paraId="4994A7A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(0.01066)</w:t>
            </w:r>
          </w:p>
        </w:tc>
      </w:tr>
      <w:tr w:rsidR="000964A5" w:rsidRPr="008C28EB" w14:paraId="4942E5E4" w14:textId="77777777" w:rsidTr="000964A5">
        <w:trPr>
          <w:jc w:val="center"/>
        </w:trPr>
        <w:tc>
          <w:tcPr>
            <w:tcW w:w="1190" w:type="dxa"/>
            <w:tcBorders>
              <w:top w:val="nil"/>
              <w:left w:val="nil"/>
              <w:bottom w:val="nil"/>
              <w:right w:val="nil"/>
            </w:tcBorders>
            <w:vAlign w:val="bottom"/>
          </w:tcPr>
          <w:p w14:paraId="614CBF49"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EMU</w:t>
            </w:r>
          </w:p>
        </w:tc>
        <w:tc>
          <w:tcPr>
            <w:tcW w:w="2304" w:type="dxa"/>
            <w:tcBorders>
              <w:top w:val="nil"/>
              <w:left w:val="nil"/>
              <w:bottom w:val="nil"/>
              <w:right w:val="nil"/>
            </w:tcBorders>
          </w:tcPr>
          <w:p w14:paraId="58533F0A"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0.00243</w:t>
            </w:r>
          </w:p>
        </w:tc>
        <w:tc>
          <w:tcPr>
            <w:tcW w:w="2304" w:type="dxa"/>
            <w:tcBorders>
              <w:top w:val="nil"/>
              <w:left w:val="nil"/>
              <w:bottom w:val="nil"/>
              <w:right w:val="nil"/>
            </w:tcBorders>
          </w:tcPr>
          <w:p w14:paraId="0CA65594"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-0.00820</w:t>
            </w:r>
          </w:p>
        </w:tc>
        <w:tc>
          <w:tcPr>
            <w:tcW w:w="2304" w:type="dxa"/>
            <w:tcBorders>
              <w:top w:val="nil"/>
              <w:left w:val="nil"/>
              <w:bottom w:val="nil"/>
              <w:right w:val="nil"/>
            </w:tcBorders>
          </w:tcPr>
          <w:p w14:paraId="642DB44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0.00197</w:t>
            </w:r>
          </w:p>
        </w:tc>
        <w:tc>
          <w:tcPr>
            <w:tcW w:w="2304" w:type="dxa"/>
            <w:tcBorders>
              <w:top w:val="nil"/>
              <w:left w:val="nil"/>
              <w:bottom w:val="nil"/>
              <w:right w:val="nil"/>
            </w:tcBorders>
          </w:tcPr>
          <w:p w14:paraId="486AEE4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0.00782</w:t>
            </w:r>
          </w:p>
        </w:tc>
      </w:tr>
      <w:tr w:rsidR="000964A5" w:rsidRPr="008C28EB" w14:paraId="60C54705" w14:textId="77777777" w:rsidTr="000964A5">
        <w:trPr>
          <w:jc w:val="center"/>
        </w:trPr>
        <w:tc>
          <w:tcPr>
            <w:tcW w:w="1190" w:type="dxa"/>
            <w:tcBorders>
              <w:top w:val="nil"/>
              <w:left w:val="nil"/>
              <w:bottom w:val="nil"/>
              <w:right w:val="nil"/>
            </w:tcBorders>
            <w:vAlign w:val="bottom"/>
          </w:tcPr>
          <w:p w14:paraId="267A3119"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38BA5AA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(0.00575)</w:t>
            </w:r>
          </w:p>
        </w:tc>
        <w:tc>
          <w:tcPr>
            <w:tcW w:w="2304" w:type="dxa"/>
            <w:tcBorders>
              <w:top w:val="nil"/>
              <w:left w:val="nil"/>
              <w:bottom w:val="nil"/>
              <w:right w:val="nil"/>
            </w:tcBorders>
          </w:tcPr>
          <w:p w14:paraId="6035B3C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(0.00637)</w:t>
            </w:r>
          </w:p>
        </w:tc>
        <w:tc>
          <w:tcPr>
            <w:tcW w:w="2304" w:type="dxa"/>
            <w:tcBorders>
              <w:top w:val="nil"/>
              <w:left w:val="nil"/>
              <w:bottom w:val="nil"/>
              <w:right w:val="nil"/>
            </w:tcBorders>
          </w:tcPr>
          <w:p w14:paraId="073FC39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(0.00507)</w:t>
            </w:r>
          </w:p>
        </w:tc>
        <w:tc>
          <w:tcPr>
            <w:tcW w:w="2304" w:type="dxa"/>
            <w:tcBorders>
              <w:top w:val="nil"/>
              <w:left w:val="nil"/>
              <w:bottom w:val="nil"/>
              <w:right w:val="nil"/>
            </w:tcBorders>
          </w:tcPr>
          <w:p w14:paraId="343E9AC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(0.00532)</w:t>
            </w:r>
          </w:p>
        </w:tc>
      </w:tr>
      <w:tr w:rsidR="000964A5" w:rsidRPr="008C28EB" w14:paraId="4FDFF5B6" w14:textId="77777777" w:rsidTr="000964A5">
        <w:trPr>
          <w:jc w:val="center"/>
        </w:trPr>
        <w:tc>
          <w:tcPr>
            <w:tcW w:w="1190" w:type="dxa"/>
            <w:tcBorders>
              <w:top w:val="nil"/>
              <w:left w:val="nil"/>
              <w:bottom w:val="nil"/>
              <w:right w:val="nil"/>
            </w:tcBorders>
            <w:vAlign w:val="bottom"/>
          </w:tcPr>
          <w:p w14:paraId="0B426C87"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ReS</w:t>
            </w:r>
          </w:p>
        </w:tc>
        <w:tc>
          <w:tcPr>
            <w:tcW w:w="2304" w:type="dxa"/>
            <w:tcBorders>
              <w:top w:val="nil"/>
              <w:left w:val="nil"/>
              <w:bottom w:val="nil"/>
              <w:right w:val="nil"/>
            </w:tcBorders>
          </w:tcPr>
          <w:p w14:paraId="0E4A252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0.00119</w:t>
            </w:r>
          </w:p>
        </w:tc>
        <w:tc>
          <w:tcPr>
            <w:tcW w:w="2304" w:type="dxa"/>
            <w:tcBorders>
              <w:top w:val="nil"/>
              <w:left w:val="nil"/>
              <w:bottom w:val="nil"/>
              <w:right w:val="nil"/>
            </w:tcBorders>
          </w:tcPr>
          <w:p w14:paraId="4D7F0B4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-0.00178</w:t>
            </w:r>
          </w:p>
        </w:tc>
        <w:tc>
          <w:tcPr>
            <w:tcW w:w="2304" w:type="dxa"/>
            <w:tcBorders>
              <w:top w:val="nil"/>
              <w:left w:val="nil"/>
              <w:bottom w:val="nil"/>
              <w:right w:val="nil"/>
            </w:tcBorders>
          </w:tcPr>
          <w:p w14:paraId="1DE1582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0.00117</w:t>
            </w:r>
          </w:p>
        </w:tc>
        <w:tc>
          <w:tcPr>
            <w:tcW w:w="2304" w:type="dxa"/>
            <w:tcBorders>
              <w:top w:val="nil"/>
              <w:left w:val="nil"/>
              <w:bottom w:val="nil"/>
              <w:right w:val="nil"/>
            </w:tcBorders>
          </w:tcPr>
          <w:p w14:paraId="6900699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-0.00005</w:t>
            </w:r>
          </w:p>
        </w:tc>
      </w:tr>
      <w:tr w:rsidR="000964A5" w:rsidRPr="008C28EB" w14:paraId="6AF1F1F1" w14:textId="77777777" w:rsidTr="000964A5">
        <w:trPr>
          <w:jc w:val="center"/>
        </w:trPr>
        <w:tc>
          <w:tcPr>
            <w:tcW w:w="1190" w:type="dxa"/>
            <w:tcBorders>
              <w:top w:val="nil"/>
              <w:left w:val="nil"/>
              <w:bottom w:val="nil"/>
              <w:right w:val="nil"/>
            </w:tcBorders>
            <w:vAlign w:val="bottom"/>
          </w:tcPr>
          <w:p w14:paraId="5DE22CDE"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48E0341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(0.00123)</w:t>
            </w:r>
          </w:p>
        </w:tc>
        <w:tc>
          <w:tcPr>
            <w:tcW w:w="2304" w:type="dxa"/>
            <w:tcBorders>
              <w:top w:val="nil"/>
              <w:left w:val="nil"/>
              <w:bottom w:val="nil"/>
              <w:right w:val="nil"/>
            </w:tcBorders>
          </w:tcPr>
          <w:p w14:paraId="5C3C12DA"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(0.00208)</w:t>
            </w:r>
          </w:p>
        </w:tc>
        <w:tc>
          <w:tcPr>
            <w:tcW w:w="2304" w:type="dxa"/>
            <w:tcBorders>
              <w:top w:val="nil"/>
              <w:left w:val="nil"/>
              <w:bottom w:val="nil"/>
              <w:right w:val="nil"/>
            </w:tcBorders>
          </w:tcPr>
          <w:p w14:paraId="07AC18A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(0.00122)</w:t>
            </w:r>
          </w:p>
        </w:tc>
        <w:tc>
          <w:tcPr>
            <w:tcW w:w="2304" w:type="dxa"/>
            <w:tcBorders>
              <w:top w:val="nil"/>
              <w:left w:val="nil"/>
              <w:bottom w:val="nil"/>
              <w:right w:val="nil"/>
            </w:tcBorders>
          </w:tcPr>
          <w:p w14:paraId="70398D6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(0.00116)</w:t>
            </w:r>
          </w:p>
        </w:tc>
      </w:tr>
      <w:tr w:rsidR="000964A5" w:rsidRPr="008C28EB" w14:paraId="3C8DB15A" w14:textId="77777777" w:rsidTr="000964A5">
        <w:trPr>
          <w:jc w:val="center"/>
        </w:trPr>
        <w:tc>
          <w:tcPr>
            <w:tcW w:w="1190" w:type="dxa"/>
            <w:tcBorders>
              <w:top w:val="nil"/>
              <w:left w:val="nil"/>
              <w:bottom w:val="nil"/>
              <w:right w:val="nil"/>
            </w:tcBorders>
            <w:vAlign w:val="bottom"/>
          </w:tcPr>
          <w:p w14:paraId="5EDBA8CE"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Sta</w:t>
            </w:r>
          </w:p>
        </w:tc>
        <w:tc>
          <w:tcPr>
            <w:tcW w:w="2304" w:type="dxa"/>
            <w:tcBorders>
              <w:top w:val="nil"/>
              <w:left w:val="nil"/>
              <w:bottom w:val="nil"/>
              <w:right w:val="nil"/>
            </w:tcBorders>
          </w:tcPr>
          <w:p w14:paraId="2BE7C33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0.00744**</w:t>
            </w:r>
          </w:p>
        </w:tc>
        <w:tc>
          <w:tcPr>
            <w:tcW w:w="2304" w:type="dxa"/>
            <w:tcBorders>
              <w:top w:val="nil"/>
              <w:left w:val="nil"/>
              <w:bottom w:val="nil"/>
              <w:right w:val="nil"/>
            </w:tcBorders>
          </w:tcPr>
          <w:p w14:paraId="75393A1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0.01816***</w:t>
            </w:r>
          </w:p>
        </w:tc>
        <w:tc>
          <w:tcPr>
            <w:tcW w:w="2304" w:type="dxa"/>
            <w:tcBorders>
              <w:top w:val="nil"/>
              <w:left w:val="nil"/>
              <w:bottom w:val="nil"/>
              <w:right w:val="nil"/>
            </w:tcBorders>
          </w:tcPr>
          <w:p w14:paraId="2F779DF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0.01231***</w:t>
            </w:r>
          </w:p>
        </w:tc>
        <w:tc>
          <w:tcPr>
            <w:tcW w:w="2304" w:type="dxa"/>
            <w:tcBorders>
              <w:top w:val="nil"/>
              <w:left w:val="nil"/>
              <w:bottom w:val="nil"/>
              <w:right w:val="nil"/>
            </w:tcBorders>
          </w:tcPr>
          <w:p w14:paraId="1AF4CDF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0.01386**</w:t>
            </w:r>
          </w:p>
        </w:tc>
      </w:tr>
      <w:tr w:rsidR="000964A5" w:rsidRPr="008C28EB" w14:paraId="6C2F1EEB" w14:textId="77777777" w:rsidTr="000964A5">
        <w:trPr>
          <w:jc w:val="center"/>
        </w:trPr>
        <w:tc>
          <w:tcPr>
            <w:tcW w:w="1190" w:type="dxa"/>
            <w:tcBorders>
              <w:top w:val="nil"/>
              <w:left w:val="nil"/>
              <w:bottom w:val="nil"/>
              <w:right w:val="nil"/>
            </w:tcBorders>
            <w:vAlign w:val="bottom"/>
          </w:tcPr>
          <w:p w14:paraId="22D9ADE0"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13F03E9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(0.00307)</w:t>
            </w:r>
          </w:p>
        </w:tc>
        <w:tc>
          <w:tcPr>
            <w:tcW w:w="2304" w:type="dxa"/>
            <w:tcBorders>
              <w:top w:val="nil"/>
              <w:left w:val="nil"/>
              <w:bottom w:val="nil"/>
              <w:right w:val="nil"/>
            </w:tcBorders>
          </w:tcPr>
          <w:p w14:paraId="029E2D5B"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(0.00673)</w:t>
            </w:r>
          </w:p>
        </w:tc>
        <w:tc>
          <w:tcPr>
            <w:tcW w:w="2304" w:type="dxa"/>
            <w:tcBorders>
              <w:top w:val="nil"/>
              <w:left w:val="nil"/>
              <w:bottom w:val="nil"/>
              <w:right w:val="nil"/>
            </w:tcBorders>
          </w:tcPr>
          <w:p w14:paraId="093EB14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(0.00339)</w:t>
            </w:r>
          </w:p>
        </w:tc>
        <w:tc>
          <w:tcPr>
            <w:tcW w:w="2304" w:type="dxa"/>
            <w:tcBorders>
              <w:top w:val="nil"/>
              <w:left w:val="nil"/>
              <w:bottom w:val="nil"/>
              <w:right w:val="nil"/>
            </w:tcBorders>
          </w:tcPr>
          <w:p w14:paraId="4523097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(0.00613)</w:t>
            </w:r>
          </w:p>
        </w:tc>
      </w:tr>
      <w:tr w:rsidR="000964A5" w:rsidRPr="008C28EB" w14:paraId="4D2793FB" w14:textId="77777777" w:rsidTr="000964A5">
        <w:trPr>
          <w:jc w:val="center"/>
        </w:trPr>
        <w:tc>
          <w:tcPr>
            <w:tcW w:w="1190" w:type="dxa"/>
            <w:tcBorders>
              <w:top w:val="nil"/>
              <w:left w:val="nil"/>
              <w:bottom w:val="nil"/>
              <w:right w:val="nil"/>
            </w:tcBorders>
            <w:vAlign w:val="bottom"/>
          </w:tcPr>
          <w:p w14:paraId="66C20239"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GDP</w:t>
            </w:r>
          </w:p>
        </w:tc>
        <w:tc>
          <w:tcPr>
            <w:tcW w:w="2304" w:type="dxa"/>
            <w:tcBorders>
              <w:top w:val="nil"/>
              <w:left w:val="nil"/>
              <w:bottom w:val="nil"/>
              <w:right w:val="nil"/>
            </w:tcBorders>
          </w:tcPr>
          <w:p w14:paraId="3BDC316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0.00202</w:t>
            </w:r>
          </w:p>
        </w:tc>
        <w:tc>
          <w:tcPr>
            <w:tcW w:w="2304" w:type="dxa"/>
            <w:tcBorders>
              <w:top w:val="nil"/>
              <w:left w:val="nil"/>
              <w:bottom w:val="nil"/>
              <w:right w:val="nil"/>
            </w:tcBorders>
          </w:tcPr>
          <w:p w14:paraId="096111F2"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-0.01829***</w:t>
            </w:r>
          </w:p>
        </w:tc>
        <w:tc>
          <w:tcPr>
            <w:tcW w:w="2304" w:type="dxa"/>
            <w:tcBorders>
              <w:top w:val="nil"/>
              <w:left w:val="nil"/>
              <w:bottom w:val="nil"/>
              <w:right w:val="nil"/>
            </w:tcBorders>
          </w:tcPr>
          <w:p w14:paraId="6BFA213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-0.00741***</w:t>
            </w:r>
          </w:p>
        </w:tc>
        <w:tc>
          <w:tcPr>
            <w:tcW w:w="2304" w:type="dxa"/>
            <w:tcBorders>
              <w:top w:val="nil"/>
              <w:left w:val="nil"/>
              <w:bottom w:val="nil"/>
              <w:right w:val="nil"/>
            </w:tcBorders>
          </w:tcPr>
          <w:p w14:paraId="75DA276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-0.00868***</w:t>
            </w:r>
          </w:p>
        </w:tc>
      </w:tr>
      <w:tr w:rsidR="000964A5" w:rsidRPr="008C28EB" w14:paraId="2F6D9326" w14:textId="77777777" w:rsidTr="000964A5">
        <w:trPr>
          <w:jc w:val="center"/>
        </w:trPr>
        <w:tc>
          <w:tcPr>
            <w:tcW w:w="1190" w:type="dxa"/>
            <w:tcBorders>
              <w:top w:val="nil"/>
              <w:left w:val="nil"/>
              <w:bottom w:val="nil"/>
              <w:right w:val="nil"/>
            </w:tcBorders>
            <w:vAlign w:val="bottom"/>
          </w:tcPr>
          <w:p w14:paraId="0264E91E"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744FCAB5"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(0.00295)</w:t>
            </w:r>
          </w:p>
        </w:tc>
        <w:tc>
          <w:tcPr>
            <w:tcW w:w="2304" w:type="dxa"/>
            <w:tcBorders>
              <w:top w:val="nil"/>
              <w:left w:val="nil"/>
              <w:bottom w:val="nil"/>
              <w:right w:val="nil"/>
            </w:tcBorders>
          </w:tcPr>
          <w:p w14:paraId="3420856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(0.00366)</w:t>
            </w:r>
          </w:p>
        </w:tc>
        <w:tc>
          <w:tcPr>
            <w:tcW w:w="2304" w:type="dxa"/>
            <w:tcBorders>
              <w:top w:val="nil"/>
              <w:left w:val="nil"/>
              <w:bottom w:val="nil"/>
              <w:right w:val="nil"/>
            </w:tcBorders>
          </w:tcPr>
          <w:p w14:paraId="5EAAB6BA"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(0.00244)</w:t>
            </w:r>
          </w:p>
        </w:tc>
        <w:tc>
          <w:tcPr>
            <w:tcW w:w="2304" w:type="dxa"/>
            <w:tcBorders>
              <w:top w:val="nil"/>
              <w:left w:val="nil"/>
              <w:bottom w:val="nil"/>
              <w:right w:val="nil"/>
            </w:tcBorders>
          </w:tcPr>
          <w:p w14:paraId="5630F68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(0.00258)</w:t>
            </w:r>
          </w:p>
        </w:tc>
      </w:tr>
      <w:tr w:rsidR="000964A5" w:rsidRPr="008C28EB" w14:paraId="0EE1670B" w14:textId="77777777" w:rsidTr="000964A5">
        <w:trPr>
          <w:jc w:val="center"/>
        </w:trPr>
        <w:tc>
          <w:tcPr>
            <w:tcW w:w="1190" w:type="dxa"/>
            <w:tcBorders>
              <w:top w:val="nil"/>
              <w:left w:val="nil"/>
              <w:bottom w:val="nil"/>
              <w:right w:val="nil"/>
            </w:tcBorders>
            <w:vAlign w:val="bottom"/>
          </w:tcPr>
          <w:p w14:paraId="19B2DBF1"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HHI</w:t>
            </w:r>
          </w:p>
        </w:tc>
        <w:tc>
          <w:tcPr>
            <w:tcW w:w="2304" w:type="dxa"/>
            <w:tcBorders>
              <w:top w:val="nil"/>
              <w:left w:val="nil"/>
              <w:bottom w:val="nil"/>
              <w:right w:val="nil"/>
            </w:tcBorders>
          </w:tcPr>
          <w:p w14:paraId="7DAC7CC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-0.00517**</w:t>
            </w:r>
          </w:p>
        </w:tc>
        <w:tc>
          <w:tcPr>
            <w:tcW w:w="2304" w:type="dxa"/>
            <w:tcBorders>
              <w:top w:val="nil"/>
              <w:left w:val="nil"/>
              <w:bottom w:val="nil"/>
              <w:right w:val="nil"/>
            </w:tcBorders>
          </w:tcPr>
          <w:p w14:paraId="5D3C8C8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0.00012</w:t>
            </w:r>
          </w:p>
        </w:tc>
        <w:tc>
          <w:tcPr>
            <w:tcW w:w="2304" w:type="dxa"/>
            <w:tcBorders>
              <w:top w:val="nil"/>
              <w:left w:val="nil"/>
              <w:bottom w:val="nil"/>
              <w:right w:val="nil"/>
            </w:tcBorders>
          </w:tcPr>
          <w:p w14:paraId="76E8F38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-0.00959***</w:t>
            </w:r>
          </w:p>
        </w:tc>
        <w:tc>
          <w:tcPr>
            <w:tcW w:w="2304" w:type="dxa"/>
            <w:tcBorders>
              <w:top w:val="nil"/>
              <w:left w:val="nil"/>
              <w:bottom w:val="nil"/>
              <w:right w:val="nil"/>
            </w:tcBorders>
          </w:tcPr>
          <w:p w14:paraId="61D3A157"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-0.00052</w:t>
            </w:r>
          </w:p>
        </w:tc>
      </w:tr>
      <w:tr w:rsidR="000964A5" w:rsidRPr="008C28EB" w14:paraId="06025859" w14:textId="77777777" w:rsidTr="000964A5">
        <w:trPr>
          <w:jc w:val="center"/>
        </w:trPr>
        <w:tc>
          <w:tcPr>
            <w:tcW w:w="1190" w:type="dxa"/>
            <w:tcBorders>
              <w:top w:val="nil"/>
              <w:left w:val="nil"/>
              <w:bottom w:val="nil"/>
              <w:right w:val="nil"/>
            </w:tcBorders>
            <w:vAlign w:val="bottom"/>
          </w:tcPr>
          <w:p w14:paraId="783ABBB4"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003FD6C4"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(0.00226)</w:t>
            </w:r>
          </w:p>
        </w:tc>
        <w:tc>
          <w:tcPr>
            <w:tcW w:w="2304" w:type="dxa"/>
            <w:tcBorders>
              <w:top w:val="nil"/>
              <w:left w:val="nil"/>
              <w:bottom w:val="nil"/>
              <w:right w:val="nil"/>
            </w:tcBorders>
          </w:tcPr>
          <w:p w14:paraId="2C1EBFB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(0.00223)</w:t>
            </w:r>
          </w:p>
        </w:tc>
        <w:tc>
          <w:tcPr>
            <w:tcW w:w="2304" w:type="dxa"/>
            <w:tcBorders>
              <w:top w:val="nil"/>
              <w:left w:val="nil"/>
              <w:bottom w:val="nil"/>
              <w:right w:val="nil"/>
            </w:tcBorders>
          </w:tcPr>
          <w:p w14:paraId="32AED21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(0.00196)</w:t>
            </w:r>
          </w:p>
        </w:tc>
        <w:tc>
          <w:tcPr>
            <w:tcW w:w="2304" w:type="dxa"/>
            <w:tcBorders>
              <w:top w:val="nil"/>
              <w:left w:val="nil"/>
              <w:bottom w:val="nil"/>
              <w:right w:val="nil"/>
            </w:tcBorders>
          </w:tcPr>
          <w:p w14:paraId="77BF6E9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(0.00148)</w:t>
            </w:r>
          </w:p>
        </w:tc>
      </w:tr>
      <w:tr w:rsidR="000964A5" w:rsidRPr="008C28EB" w14:paraId="718F3D3D" w14:textId="77777777" w:rsidTr="000964A5">
        <w:trPr>
          <w:jc w:val="center"/>
        </w:trPr>
        <w:tc>
          <w:tcPr>
            <w:tcW w:w="1190" w:type="dxa"/>
            <w:tcBorders>
              <w:top w:val="nil"/>
              <w:left w:val="nil"/>
              <w:bottom w:val="nil"/>
              <w:right w:val="nil"/>
            </w:tcBorders>
            <w:vAlign w:val="bottom"/>
          </w:tcPr>
          <w:p w14:paraId="2303F885"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ROA</w:t>
            </w:r>
          </w:p>
        </w:tc>
        <w:tc>
          <w:tcPr>
            <w:tcW w:w="2304" w:type="dxa"/>
            <w:tcBorders>
              <w:top w:val="nil"/>
              <w:left w:val="nil"/>
              <w:bottom w:val="nil"/>
              <w:right w:val="nil"/>
            </w:tcBorders>
          </w:tcPr>
          <w:p w14:paraId="6A61C3E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0.00180</w:t>
            </w:r>
          </w:p>
        </w:tc>
        <w:tc>
          <w:tcPr>
            <w:tcW w:w="2304" w:type="dxa"/>
            <w:tcBorders>
              <w:top w:val="nil"/>
              <w:left w:val="nil"/>
              <w:bottom w:val="nil"/>
              <w:right w:val="nil"/>
            </w:tcBorders>
          </w:tcPr>
          <w:p w14:paraId="43A580F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0.00817*</w:t>
            </w:r>
          </w:p>
        </w:tc>
        <w:tc>
          <w:tcPr>
            <w:tcW w:w="2304" w:type="dxa"/>
            <w:tcBorders>
              <w:top w:val="nil"/>
              <w:left w:val="nil"/>
              <w:bottom w:val="nil"/>
              <w:right w:val="nil"/>
            </w:tcBorders>
          </w:tcPr>
          <w:p w14:paraId="3F51238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0.00731*</w:t>
            </w:r>
          </w:p>
        </w:tc>
        <w:tc>
          <w:tcPr>
            <w:tcW w:w="2304" w:type="dxa"/>
            <w:tcBorders>
              <w:top w:val="nil"/>
              <w:left w:val="nil"/>
              <w:bottom w:val="nil"/>
              <w:right w:val="nil"/>
            </w:tcBorders>
          </w:tcPr>
          <w:p w14:paraId="26CBBFF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0.00853***</w:t>
            </w:r>
          </w:p>
        </w:tc>
      </w:tr>
      <w:tr w:rsidR="000964A5" w:rsidRPr="008C28EB" w14:paraId="6250F74B" w14:textId="77777777" w:rsidTr="000964A5">
        <w:trPr>
          <w:jc w:val="center"/>
        </w:trPr>
        <w:tc>
          <w:tcPr>
            <w:tcW w:w="1190" w:type="dxa"/>
            <w:tcBorders>
              <w:top w:val="nil"/>
              <w:left w:val="nil"/>
              <w:bottom w:val="nil"/>
              <w:right w:val="nil"/>
            </w:tcBorders>
            <w:vAlign w:val="bottom"/>
          </w:tcPr>
          <w:p w14:paraId="1F2D524F"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28BB720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(0.00264)</w:t>
            </w:r>
          </w:p>
        </w:tc>
        <w:tc>
          <w:tcPr>
            <w:tcW w:w="2304" w:type="dxa"/>
            <w:tcBorders>
              <w:top w:val="nil"/>
              <w:left w:val="nil"/>
              <w:bottom w:val="nil"/>
              <w:right w:val="nil"/>
            </w:tcBorders>
          </w:tcPr>
          <w:p w14:paraId="3A11208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(0.00450)</w:t>
            </w:r>
          </w:p>
        </w:tc>
        <w:tc>
          <w:tcPr>
            <w:tcW w:w="2304" w:type="dxa"/>
            <w:tcBorders>
              <w:top w:val="nil"/>
              <w:left w:val="nil"/>
              <w:bottom w:val="nil"/>
              <w:right w:val="nil"/>
            </w:tcBorders>
          </w:tcPr>
          <w:p w14:paraId="3E1A7DB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(0.00394)</w:t>
            </w:r>
          </w:p>
        </w:tc>
        <w:tc>
          <w:tcPr>
            <w:tcW w:w="2304" w:type="dxa"/>
            <w:tcBorders>
              <w:top w:val="nil"/>
              <w:left w:val="nil"/>
              <w:bottom w:val="nil"/>
              <w:right w:val="nil"/>
            </w:tcBorders>
          </w:tcPr>
          <w:p w14:paraId="1954B92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(0.00286)</w:t>
            </w:r>
          </w:p>
        </w:tc>
      </w:tr>
      <w:tr w:rsidR="000964A5" w:rsidRPr="008C28EB" w14:paraId="79EEC89B" w14:textId="77777777" w:rsidTr="000964A5">
        <w:trPr>
          <w:jc w:val="center"/>
        </w:trPr>
        <w:tc>
          <w:tcPr>
            <w:tcW w:w="1190" w:type="dxa"/>
            <w:tcBorders>
              <w:top w:val="nil"/>
              <w:left w:val="nil"/>
              <w:bottom w:val="nil"/>
              <w:right w:val="nil"/>
            </w:tcBorders>
            <w:vAlign w:val="bottom"/>
          </w:tcPr>
          <w:p w14:paraId="572BF36D"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ETA</w:t>
            </w:r>
          </w:p>
        </w:tc>
        <w:tc>
          <w:tcPr>
            <w:tcW w:w="2304" w:type="dxa"/>
            <w:tcBorders>
              <w:top w:val="nil"/>
              <w:left w:val="nil"/>
              <w:bottom w:val="nil"/>
              <w:right w:val="nil"/>
            </w:tcBorders>
          </w:tcPr>
          <w:p w14:paraId="4C268E1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0.00527</w:t>
            </w:r>
          </w:p>
        </w:tc>
        <w:tc>
          <w:tcPr>
            <w:tcW w:w="2304" w:type="dxa"/>
            <w:tcBorders>
              <w:top w:val="nil"/>
              <w:left w:val="nil"/>
              <w:bottom w:val="nil"/>
              <w:right w:val="nil"/>
            </w:tcBorders>
          </w:tcPr>
          <w:p w14:paraId="7E26CF7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-0.00601</w:t>
            </w:r>
          </w:p>
        </w:tc>
        <w:tc>
          <w:tcPr>
            <w:tcW w:w="2304" w:type="dxa"/>
            <w:tcBorders>
              <w:top w:val="nil"/>
              <w:left w:val="nil"/>
              <w:bottom w:val="nil"/>
              <w:right w:val="nil"/>
            </w:tcBorders>
          </w:tcPr>
          <w:p w14:paraId="31F2F04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-0.00219***</w:t>
            </w:r>
          </w:p>
        </w:tc>
        <w:tc>
          <w:tcPr>
            <w:tcW w:w="2304" w:type="dxa"/>
            <w:tcBorders>
              <w:top w:val="nil"/>
              <w:left w:val="nil"/>
              <w:bottom w:val="nil"/>
              <w:right w:val="nil"/>
            </w:tcBorders>
          </w:tcPr>
          <w:p w14:paraId="4FF80BF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0.00017</w:t>
            </w:r>
          </w:p>
        </w:tc>
      </w:tr>
      <w:tr w:rsidR="000964A5" w:rsidRPr="008C28EB" w14:paraId="32689102" w14:textId="77777777" w:rsidTr="000964A5">
        <w:trPr>
          <w:jc w:val="center"/>
        </w:trPr>
        <w:tc>
          <w:tcPr>
            <w:tcW w:w="1190" w:type="dxa"/>
            <w:tcBorders>
              <w:top w:val="nil"/>
              <w:left w:val="nil"/>
              <w:bottom w:val="nil"/>
              <w:right w:val="nil"/>
            </w:tcBorders>
            <w:vAlign w:val="bottom"/>
          </w:tcPr>
          <w:p w14:paraId="5892DB04"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14E91A4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(0.00337)</w:t>
            </w:r>
          </w:p>
        </w:tc>
        <w:tc>
          <w:tcPr>
            <w:tcW w:w="2304" w:type="dxa"/>
            <w:tcBorders>
              <w:top w:val="nil"/>
              <w:left w:val="nil"/>
              <w:bottom w:val="nil"/>
              <w:right w:val="nil"/>
            </w:tcBorders>
          </w:tcPr>
          <w:p w14:paraId="4DA19F8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(0.00573)</w:t>
            </w:r>
          </w:p>
        </w:tc>
        <w:tc>
          <w:tcPr>
            <w:tcW w:w="2304" w:type="dxa"/>
            <w:tcBorders>
              <w:top w:val="nil"/>
              <w:left w:val="nil"/>
              <w:bottom w:val="nil"/>
              <w:right w:val="nil"/>
            </w:tcBorders>
          </w:tcPr>
          <w:p w14:paraId="4C7215C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(0.00078)</w:t>
            </w:r>
          </w:p>
        </w:tc>
        <w:tc>
          <w:tcPr>
            <w:tcW w:w="2304" w:type="dxa"/>
            <w:tcBorders>
              <w:top w:val="nil"/>
              <w:left w:val="nil"/>
              <w:bottom w:val="nil"/>
              <w:right w:val="nil"/>
            </w:tcBorders>
          </w:tcPr>
          <w:p w14:paraId="4FBA1FF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(0.00085)</w:t>
            </w:r>
          </w:p>
        </w:tc>
      </w:tr>
      <w:tr w:rsidR="000964A5" w:rsidRPr="008C28EB" w14:paraId="1A65FEC5" w14:textId="77777777" w:rsidTr="000964A5">
        <w:trPr>
          <w:jc w:val="center"/>
        </w:trPr>
        <w:tc>
          <w:tcPr>
            <w:tcW w:w="1190" w:type="dxa"/>
            <w:tcBorders>
              <w:top w:val="nil"/>
              <w:left w:val="nil"/>
              <w:bottom w:val="nil"/>
              <w:right w:val="nil"/>
            </w:tcBorders>
            <w:vAlign w:val="bottom"/>
          </w:tcPr>
          <w:p w14:paraId="708FCA7F"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w*ReS</w:t>
            </w:r>
          </w:p>
        </w:tc>
        <w:tc>
          <w:tcPr>
            <w:tcW w:w="2304" w:type="dxa"/>
            <w:tcBorders>
              <w:top w:val="nil"/>
              <w:left w:val="nil"/>
              <w:bottom w:val="nil"/>
              <w:right w:val="nil"/>
            </w:tcBorders>
          </w:tcPr>
          <w:p w14:paraId="575862F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-0.00123</w:t>
            </w:r>
          </w:p>
        </w:tc>
        <w:tc>
          <w:tcPr>
            <w:tcW w:w="2304" w:type="dxa"/>
            <w:tcBorders>
              <w:top w:val="nil"/>
              <w:left w:val="nil"/>
              <w:bottom w:val="nil"/>
              <w:right w:val="nil"/>
            </w:tcBorders>
          </w:tcPr>
          <w:p w14:paraId="74DAAA0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0.01150</w:t>
            </w:r>
          </w:p>
        </w:tc>
        <w:tc>
          <w:tcPr>
            <w:tcW w:w="2304" w:type="dxa"/>
            <w:tcBorders>
              <w:top w:val="nil"/>
              <w:left w:val="nil"/>
              <w:bottom w:val="nil"/>
              <w:right w:val="nil"/>
            </w:tcBorders>
          </w:tcPr>
          <w:p w14:paraId="03B99CC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-0.00224</w:t>
            </w:r>
          </w:p>
        </w:tc>
        <w:tc>
          <w:tcPr>
            <w:tcW w:w="2304" w:type="dxa"/>
            <w:tcBorders>
              <w:top w:val="nil"/>
              <w:left w:val="nil"/>
              <w:bottom w:val="nil"/>
              <w:right w:val="nil"/>
            </w:tcBorders>
          </w:tcPr>
          <w:p w14:paraId="02BFFD5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0.00785</w:t>
            </w:r>
          </w:p>
        </w:tc>
      </w:tr>
      <w:tr w:rsidR="000964A5" w:rsidRPr="008C28EB" w14:paraId="06957DAE" w14:textId="77777777" w:rsidTr="000964A5">
        <w:trPr>
          <w:jc w:val="center"/>
        </w:trPr>
        <w:tc>
          <w:tcPr>
            <w:tcW w:w="1190" w:type="dxa"/>
            <w:tcBorders>
              <w:top w:val="nil"/>
              <w:left w:val="nil"/>
              <w:bottom w:val="nil"/>
              <w:right w:val="nil"/>
            </w:tcBorders>
            <w:vAlign w:val="bottom"/>
          </w:tcPr>
          <w:p w14:paraId="55EB8616"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4783E584"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(0.00421)</w:t>
            </w:r>
          </w:p>
        </w:tc>
        <w:tc>
          <w:tcPr>
            <w:tcW w:w="2304" w:type="dxa"/>
            <w:tcBorders>
              <w:top w:val="nil"/>
              <w:left w:val="nil"/>
              <w:bottom w:val="nil"/>
              <w:right w:val="nil"/>
            </w:tcBorders>
          </w:tcPr>
          <w:p w14:paraId="2A08C58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(0.00770)</w:t>
            </w:r>
          </w:p>
        </w:tc>
        <w:tc>
          <w:tcPr>
            <w:tcW w:w="2304" w:type="dxa"/>
            <w:tcBorders>
              <w:top w:val="nil"/>
              <w:left w:val="nil"/>
              <w:bottom w:val="nil"/>
              <w:right w:val="nil"/>
            </w:tcBorders>
          </w:tcPr>
          <w:p w14:paraId="2D8EBE4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(0.00490)</w:t>
            </w:r>
          </w:p>
        </w:tc>
        <w:tc>
          <w:tcPr>
            <w:tcW w:w="2304" w:type="dxa"/>
            <w:tcBorders>
              <w:top w:val="nil"/>
              <w:left w:val="nil"/>
              <w:bottom w:val="nil"/>
              <w:right w:val="nil"/>
            </w:tcBorders>
          </w:tcPr>
          <w:p w14:paraId="5827B69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(0.01035)</w:t>
            </w:r>
          </w:p>
        </w:tc>
      </w:tr>
      <w:tr w:rsidR="000964A5" w:rsidRPr="008C28EB" w14:paraId="009669A7" w14:textId="77777777" w:rsidTr="000964A5">
        <w:trPr>
          <w:jc w:val="center"/>
        </w:trPr>
        <w:tc>
          <w:tcPr>
            <w:tcW w:w="1190" w:type="dxa"/>
            <w:tcBorders>
              <w:top w:val="nil"/>
              <w:left w:val="nil"/>
              <w:bottom w:val="nil"/>
              <w:right w:val="nil"/>
            </w:tcBorders>
            <w:vAlign w:val="bottom"/>
          </w:tcPr>
          <w:p w14:paraId="30032B1E"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w*Sta</w:t>
            </w:r>
          </w:p>
        </w:tc>
        <w:tc>
          <w:tcPr>
            <w:tcW w:w="2304" w:type="dxa"/>
            <w:tcBorders>
              <w:top w:val="nil"/>
              <w:left w:val="nil"/>
              <w:bottom w:val="nil"/>
              <w:right w:val="nil"/>
            </w:tcBorders>
          </w:tcPr>
          <w:p w14:paraId="0499EC8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-0.01187***</w:t>
            </w:r>
          </w:p>
        </w:tc>
        <w:tc>
          <w:tcPr>
            <w:tcW w:w="2304" w:type="dxa"/>
            <w:tcBorders>
              <w:top w:val="nil"/>
              <w:left w:val="nil"/>
              <w:bottom w:val="nil"/>
              <w:right w:val="nil"/>
            </w:tcBorders>
          </w:tcPr>
          <w:p w14:paraId="2012B2B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-0.01571**</w:t>
            </w:r>
          </w:p>
        </w:tc>
        <w:tc>
          <w:tcPr>
            <w:tcW w:w="2304" w:type="dxa"/>
            <w:tcBorders>
              <w:top w:val="nil"/>
              <w:left w:val="nil"/>
              <w:bottom w:val="nil"/>
              <w:right w:val="nil"/>
            </w:tcBorders>
          </w:tcPr>
          <w:p w14:paraId="085F8DA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-0.01562***</w:t>
            </w:r>
          </w:p>
        </w:tc>
        <w:tc>
          <w:tcPr>
            <w:tcW w:w="2304" w:type="dxa"/>
            <w:tcBorders>
              <w:top w:val="nil"/>
              <w:left w:val="nil"/>
              <w:bottom w:val="nil"/>
              <w:right w:val="nil"/>
            </w:tcBorders>
          </w:tcPr>
          <w:p w14:paraId="54CABBE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-0.01459*</w:t>
            </w:r>
          </w:p>
        </w:tc>
      </w:tr>
      <w:tr w:rsidR="000964A5" w:rsidRPr="008C28EB" w14:paraId="12797382" w14:textId="77777777" w:rsidTr="000964A5">
        <w:trPr>
          <w:jc w:val="center"/>
        </w:trPr>
        <w:tc>
          <w:tcPr>
            <w:tcW w:w="1190" w:type="dxa"/>
            <w:tcBorders>
              <w:top w:val="nil"/>
              <w:left w:val="nil"/>
              <w:bottom w:val="nil"/>
              <w:right w:val="nil"/>
            </w:tcBorders>
            <w:vAlign w:val="bottom"/>
          </w:tcPr>
          <w:p w14:paraId="255FE703"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6B2E328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(0.00411)</w:t>
            </w:r>
          </w:p>
        </w:tc>
        <w:tc>
          <w:tcPr>
            <w:tcW w:w="2304" w:type="dxa"/>
            <w:tcBorders>
              <w:top w:val="nil"/>
              <w:left w:val="nil"/>
              <w:bottom w:val="nil"/>
              <w:right w:val="nil"/>
            </w:tcBorders>
          </w:tcPr>
          <w:p w14:paraId="66558BF2"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(0.00752)</w:t>
            </w:r>
          </w:p>
        </w:tc>
        <w:tc>
          <w:tcPr>
            <w:tcW w:w="2304" w:type="dxa"/>
            <w:tcBorders>
              <w:top w:val="nil"/>
              <w:left w:val="nil"/>
              <w:bottom w:val="nil"/>
              <w:right w:val="nil"/>
            </w:tcBorders>
          </w:tcPr>
          <w:p w14:paraId="7AE6A0C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(0.00402)</w:t>
            </w:r>
          </w:p>
        </w:tc>
        <w:tc>
          <w:tcPr>
            <w:tcW w:w="2304" w:type="dxa"/>
            <w:tcBorders>
              <w:top w:val="nil"/>
              <w:left w:val="nil"/>
              <w:bottom w:val="nil"/>
              <w:right w:val="nil"/>
            </w:tcBorders>
          </w:tcPr>
          <w:p w14:paraId="7CB3A2C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(0.00782)</w:t>
            </w:r>
          </w:p>
        </w:tc>
      </w:tr>
      <w:tr w:rsidR="000964A5" w:rsidRPr="008C28EB" w14:paraId="176DEDCC" w14:textId="77777777" w:rsidTr="000964A5">
        <w:trPr>
          <w:jc w:val="center"/>
        </w:trPr>
        <w:tc>
          <w:tcPr>
            <w:tcW w:w="1190" w:type="dxa"/>
            <w:tcBorders>
              <w:top w:val="nil"/>
              <w:left w:val="nil"/>
              <w:bottom w:val="nil"/>
              <w:right w:val="nil"/>
            </w:tcBorders>
            <w:vAlign w:val="bottom"/>
          </w:tcPr>
          <w:p w14:paraId="5850FE65"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w*GDP</w:t>
            </w:r>
          </w:p>
        </w:tc>
        <w:tc>
          <w:tcPr>
            <w:tcW w:w="2304" w:type="dxa"/>
            <w:tcBorders>
              <w:top w:val="nil"/>
              <w:left w:val="nil"/>
              <w:bottom w:val="nil"/>
              <w:right w:val="nil"/>
            </w:tcBorders>
          </w:tcPr>
          <w:p w14:paraId="363C3D1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-0.00365</w:t>
            </w:r>
          </w:p>
        </w:tc>
        <w:tc>
          <w:tcPr>
            <w:tcW w:w="2304" w:type="dxa"/>
            <w:tcBorders>
              <w:top w:val="nil"/>
              <w:left w:val="nil"/>
              <w:bottom w:val="nil"/>
              <w:right w:val="nil"/>
            </w:tcBorders>
          </w:tcPr>
          <w:p w14:paraId="3FFF5685"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0.00597</w:t>
            </w:r>
          </w:p>
        </w:tc>
        <w:tc>
          <w:tcPr>
            <w:tcW w:w="2304" w:type="dxa"/>
            <w:tcBorders>
              <w:top w:val="nil"/>
              <w:left w:val="nil"/>
              <w:bottom w:val="nil"/>
              <w:right w:val="nil"/>
            </w:tcBorders>
          </w:tcPr>
          <w:p w14:paraId="41A6FFA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0.00248</w:t>
            </w:r>
          </w:p>
        </w:tc>
        <w:tc>
          <w:tcPr>
            <w:tcW w:w="2304" w:type="dxa"/>
            <w:tcBorders>
              <w:top w:val="nil"/>
              <w:left w:val="nil"/>
              <w:bottom w:val="nil"/>
              <w:right w:val="nil"/>
            </w:tcBorders>
          </w:tcPr>
          <w:p w14:paraId="3EA9E974"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-0.00110</w:t>
            </w:r>
          </w:p>
        </w:tc>
      </w:tr>
      <w:tr w:rsidR="000964A5" w:rsidRPr="008C28EB" w14:paraId="599D4B2B" w14:textId="77777777" w:rsidTr="000964A5">
        <w:trPr>
          <w:jc w:val="center"/>
        </w:trPr>
        <w:tc>
          <w:tcPr>
            <w:tcW w:w="1190" w:type="dxa"/>
            <w:tcBorders>
              <w:top w:val="nil"/>
              <w:left w:val="nil"/>
              <w:bottom w:val="nil"/>
              <w:right w:val="nil"/>
            </w:tcBorders>
            <w:vAlign w:val="bottom"/>
          </w:tcPr>
          <w:p w14:paraId="6F4858BD"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45813C4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(0.00623)</w:t>
            </w:r>
          </w:p>
        </w:tc>
        <w:tc>
          <w:tcPr>
            <w:tcW w:w="2304" w:type="dxa"/>
            <w:tcBorders>
              <w:top w:val="nil"/>
              <w:left w:val="nil"/>
              <w:bottom w:val="nil"/>
              <w:right w:val="nil"/>
            </w:tcBorders>
          </w:tcPr>
          <w:p w14:paraId="09F14B2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(0.00792)</w:t>
            </w:r>
          </w:p>
        </w:tc>
        <w:tc>
          <w:tcPr>
            <w:tcW w:w="2304" w:type="dxa"/>
            <w:tcBorders>
              <w:top w:val="nil"/>
              <w:left w:val="nil"/>
              <w:bottom w:val="nil"/>
              <w:right w:val="nil"/>
            </w:tcBorders>
          </w:tcPr>
          <w:p w14:paraId="08DDD4B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(0.00636)</w:t>
            </w:r>
          </w:p>
        </w:tc>
        <w:tc>
          <w:tcPr>
            <w:tcW w:w="2304" w:type="dxa"/>
            <w:tcBorders>
              <w:top w:val="nil"/>
              <w:left w:val="nil"/>
              <w:bottom w:val="nil"/>
              <w:right w:val="nil"/>
            </w:tcBorders>
          </w:tcPr>
          <w:p w14:paraId="4136426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(0.01066)</w:t>
            </w:r>
          </w:p>
        </w:tc>
      </w:tr>
      <w:tr w:rsidR="000964A5" w:rsidRPr="008C28EB" w14:paraId="6946F6DD" w14:textId="77777777" w:rsidTr="000964A5">
        <w:trPr>
          <w:jc w:val="center"/>
        </w:trPr>
        <w:tc>
          <w:tcPr>
            <w:tcW w:w="1190" w:type="dxa"/>
            <w:tcBorders>
              <w:top w:val="nil"/>
              <w:left w:val="nil"/>
              <w:bottom w:val="nil"/>
              <w:right w:val="nil"/>
            </w:tcBorders>
            <w:vAlign w:val="bottom"/>
          </w:tcPr>
          <w:p w14:paraId="025998DA"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w*HHI</w:t>
            </w:r>
          </w:p>
        </w:tc>
        <w:tc>
          <w:tcPr>
            <w:tcW w:w="2304" w:type="dxa"/>
            <w:tcBorders>
              <w:top w:val="nil"/>
              <w:left w:val="nil"/>
              <w:bottom w:val="nil"/>
              <w:right w:val="nil"/>
            </w:tcBorders>
          </w:tcPr>
          <w:p w14:paraId="424989B5"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0.01312***</w:t>
            </w:r>
          </w:p>
        </w:tc>
        <w:tc>
          <w:tcPr>
            <w:tcW w:w="2304" w:type="dxa"/>
            <w:tcBorders>
              <w:top w:val="nil"/>
              <w:left w:val="nil"/>
              <w:bottom w:val="nil"/>
              <w:right w:val="nil"/>
            </w:tcBorders>
          </w:tcPr>
          <w:p w14:paraId="1A34CC8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-0.01422</w:t>
            </w:r>
          </w:p>
        </w:tc>
        <w:tc>
          <w:tcPr>
            <w:tcW w:w="2304" w:type="dxa"/>
            <w:tcBorders>
              <w:top w:val="nil"/>
              <w:left w:val="nil"/>
              <w:bottom w:val="nil"/>
              <w:right w:val="nil"/>
            </w:tcBorders>
          </w:tcPr>
          <w:p w14:paraId="76975DD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0.01593***</w:t>
            </w:r>
          </w:p>
        </w:tc>
        <w:tc>
          <w:tcPr>
            <w:tcW w:w="2304" w:type="dxa"/>
            <w:tcBorders>
              <w:top w:val="nil"/>
              <w:left w:val="nil"/>
              <w:bottom w:val="nil"/>
              <w:right w:val="nil"/>
            </w:tcBorders>
          </w:tcPr>
          <w:p w14:paraId="27F7D22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-0.00668</w:t>
            </w:r>
          </w:p>
        </w:tc>
      </w:tr>
      <w:tr w:rsidR="000964A5" w:rsidRPr="008C28EB" w14:paraId="00D55512" w14:textId="77777777" w:rsidTr="000964A5">
        <w:trPr>
          <w:jc w:val="center"/>
        </w:trPr>
        <w:tc>
          <w:tcPr>
            <w:tcW w:w="1190" w:type="dxa"/>
            <w:tcBorders>
              <w:top w:val="nil"/>
              <w:left w:val="nil"/>
              <w:bottom w:val="nil"/>
              <w:right w:val="nil"/>
            </w:tcBorders>
            <w:vAlign w:val="bottom"/>
          </w:tcPr>
          <w:p w14:paraId="6279796A"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6933BE62"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(0.00433)</w:t>
            </w:r>
          </w:p>
        </w:tc>
        <w:tc>
          <w:tcPr>
            <w:tcW w:w="2304" w:type="dxa"/>
            <w:tcBorders>
              <w:top w:val="nil"/>
              <w:left w:val="nil"/>
              <w:bottom w:val="nil"/>
              <w:right w:val="nil"/>
            </w:tcBorders>
          </w:tcPr>
          <w:p w14:paraId="011B9E8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(0.00952)</w:t>
            </w:r>
          </w:p>
        </w:tc>
        <w:tc>
          <w:tcPr>
            <w:tcW w:w="2304" w:type="dxa"/>
            <w:tcBorders>
              <w:top w:val="nil"/>
              <w:left w:val="nil"/>
              <w:bottom w:val="nil"/>
              <w:right w:val="nil"/>
            </w:tcBorders>
          </w:tcPr>
          <w:p w14:paraId="1B9C79BB"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(0.00351)</w:t>
            </w:r>
          </w:p>
        </w:tc>
        <w:tc>
          <w:tcPr>
            <w:tcW w:w="2304" w:type="dxa"/>
            <w:tcBorders>
              <w:top w:val="nil"/>
              <w:left w:val="nil"/>
              <w:bottom w:val="nil"/>
              <w:right w:val="nil"/>
            </w:tcBorders>
          </w:tcPr>
          <w:p w14:paraId="5CF6BD9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(0.00811)</w:t>
            </w:r>
          </w:p>
        </w:tc>
      </w:tr>
      <w:tr w:rsidR="000964A5" w:rsidRPr="008C28EB" w14:paraId="19303DD4" w14:textId="77777777" w:rsidTr="000964A5">
        <w:trPr>
          <w:jc w:val="center"/>
        </w:trPr>
        <w:tc>
          <w:tcPr>
            <w:tcW w:w="1190" w:type="dxa"/>
            <w:tcBorders>
              <w:top w:val="nil"/>
              <w:left w:val="nil"/>
              <w:bottom w:val="nil"/>
              <w:right w:val="nil"/>
            </w:tcBorders>
            <w:vAlign w:val="bottom"/>
          </w:tcPr>
          <w:p w14:paraId="132D364F"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w*ROA</w:t>
            </w:r>
          </w:p>
        </w:tc>
        <w:tc>
          <w:tcPr>
            <w:tcW w:w="2304" w:type="dxa"/>
            <w:tcBorders>
              <w:top w:val="nil"/>
              <w:left w:val="nil"/>
              <w:bottom w:val="nil"/>
              <w:right w:val="nil"/>
            </w:tcBorders>
          </w:tcPr>
          <w:p w14:paraId="488932F7"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-0.01628*</w:t>
            </w:r>
          </w:p>
        </w:tc>
        <w:tc>
          <w:tcPr>
            <w:tcW w:w="2304" w:type="dxa"/>
            <w:tcBorders>
              <w:top w:val="nil"/>
              <w:left w:val="nil"/>
              <w:bottom w:val="nil"/>
              <w:right w:val="nil"/>
            </w:tcBorders>
          </w:tcPr>
          <w:p w14:paraId="527510E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0.02632**</w:t>
            </w:r>
          </w:p>
        </w:tc>
        <w:tc>
          <w:tcPr>
            <w:tcW w:w="2304" w:type="dxa"/>
            <w:tcBorders>
              <w:top w:val="nil"/>
              <w:left w:val="nil"/>
              <w:bottom w:val="nil"/>
              <w:right w:val="nil"/>
            </w:tcBorders>
          </w:tcPr>
          <w:p w14:paraId="70161D92"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-0.00686</w:t>
            </w:r>
          </w:p>
        </w:tc>
        <w:tc>
          <w:tcPr>
            <w:tcW w:w="2304" w:type="dxa"/>
            <w:tcBorders>
              <w:top w:val="nil"/>
              <w:left w:val="nil"/>
              <w:bottom w:val="nil"/>
              <w:right w:val="nil"/>
            </w:tcBorders>
          </w:tcPr>
          <w:p w14:paraId="1B7957F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0.00799</w:t>
            </w:r>
          </w:p>
        </w:tc>
      </w:tr>
      <w:tr w:rsidR="000964A5" w:rsidRPr="008C28EB" w14:paraId="0FD2F590" w14:textId="77777777" w:rsidTr="000964A5">
        <w:trPr>
          <w:jc w:val="center"/>
        </w:trPr>
        <w:tc>
          <w:tcPr>
            <w:tcW w:w="1190" w:type="dxa"/>
            <w:tcBorders>
              <w:top w:val="nil"/>
              <w:left w:val="nil"/>
              <w:bottom w:val="nil"/>
              <w:right w:val="nil"/>
            </w:tcBorders>
            <w:vAlign w:val="bottom"/>
          </w:tcPr>
          <w:p w14:paraId="6AC0B01A"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7D30B73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(0.00968)</w:t>
            </w:r>
          </w:p>
        </w:tc>
        <w:tc>
          <w:tcPr>
            <w:tcW w:w="2304" w:type="dxa"/>
            <w:tcBorders>
              <w:top w:val="nil"/>
              <w:left w:val="nil"/>
              <w:bottom w:val="nil"/>
              <w:right w:val="nil"/>
            </w:tcBorders>
          </w:tcPr>
          <w:p w14:paraId="50F2077B"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(0.01302)</w:t>
            </w:r>
          </w:p>
        </w:tc>
        <w:tc>
          <w:tcPr>
            <w:tcW w:w="2304" w:type="dxa"/>
            <w:tcBorders>
              <w:top w:val="nil"/>
              <w:left w:val="nil"/>
              <w:bottom w:val="nil"/>
              <w:right w:val="nil"/>
            </w:tcBorders>
          </w:tcPr>
          <w:p w14:paraId="7015EA9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(0.00693)</w:t>
            </w:r>
          </w:p>
        </w:tc>
        <w:tc>
          <w:tcPr>
            <w:tcW w:w="2304" w:type="dxa"/>
            <w:tcBorders>
              <w:top w:val="nil"/>
              <w:left w:val="nil"/>
              <w:bottom w:val="nil"/>
              <w:right w:val="nil"/>
            </w:tcBorders>
          </w:tcPr>
          <w:p w14:paraId="13D5E58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(0.01867)</w:t>
            </w:r>
          </w:p>
        </w:tc>
      </w:tr>
      <w:tr w:rsidR="000964A5" w:rsidRPr="008C28EB" w14:paraId="5FC1D5BC" w14:textId="77777777" w:rsidTr="000964A5">
        <w:trPr>
          <w:jc w:val="center"/>
        </w:trPr>
        <w:tc>
          <w:tcPr>
            <w:tcW w:w="1190" w:type="dxa"/>
            <w:tcBorders>
              <w:top w:val="nil"/>
              <w:left w:val="nil"/>
              <w:bottom w:val="nil"/>
              <w:right w:val="nil"/>
            </w:tcBorders>
            <w:vAlign w:val="bottom"/>
          </w:tcPr>
          <w:p w14:paraId="2B234B6A"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i/>
                <w:sz w:val="18"/>
                <w:szCs w:val="18"/>
                <w:lang w:val="en-US"/>
              </w:rPr>
              <w:t>w*ETA</w:t>
            </w:r>
          </w:p>
        </w:tc>
        <w:tc>
          <w:tcPr>
            <w:tcW w:w="2304" w:type="dxa"/>
            <w:tcBorders>
              <w:top w:val="nil"/>
              <w:left w:val="nil"/>
              <w:bottom w:val="nil"/>
              <w:right w:val="nil"/>
            </w:tcBorders>
          </w:tcPr>
          <w:p w14:paraId="0410DA88"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-0.01471</w:t>
            </w:r>
          </w:p>
        </w:tc>
        <w:tc>
          <w:tcPr>
            <w:tcW w:w="2304" w:type="dxa"/>
            <w:tcBorders>
              <w:top w:val="nil"/>
              <w:left w:val="nil"/>
              <w:bottom w:val="nil"/>
              <w:right w:val="nil"/>
            </w:tcBorders>
          </w:tcPr>
          <w:p w14:paraId="159C4FA7"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0.00143</w:t>
            </w:r>
          </w:p>
        </w:tc>
        <w:tc>
          <w:tcPr>
            <w:tcW w:w="2304" w:type="dxa"/>
            <w:tcBorders>
              <w:top w:val="nil"/>
              <w:left w:val="nil"/>
              <w:bottom w:val="nil"/>
              <w:right w:val="nil"/>
            </w:tcBorders>
          </w:tcPr>
          <w:p w14:paraId="28A86EA5"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-0.02413</w:t>
            </w:r>
          </w:p>
        </w:tc>
        <w:tc>
          <w:tcPr>
            <w:tcW w:w="2304" w:type="dxa"/>
            <w:tcBorders>
              <w:top w:val="nil"/>
              <w:left w:val="nil"/>
              <w:bottom w:val="nil"/>
              <w:right w:val="nil"/>
            </w:tcBorders>
          </w:tcPr>
          <w:p w14:paraId="60A9738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0.00059</w:t>
            </w:r>
          </w:p>
        </w:tc>
      </w:tr>
      <w:tr w:rsidR="000964A5" w:rsidRPr="008C28EB" w14:paraId="70307485" w14:textId="77777777" w:rsidTr="000964A5">
        <w:trPr>
          <w:jc w:val="center"/>
        </w:trPr>
        <w:tc>
          <w:tcPr>
            <w:tcW w:w="1190" w:type="dxa"/>
            <w:tcBorders>
              <w:top w:val="nil"/>
              <w:left w:val="nil"/>
              <w:bottom w:val="nil"/>
              <w:right w:val="nil"/>
            </w:tcBorders>
          </w:tcPr>
          <w:p w14:paraId="2A318961"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4970204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(0.02427)</w:t>
            </w:r>
          </w:p>
        </w:tc>
        <w:tc>
          <w:tcPr>
            <w:tcW w:w="2304" w:type="dxa"/>
            <w:tcBorders>
              <w:top w:val="nil"/>
              <w:left w:val="nil"/>
              <w:bottom w:val="nil"/>
              <w:right w:val="nil"/>
            </w:tcBorders>
          </w:tcPr>
          <w:p w14:paraId="6D93666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(0.03877)</w:t>
            </w:r>
          </w:p>
        </w:tc>
        <w:tc>
          <w:tcPr>
            <w:tcW w:w="2304" w:type="dxa"/>
            <w:tcBorders>
              <w:top w:val="nil"/>
              <w:left w:val="nil"/>
              <w:bottom w:val="nil"/>
              <w:right w:val="nil"/>
            </w:tcBorders>
          </w:tcPr>
          <w:p w14:paraId="4ACBC3F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(0.02447)</w:t>
            </w:r>
          </w:p>
        </w:tc>
        <w:tc>
          <w:tcPr>
            <w:tcW w:w="2304" w:type="dxa"/>
            <w:tcBorders>
              <w:top w:val="nil"/>
              <w:left w:val="nil"/>
              <w:bottom w:val="nil"/>
              <w:right w:val="nil"/>
            </w:tcBorders>
          </w:tcPr>
          <w:p w14:paraId="06290EFB"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(0.05233)</w:t>
            </w:r>
          </w:p>
        </w:tc>
      </w:tr>
      <w:tr w:rsidR="000964A5" w:rsidRPr="008C28EB" w14:paraId="6E6312B1" w14:textId="77777777" w:rsidTr="000964A5">
        <w:trPr>
          <w:jc w:val="center"/>
        </w:trPr>
        <w:tc>
          <w:tcPr>
            <w:tcW w:w="1190" w:type="dxa"/>
            <w:tcBorders>
              <w:top w:val="nil"/>
              <w:left w:val="nil"/>
              <w:bottom w:val="nil"/>
              <w:right w:val="nil"/>
            </w:tcBorders>
          </w:tcPr>
          <w:p w14:paraId="0DF2FB25"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sz w:val="18"/>
                <w:szCs w:val="18"/>
              </w:rPr>
              <w:t>Constant</w:t>
            </w:r>
          </w:p>
        </w:tc>
        <w:tc>
          <w:tcPr>
            <w:tcW w:w="2304" w:type="dxa"/>
            <w:tcBorders>
              <w:top w:val="nil"/>
              <w:left w:val="nil"/>
              <w:bottom w:val="nil"/>
              <w:right w:val="nil"/>
            </w:tcBorders>
          </w:tcPr>
          <w:p w14:paraId="3D99726A"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-0.00372*</w:t>
            </w:r>
          </w:p>
        </w:tc>
        <w:tc>
          <w:tcPr>
            <w:tcW w:w="2304" w:type="dxa"/>
            <w:tcBorders>
              <w:top w:val="nil"/>
              <w:left w:val="nil"/>
              <w:bottom w:val="nil"/>
              <w:right w:val="nil"/>
            </w:tcBorders>
          </w:tcPr>
          <w:p w14:paraId="42C71A49"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0.00360</w:t>
            </w:r>
          </w:p>
        </w:tc>
        <w:tc>
          <w:tcPr>
            <w:tcW w:w="2304" w:type="dxa"/>
            <w:tcBorders>
              <w:top w:val="nil"/>
              <w:left w:val="nil"/>
              <w:bottom w:val="nil"/>
              <w:right w:val="nil"/>
            </w:tcBorders>
          </w:tcPr>
          <w:p w14:paraId="6B482AD3"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-0.00752***</w:t>
            </w:r>
          </w:p>
        </w:tc>
        <w:tc>
          <w:tcPr>
            <w:tcW w:w="2304" w:type="dxa"/>
            <w:tcBorders>
              <w:top w:val="nil"/>
              <w:left w:val="nil"/>
              <w:bottom w:val="nil"/>
              <w:right w:val="nil"/>
            </w:tcBorders>
          </w:tcPr>
          <w:p w14:paraId="4A9FC55B"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-0.00157</w:t>
            </w:r>
          </w:p>
        </w:tc>
      </w:tr>
      <w:tr w:rsidR="000964A5" w:rsidRPr="008C28EB" w14:paraId="41BCDC33" w14:textId="77777777" w:rsidTr="000964A5">
        <w:trPr>
          <w:jc w:val="center"/>
        </w:trPr>
        <w:tc>
          <w:tcPr>
            <w:tcW w:w="1190" w:type="dxa"/>
            <w:tcBorders>
              <w:top w:val="nil"/>
              <w:left w:val="nil"/>
              <w:bottom w:val="nil"/>
              <w:right w:val="nil"/>
            </w:tcBorders>
          </w:tcPr>
          <w:p w14:paraId="69D0F9F3"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1111BD9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(0.00201)</w:t>
            </w:r>
          </w:p>
        </w:tc>
        <w:tc>
          <w:tcPr>
            <w:tcW w:w="2304" w:type="dxa"/>
            <w:tcBorders>
              <w:top w:val="nil"/>
              <w:left w:val="nil"/>
              <w:bottom w:val="nil"/>
              <w:right w:val="nil"/>
            </w:tcBorders>
          </w:tcPr>
          <w:p w14:paraId="70A3FDC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(0.00346)</w:t>
            </w:r>
          </w:p>
        </w:tc>
        <w:tc>
          <w:tcPr>
            <w:tcW w:w="2304" w:type="dxa"/>
            <w:tcBorders>
              <w:top w:val="nil"/>
              <w:left w:val="nil"/>
              <w:bottom w:val="nil"/>
              <w:right w:val="nil"/>
            </w:tcBorders>
          </w:tcPr>
          <w:p w14:paraId="5E4CDCDE"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(0.00273)</w:t>
            </w:r>
          </w:p>
        </w:tc>
        <w:tc>
          <w:tcPr>
            <w:tcW w:w="2304" w:type="dxa"/>
            <w:tcBorders>
              <w:top w:val="nil"/>
              <w:left w:val="nil"/>
              <w:bottom w:val="nil"/>
              <w:right w:val="nil"/>
            </w:tcBorders>
          </w:tcPr>
          <w:p w14:paraId="45C2156D"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(0.00280)</w:t>
            </w:r>
          </w:p>
        </w:tc>
      </w:tr>
      <w:tr w:rsidR="000964A5" w:rsidRPr="008C28EB" w14:paraId="06883B70" w14:textId="77777777" w:rsidTr="000964A5">
        <w:trPr>
          <w:jc w:val="center"/>
        </w:trPr>
        <w:tc>
          <w:tcPr>
            <w:tcW w:w="1190" w:type="dxa"/>
            <w:tcBorders>
              <w:top w:val="nil"/>
              <w:left w:val="nil"/>
              <w:bottom w:val="nil"/>
              <w:right w:val="nil"/>
            </w:tcBorders>
          </w:tcPr>
          <w:p w14:paraId="0558760F"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p>
        </w:tc>
        <w:tc>
          <w:tcPr>
            <w:tcW w:w="2304" w:type="dxa"/>
            <w:tcBorders>
              <w:top w:val="nil"/>
              <w:left w:val="nil"/>
              <w:bottom w:val="nil"/>
              <w:right w:val="nil"/>
            </w:tcBorders>
          </w:tcPr>
          <w:p w14:paraId="2DB5D5A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p>
        </w:tc>
        <w:tc>
          <w:tcPr>
            <w:tcW w:w="2304" w:type="dxa"/>
            <w:tcBorders>
              <w:top w:val="nil"/>
              <w:left w:val="nil"/>
              <w:bottom w:val="nil"/>
              <w:right w:val="nil"/>
            </w:tcBorders>
          </w:tcPr>
          <w:p w14:paraId="33D1FD9F"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p>
        </w:tc>
        <w:tc>
          <w:tcPr>
            <w:tcW w:w="2304" w:type="dxa"/>
            <w:tcBorders>
              <w:top w:val="nil"/>
              <w:left w:val="nil"/>
              <w:bottom w:val="nil"/>
              <w:right w:val="nil"/>
            </w:tcBorders>
          </w:tcPr>
          <w:p w14:paraId="19FB9F12"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p>
        </w:tc>
        <w:tc>
          <w:tcPr>
            <w:tcW w:w="2304" w:type="dxa"/>
            <w:tcBorders>
              <w:top w:val="nil"/>
              <w:left w:val="nil"/>
              <w:bottom w:val="nil"/>
              <w:right w:val="nil"/>
            </w:tcBorders>
          </w:tcPr>
          <w:p w14:paraId="6512350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p>
        </w:tc>
      </w:tr>
      <w:tr w:rsidR="000964A5" w:rsidRPr="008C28EB" w14:paraId="4EE1DA6E" w14:textId="77777777" w:rsidTr="000964A5">
        <w:trPr>
          <w:jc w:val="center"/>
        </w:trPr>
        <w:tc>
          <w:tcPr>
            <w:tcW w:w="1190" w:type="dxa"/>
            <w:tcBorders>
              <w:top w:val="nil"/>
              <w:left w:val="nil"/>
              <w:bottom w:val="nil"/>
              <w:right w:val="nil"/>
            </w:tcBorders>
          </w:tcPr>
          <w:p w14:paraId="335CE386"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sz w:val="18"/>
                <w:szCs w:val="18"/>
              </w:rPr>
              <w:t>Observations</w:t>
            </w:r>
          </w:p>
        </w:tc>
        <w:tc>
          <w:tcPr>
            <w:tcW w:w="2304" w:type="dxa"/>
            <w:tcBorders>
              <w:top w:val="nil"/>
              <w:left w:val="nil"/>
              <w:bottom w:val="nil"/>
              <w:right w:val="nil"/>
            </w:tcBorders>
          </w:tcPr>
          <w:p w14:paraId="0D91492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89</w:t>
            </w:r>
          </w:p>
        </w:tc>
        <w:tc>
          <w:tcPr>
            <w:tcW w:w="2304" w:type="dxa"/>
            <w:tcBorders>
              <w:top w:val="nil"/>
              <w:left w:val="nil"/>
              <w:bottom w:val="nil"/>
              <w:right w:val="nil"/>
            </w:tcBorders>
          </w:tcPr>
          <w:p w14:paraId="19AF0201"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89</w:t>
            </w:r>
          </w:p>
        </w:tc>
        <w:tc>
          <w:tcPr>
            <w:tcW w:w="2304" w:type="dxa"/>
            <w:tcBorders>
              <w:top w:val="nil"/>
              <w:left w:val="nil"/>
              <w:bottom w:val="nil"/>
              <w:right w:val="nil"/>
            </w:tcBorders>
          </w:tcPr>
          <w:p w14:paraId="69ECAEBC"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104</w:t>
            </w:r>
          </w:p>
        </w:tc>
        <w:tc>
          <w:tcPr>
            <w:tcW w:w="2304" w:type="dxa"/>
            <w:tcBorders>
              <w:top w:val="nil"/>
              <w:left w:val="nil"/>
              <w:bottom w:val="nil"/>
              <w:right w:val="nil"/>
            </w:tcBorders>
          </w:tcPr>
          <w:p w14:paraId="37F8625A"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99</w:t>
            </w:r>
          </w:p>
        </w:tc>
      </w:tr>
      <w:tr w:rsidR="000964A5" w:rsidRPr="008C28EB" w14:paraId="41966823" w14:textId="77777777" w:rsidTr="000964A5">
        <w:tblPrEx>
          <w:tblBorders>
            <w:bottom w:val="single" w:sz="6" w:space="0" w:color="auto"/>
          </w:tblBorders>
        </w:tblPrEx>
        <w:trPr>
          <w:jc w:val="center"/>
        </w:trPr>
        <w:tc>
          <w:tcPr>
            <w:tcW w:w="1190" w:type="dxa"/>
            <w:tcBorders>
              <w:top w:val="nil"/>
              <w:left w:val="nil"/>
              <w:bottom w:val="single" w:sz="6" w:space="0" w:color="auto"/>
              <w:right w:val="nil"/>
            </w:tcBorders>
          </w:tcPr>
          <w:p w14:paraId="49858F98" w14:textId="77777777" w:rsidR="000964A5" w:rsidRPr="008C28EB" w:rsidRDefault="000964A5" w:rsidP="00DB6F4E">
            <w:pPr>
              <w:widowControl w:val="0"/>
              <w:autoSpaceDE w:val="0"/>
              <w:autoSpaceDN w:val="0"/>
              <w:adjustRightInd w:val="0"/>
              <w:spacing w:after="0" w:line="240" w:lineRule="auto"/>
              <w:rPr>
                <w:rFonts w:ascii="Times New Roman" w:hAnsi="Times New Roman"/>
                <w:sz w:val="18"/>
                <w:szCs w:val="18"/>
              </w:rPr>
            </w:pPr>
            <w:r w:rsidRPr="008C28EB">
              <w:rPr>
                <w:rFonts w:ascii="Times New Roman" w:hAnsi="Times New Roman"/>
                <w:sz w:val="18"/>
                <w:szCs w:val="18"/>
              </w:rPr>
              <w:t>R-squared</w:t>
            </w:r>
          </w:p>
        </w:tc>
        <w:tc>
          <w:tcPr>
            <w:tcW w:w="2304" w:type="dxa"/>
            <w:tcBorders>
              <w:top w:val="nil"/>
              <w:left w:val="nil"/>
              <w:bottom w:val="single" w:sz="6" w:space="0" w:color="auto"/>
              <w:right w:val="nil"/>
            </w:tcBorders>
          </w:tcPr>
          <w:p w14:paraId="23E287B2"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0.28216</w:t>
            </w:r>
          </w:p>
        </w:tc>
        <w:tc>
          <w:tcPr>
            <w:tcW w:w="2304" w:type="dxa"/>
            <w:tcBorders>
              <w:top w:val="nil"/>
              <w:left w:val="nil"/>
              <w:bottom w:val="single" w:sz="6" w:space="0" w:color="auto"/>
              <w:right w:val="nil"/>
            </w:tcBorders>
          </w:tcPr>
          <w:p w14:paraId="447C8A76"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rPr>
            </w:pPr>
            <w:r w:rsidRPr="008C28EB">
              <w:rPr>
                <w:rFonts w:ascii="Times New Roman" w:hAnsi="Times New Roman"/>
                <w:sz w:val="18"/>
                <w:szCs w:val="18"/>
              </w:rPr>
              <w:t>0.42571</w:t>
            </w:r>
          </w:p>
        </w:tc>
        <w:tc>
          <w:tcPr>
            <w:tcW w:w="2304" w:type="dxa"/>
            <w:tcBorders>
              <w:top w:val="nil"/>
              <w:left w:val="nil"/>
              <w:bottom w:val="single" w:sz="6" w:space="0" w:color="auto"/>
              <w:right w:val="nil"/>
            </w:tcBorders>
          </w:tcPr>
          <w:p w14:paraId="78D89FB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0.27173</w:t>
            </w:r>
          </w:p>
        </w:tc>
        <w:tc>
          <w:tcPr>
            <w:tcW w:w="2304" w:type="dxa"/>
            <w:tcBorders>
              <w:top w:val="nil"/>
              <w:left w:val="nil"/>
              <w:bottom w:val="single" w:sz="6" w:space="0" w:color="auto"/>
              <w:right w:val="nil"/>
            </w:tcBorders>
          </w:tcPr>
          <w:p w14:paraId="29732670" w14:textId="77777777" w:rsidR="000964A5" w:rsidRPr="008C28EB" w:rsidRDefault="000964A5" w:rsidP="00DB6F4E">
            <w:pPr>
              <w:widowControl w:val="0"/>
              <w:autoSpaceDE w:val="0"/>
              <w:autoSpaceDN w:val="0"/>
              <w:adjustRightInd w:val="0"/>
              <w:spacing w:after="0" w:line="240" w:lineRule="auto"/>
              <w:jc w:val="center"/>
              <w:rPr>
                <w:rFonts w:ascii="Times New Roman" w:hAnsi="Times New Roman"/>
                <w:sz w:val="18"/>
                <w:szCs w:val="18"/>
                <w:lang w:val="en-US"/>
              </w:rPr>
            </w:pPr>
            <w:r w:rsidRPr="008C28EB">
              <w:rPr>
                <w:rFonts w:ascii="Times New Roman" w:hAnsi="Times New Roman"/>
                <w:sz w:val="18"/>
                <w:szCs w:val="18"/>
                <w:lang w:val="en-US"/>
              </w:rPr>
              <w:t>0.24138</w:t>
            </w:r>
          </w:p>
        </w:tc>
      </w:tr>
    </w:tbl>
    <w:p w14:paraId="4225CB33" w14:textId="77777777" w:rsidR="008C6D0D" w:rsidRPr="008C28EB" w:rsidRDefault="008C6D0D">
      <w:pPr>
        <w:spacing w:after="0" w:line="240" w:lineRule="auto"/>
        <w:rPr>
          <w:rFonts w:ascii="Times New Roman" w:hAnsi="Times New Roman"/>
          <w:b/>
          <w:sz w:val="24"/>
          <w:szCs w:val="24"/>
          <w:lang w:val="en-US"/>
        </w:rPr>
      </w:pPr>
    </w:p>
    <w:sectPr w:rsidR="008C6D0D" w:rsidRPr="008C28EB" w:rsidSect="000964A5">
      <w:pgSz w:w="11901" w:h="16840"/>
      <w:pgMar w:top="1871" w:right="1871" w:bottom="1871"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4E04E" w14:textId="77777777" w:rsidR="00B37F26" w:rsidRDefault="00B37F26" w:rsidP="00D06E1C">
      <w:pPr>
        <w:spacing w:after="0" w:line="240" w:lineRule="auto"/>
      </w:pPr>
      <w:r>
        <w:separator/>
      </w:r>
    </w:p>
  </w:endnote>
  <w:endnote w:type="continuationSeparator" w:id="0">
    <w:p w14:paraId="1CF76D15" w14:textId="77777777" w:rsidR="00B37F26" w:rsidRDefault="00B37F26" w:rsidP="00D0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7BA1" w14:textId="63932E82" w:rsidR="00922010" w:rsidRDefault="00922010">
    <w:pPr>
      <w:pStyle w:val="Pidipagina"/>
      <w:jc w:val="right"/>
    </w:pPr>
    <w:r>
      <w:fldChar w:fldCharType="begin"/>
    </w:r>
    <w:r>
      <w:instrText xml:space="preserve"> PAGE   \* MERGEFORMAT </w:instrText>
    </w:r>
    <w:r>
      <w:fldChar w:fldCharType="separate"/>
    </w:r>
    <w:r w:rsidR="00617096">
      <w:rPr>
        <w:noProof/>
      </w:rPr>
      <w:t>34</w:t>
    </w:r>
    <w:r>
      <w:rPr>
        <w:noProof/>
      </w:rPr>
      <w:fldChar w:fldCharType="end"/>
    </w:r>
  </w:p>
  <w:p w14:paraId="3BA17A7F" w14:textId="77777777" w:rsidR="00922010" w:rsidRDefault="009220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FE2A" w14:textId="77777777" w:rsidR="00922010" w:rsidRDefault="00922010" w:rsidP="00175A4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8B5B83" w14:textId="77777777" w:rsidR="00922010" w:rsidRDefault="009220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E0F3E" w14:textId="4050CEA2" w:rsidR="00922010" w:rsidRDefault="00922010" w:rsidP="00175A4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7096">
      <w:rPr>
        <w:rStyle w:val="Numeropagina"/>
        <w:noProof/>
      </w:rPr>
      <w:t>38</w:t>
    </w:r>
    <w:r>
      <w:rPr>
        <w:rStyle w:val="Numeropagina"/>
      </w:rPr>
      <w:fldChar w:fldCharType="end"/>
    </w:r>
  </w:p>
  <w:p w14:paraId="432BB0EA" w14:textId="77777777" w:rsidR="00922010" w:rsidRDefault="0092201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1A9C" w14:textId="6C448375" w:rsidR="00922010" w:rsidRDefault="00922010">
    <w:pPr>
      <w:pStyle w:val="Pidipagina"/>
      <w:jc w:val="right"/>
    </w:pPr>
    <w:r>
      <w:fldChar w:fldCharType="begin"/>
    </w:r>
    <w:r>
      <w:instrText xml:space="preserve"> PAGE   \* MERGEFORMAT </w:instrText>
    </w:r>
    <w:r>
      <w:fldChar w:fldCharType="separate"/>
    </w:r>
    <w:r w:rsidR="00617096">
      <w:rPr>
        <w:noProof/>
      </w:rPr>
      <w:t>44</w:t>
    </w:r>
    <w:r>
      <w:rPr>
        <w:noProof/>
      </w:rPr>
      <w:fldChar w:fldCharType="end"/>
    </w:r>
  </w:p>
  <w:p w14:paraId="3695ADB6" w14:textId="77777777" w:rsidR="00922010" w:rsidRDefault="009220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3541" w14:textId="77777777" w:rsidR="00B37F26" w:rsidRDefault="00B37F26" w:rsidP="00D06E1C">
      <w:pPr>
        <w:spacing w:after="0" w:line="240" w:lineRule="auto"/>
      </w:pPr>
      <w:r>
        <w:separator/>
      </w:r>
    </w:p>
  </w:footnote>
  <w:footnote w:type="continuationSeparator" w:id="0">
    <w:p w14:paraId="0060A264" w14:textId="77777777" w:rsidR="00B37F26" w:rsidRDefault="00B37F26" w:rsidP="00D06E1C">
      <w:pPr>
        <w:spacing w:after="0" w:line="240" w:lineRule="auto"/>
      </w:pPr>
      <w:r>
        <w:continuationSeparator/>
      </w:r>
    </w:p>
  </w:footnote>
  <w:footnote w:id="1">
    <w:p w14:paraId="5E9DF567" w14:textId="77777777" w:rsidR="00922010" w:rsidRPr="00B309D0" w:rsidRDefault="00922010" w:rsidP="00A83E41">
      <w:pPr>
        <w:pStyle w:val="Testonotaapidipagina"/>
        <w:rPr>
          <w:sz w:val="16"/>
          <w:szCs w:val="16"/>
        </w:rPr>
      </w:pPr>
      <w:r w:rsidRPr="00B309D0">
        <w:rPr>
          <w:sz w:val="16"/>
          <w:szCs w:val="16"/>
          <w:vertAlign w:val="superscript"/>
        </w:rPr>
        <w:footnoteRef/>
      </w:r>
      <w:r w:rsidRPr="00B309D0">
        <w:rPr>
          <w:sz w:val="16"/>
          <w:szCs w:val="16"/>
        </w:rPr>
        <w:t xml:space="preserve"> We drop stock price series that are not complete for the whole estimation period and/or are strongly illiquid. </w:t>
      </w:r>
    </w:p>
  </w:footnote>
  <w:footnote w:id="2">
    <w:p w14:paraId="6CDC508C" w14:textId="77777777" w:rsidR="00922010" w:rsidRPr="00C213DA" w:rsidRDefault="00922010">
      <w:pPr>
        <w:pStyle w:val="Testonotaapidipagina"/>
        <w:rPr>
          <w:sz w:val="16"/>
          <w:szCs w:val="16"/>
        </w:rPr>
      </w:pPr>
      <w:r w:rsidRPr="00C213DA">
        <w:rPr>
          <w:rStyle w:val="Rimandonotaapidipagina"/>
          <w:sz w:val="16"/>
          <w:szCs w:val="16"/>
        </w:rPr>
        <w:footnoteRef/>
      </w:r>
      <w:r w:rsidRPr="00C213DA">
        <w:rPr>
          <w:sz w:val="16"/>
          <w:szCs w:val="16"/>
        </w:rPr>
        <w:t xml:space="preserve"> Taking into account the truncation of GAP by running a Tobit regression rather than an OLS does not affect our results.</w:t>
      </w:r>
    </w:p>
  </w:footnote>
  <w:footnote w:id="3">
    <w:p w14:paraId="5B0B0CC9" w14:textId="77777777" w:rsidR="00922010" w:rsidRPr="00C213DA" w:rsidRDefault="00922010">
      <w:pPr>
        <w:pStyle w:val="Testonotaapidipagina"/>
        <w:rPr>
          <w:sz w:val="18"/>
          <w:szCs w:val="18"/>
        </w:rPr>
      </w:pPr>
      <w:r w:rsidRPr="00C213DA">
        <w:rPr>
          <w:rStyle w:val="Rimandonotaapidipagina"/>
          <w:sz w:val="18"/>
          <w:szCs w:val="18"/>
        </w:rPr>
        <w:footnoteRef/>
      </w:r>
      <w:r w:rsidRPr="00C213DA">
        <w:rPr>
          <w:sz w:val="18"/>
          <w:szCs w:val="18"/>
        </w:rPr>
        <w:t xml:space="preserve"> It is measured in basis points. In addition, all variables included in the model are standardized.</w:t>
      </w:r>
    </w:p>
  </w:footnote>
  <w:footnote w:id="4">
    <w:p w14:paraId="51F653A9" w14:textId="0F00E27E" w:rsidR="00922010" w:rsidRPr="00C213DA" w:rsidRDefault="00922010">
      <w:pPr>
        <w:pStyle w:val="Testonotaapidipagina"/>
        <w:rPr>
          <w:sz w:val="18"/>
          <w:szCs w:val="18"/>
        </w:rPr>
      </w:pPr>
      <w:r w:rsidRPr="00C213DA">
        <w:rPr>
          <w:rStyle w:val="Rimandonotaapidipagina"/>
          <w:sz w:val="18"/>
          <w:szCs w:val="18"/>
        </w:rPr>
        <w:footnoteRef/>
      </w:r>
      <w:r w:rsidRPr="00C213DA">
        <w:rPr>
          <w:sz w:val="18"/>
          <w:szCs w:val="18"/>
        </w:rPr>
        <w:t xml:space="preserve"> Results are available </w:t>
      </w:r>
      <w:r>
        <w:rPr>
          <w:sz w:val="18"/>
          <w:szCs w:val="18"/>
        </w:rPr>
        <w:t>from</w:t>
      </w:r>
      <w:r w:rsidR="00B4003C">
        <w:rPr>
          <w:sz w:val="18"/>
          <w:szCs w:val="18"/>
        </w:rPr>
        <w:t xml:space="preserve"> </w:t>
      </w:r>
      <w:r w:rsidRPr="00C213DA">
        <w:rPr>
          <w:sz w:val="18"/>
          <w:szCs w:val="18"/>
        </w:rPr>
        <w:t>the authors upon request.</w:t>
      </w:r>
    </w:p>
  </w:footnote>
  <w:footnote w:id="5">
    <w:p w14:paraId="71F44FA9" w14:textId="77777777" w:rsidR="00922010" w:rsidRPr="00C213DA" w:rsidRDefault="00922010">
      <w:pPr>
        <w:pStyle w:val="Testonotaapidipagina"/>
      </w:pPr>
      <w:r w:rsidRPr="00C213DA">
        <w:rPr>
          <w:rStyle w:val="Rimandonotaapidipagina"/>
          <w:sz w:val="18"/>
          <w:szCs w:val="18"/>
        </w:rPr>
        <w:footnoteRef/>
      </w:r>
      <w:r w:rsidRPr="00C213DA">
        <w:rPr>
          <w:sz w:val="18"/>
          <w:szCs w:val="18"/>
        </w:rPr>
        <w:t xml:space="preserve"> Exclusion of these banks does not change conclusions. Results are available from the authors upon request.</w:t>
      </w:r>
    </w:p>
  </w:footnote>
  <w:footnote w:id="6">
    <w:p w14:paraId="44A0FB5C" w14:textId="68609628" w:rsidR="00922010" w:rsidRPr="00C213DA" w:rsidRDefault="00922010" w:rsidP="007B5627">
      <w:pPr>
        <w:pStyle w:val="Testonotaapidipagina"/>
        <w:rPr>
          <w:sz w:val="18"/>
          <w:szCs w:val="18"/>
        </w:rPr>
      </w:pPr>
      <w:r w:rsidRPr="00C213DA">
        <w:rPr>
          <w:rStyle w:val="Rimandonotaapidipagina"/>
          <w:sz w:val="18"/>
          <w:szCs w:val="18"/>
        </w:rPr>
        <w:footnoteRef/>
      </w:r>
      <w:r w:rsidRPr="00C213DA">
        <w:rPr>
          <w:kern w:val="1"/>
          <w:sz w:val="18"/>
          <w:szCs w:val="18"/>
          <w:lang w:eastAsia="ar-SA"/>
        </w:rPr>
        <w:t xml:space="preserve">All formulas for the calculation of relevant parameters are reported in a </w:t>
      </w:r>
      <w:r w:rsidR="00617096" w:rsidRPr="00C213DA">
        <w:rPr>
          <w:kern w:val="1"/>
          <w:sz w:val="18"/>
          <w:szCs w:val="18"/>
          <w:lang w:eastAsia="ar-SA"/>
        </w:rPr>
        <w:t>Technical</w:t>
      </w:r>
      <w:r w:rsidRPr="00C213DA">
        <w:rPr>
          <w:kern w:val="1"/>
          <w:sz w:val="18"/>
          <w:szCs w:val="18"/>
          <w:lang w:eastAsia="ar-SA"/>
        </w:rPr>
        <w:t xml:space="preserve"> Appendix available from the authors upon request.</w:t>
      </w:r>
    </w:p>
  </w:footnote>
  <w:footnote w:id="7">
    <w:p w14:paraId="6ED7C0BA" w14:textId="77777777" w:rsidR="00922010" w:rsidRPr="00C213DA" w:rsidRDefault="00922010" w:rsidP="00297B1A">
      <w:pPr>
        <w:pStyle w:val="Testonotaapidipagina"/>
        <w:jc w:val="both"/>
        <w:rPr>
          <w:sz w:val="18"/>
          <w:szCs w:val="18"/>
        </w:rPr>
      </w:pPr>
      <w:r w:rsidRPr="00C213DA">
        <w:rPr>
          <w:rStyle w:val="Rimandonotaapidipagina"/>
          <w:sz w:val="18"/>
          <w:szCs w:val="18"/>
        </w:rPr>
        <w:footnoteRef/>
      </w:r>
      <w:r w:rsidRPr="00C213DA">
        <w:rPr>
          <w:sz w:val="18"/>
          <w:szCs w:val="18"/>
        </w:rPr>
        <w:t xml:space="preserve"> We thank an anonymous referee for this suggestion. Most squared terms are not significant, so we prefer to keep the Table more parsimonious and not to show detailed coefficients. However, results are available from the authors upon request. </w:t>
      </w:r>
    </w:p>
  </w:footnote>
  <w:footnote w:id="8">
    <w:p w14:paraId="66098446" w14:textId="77777777" w:rsidR="00922010" w:rsidRPr="00C213DA" w:rsidRDefault="00922010" w:rsidP="007F7F58">
      <w:pPr>
        <w:pStyle w:val="Testonotaapidipagina"/>
        <w:jc w:val="both"/>
        <w:rPr>
          <w:sz w:val="16"/>
          <w:szCs w:val="16"/>
        </w:rPr>
      </w:pPr>
      <w:r w:rsidRPr="00C213DA">
        <w:rPr>
          <w:rStyle w:val="Rimandonotaapidipagina"/>
          <w:sz w:val="16"/>
          <w:szCs w:val="16"/>
        </w:rPr>
        <w:footnoteRef/>
      </w:r>
      <w:r w:rsidRPr="00C213DA">
        <w:rPr>
          <w:sz w:val="16"/>
          <w:szCs w:val="16"/>
        </w:rPr>
        <w:t xml:space="preserve"> In untabulated results we also put together our two main robustness checks, running a model with similar size for treated and controls and no confounding events. The number of observations is significantly reduced, but our treatment variable remains negative and statistically significant. Results are available from the authors upon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83C37"/>
    <w:multiLevelType w:val="hybridMultilevel"/>
    <w:tmpl w:val="85C0BE5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17C4E39"/>
    <w:multiLevelType w:val="hybridMultilevel"/>
    <w:tmpl w:val="2D103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B51699"/>
    <w:multiLevelType w:val="hybridMultilevel"/>
    <w:tmpl w:val="2B526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7650AC"/>
    <w:multiLevelType w:val="hybridMultilevel"/>
    <w:tmpl w:val="AA82B2E6"/>
    <w:lvl w:ilvl="0" w:tplc="526A102C">
      <w:start w:val="7"/>
      <w:numFmt w:val="bullet"/>
      <w:lvlText w:val="-"/>
      <w:lvlJc w:val="left"/>
      <w:pPr>
        <w:ind w:left="644" w:hanging="360"/>
      </w:pPr>
      <w:rPr>
        <w:rFonts w:ascii="Cambria" w:eastAsia="MS Mincho" w:hAnsi="Cambria" w:cs="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5139505B"/>
    <w:multiLevelType w:val="hybridMultilevel"/>
    <w:tmpl w:val="0DC0F5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62244AF0"/>
    <w:multiLevelType w:val="hybridMultilevel"/>
    <w:tmpl w:val="31D2C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BE52C0"/>
    <w:multiLevelType w:val="hybridMultilevel"/>
    <w:tmpl w:val="C980E5E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764917E6"/>
    <w:multiLevelType w:val="multilevel"/>
    <w:tmpl w:val="206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A64A2"/>
    <w:multiLevelType w:val="hybridMultilevel"/>
    <w:tmpl w:val="DD8A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76E8"/>
    <w:rsid w:val="00002119"/>
    <w:rsid w:val="00002AA5"/>
    <w:rsid w:val="00004D77"/>
    <w:rsid w:val="00004FB8"/>
    <w:rsid w:val="0000727B"/>
    <w:rsid w:val="000075A4"/>
    <w:rsid w:val="00007B1F"/>
    <w:rsid w:val="00010A20"/>
    <w:rsid w:val="000113F8"/>
    <w:rsid w:val="000124CF"/>
    <w:rsid w:val="00012F68"/>
    <w:rsid w:val="00014229"/>
    <w:rsid w:val="00020770"/>
    <w:rsid w:val="00021A6E"/>
    <w:rsid w:val="0002247A"/>
    <w:rsid w:val="00023431"/>
    <w:rsid w:val="000269F5"/>
    <w:rsid w:val="00031CE0"/>
    <w:rsid w:val="000321E3"/>
    <w:rsid w:val="00033481"/>
    <w:rsid w:val="0003356F"/>
    <w:rsid w:val="00033A14"/>
    <w:rsid w:val="00033FD9"/>
    <w:rsid w:val="00034058"/>
    <w:rsid w:val="000375E3"/>
    <w:rsid w:val="0004148E"/>
    <w:rsid w:val="00041D98"/>
    <w:rsid w:val="00041E6D"/>
    <w:rsid w:val="00044D2C"/>
    <w:rsid w:val="0004629A"/>
    <w:rsid w:val="000471FD"/>
    <w:rsid w:val="00050557"/>
    <w:rsid w:val="00052870"/>
    <w:rsid w:val="0005410E"/>
    <w:rsid w:val="00054120"/>
    <w:rsid w:val="00054C33"/>
    <w:rsid w:val="00057607"/>
    <w:rsid w:val="00060AB4"/>
    <w:rsid w:val="00060E3D"/>
    <w:rsid w:val="00061517"/>
    <w:rsid w:val="00063137"/>
    <w:rsid w:val="00064A4D"/>
    <w:rsid w:val="00065C1E"/>
    <w:rsid w:val="000664D8"/>
    <w:rsid w:val="00066FF0"/>
    <w:rsid w:val="00073708"/>
    <w:rsid w:val="00073D8A"/>
    <w:rsid w:val="000744E8"/>
    <w:rsid w:val="000745D6"/>
    <w:rsid w:val="000767E3"/>
    <w:rsid w:val="00076829"/>
    <w:rsid w:val="00076F2A"/>
    <w:rsid w:val="00077827"/>
    <w:rsid w:val="00084819"/>
    <w:rsid w:val="00085B25"/>
    <w:rsid w:val="00087459"/>
    <w:rsid w:val="00093B20"/>
    <w:rsid w:val="00094BF8"/>
    <w:rsid w:val="000964A5"/>
    <w:rsid w:val="000967EF"/>
    <w:rsid w:val="00096F71"/>
    <w:rsid w:val="000A08E6"/>
    <w:rsid w:val="000A1F26"/>
    <w:rsid w:val="000A24E1"/>
    <w:rsid w:val="000A2C31"/>
    <w:rsid w:val="000A33A4"/>
    <w:rsid w:val="000A4B0A"/>
    <w:rsid w:val="000A5B35"/>
    <w:rsid w:val="000A68A8"/>
    <w:rsid w:val="000B0750"/>
    <w:rsid w:val="000B2525"/>
    <w:rsid w:val="000B2FDE"/>
    <w:rsid w:val="000B3ED9"/>
    <w:rsid w:val="000B5B0D"/>
    <w:rsid w:val="000B5B9F"/>
    <w:rsid w:val="000B69E1"/>
    <w:rsid w:val="000B7945"/>
    <w:rsid w:val="000C0A29"/>
    <w:rsid w:val="000C5F41"/>
    <w:rsid w:val="000C6361"/>
    <w:rsid w:val="000D018F"/>
    <w:rsid w:val="000D1E27"/>
    <w:rsid w:val="000D2160"/>
    <w:rsid w:val="000D4697"/>
    <w:rsid w:val="000D56A8"/>
    <w:rsid w:val="000E0F2C"/>
    <w:rsid w:val="000E25E4"/>
    <w:rsid w:val="000E2CAE"/>
    <w:rsid w:val="000E4840"/>
    <w:rsid w:val="000E4AB6"/>
    <w:rsid w:val="000E6AAD"/>
    <w:rsid w:val="000E73AC"/>
    <w:rsid w:val="000F1A40"/>
    <w:rsid w:val="000F37EB"/>
    <w:rsid w:val="000F5419"/>
    <w:rsid w:val="000F59DE"/>
    <w:rsid w:val="00101F53"/>
    <w:rsid w:val="0010248F"/>
    <w:rsid w:val="001026B2"/>
    <w:rsid w:val="00103672"/>
    <w:rsid w:val="00103FA7"/>
    <w:rsid w:val="001069CB"/>
    <w:rsid w:val="00106E43"/>
    <w:rsid w:val="0011050E"/>
    <w:rsid w:val="00110D22"/>
    <w:rsid w:val="001116A6"/>
    <w:rsid w:val="001141E4"/>
    <w:rsid w:val="00114317"/>
    <w:rsid w:val="00116760"/>
    <w:rsid w:val="001249F3"/>
    <w:rsid w:val="001253C5"/>
    <w:rsid w:val="001256CD"/>
    <w:rsid w:val="0012648C"/>
    <w:rsid w:val="0012655C"/>
    <w:rsid w:val="00126D9D"/>
    <w:rsid w:val="001276E0"/>
    <w:rsid w:val="001330E5"/>
    <w:rsid w:val="00133773"/>
    <w:rsid w:val="00136B9E"/>
    <w:rsid w:val="00141188"/>
    <w:rsid w:val="00141310"/>
    <w:rsid w:val="00141A86"/>
    <w:rsid w:val="00141F82"/>
    <w:rsid w:val="0014277C"/>
    <w:rsid w:val="00144B21"/>
    <w:rsid w:val="0014510C"/>
    <w:rsid w:val="00145915"/>
    <w:rsid w:val="0014594F"/>
    <w:rsid w:val="00155466"/>
    <w:rsid w:val="00155958"/>
    <w:rsid w:val="001567A0"/>
    <w:rsid w:val="00161CC9"/>
    <w:rsid w:val="0016486E"/>
    <w:rsid w:val="00166711"/>
    <w:rsid w:val="0016732F"/>
    <w:rsid w:val="00170E2F"/>
    <w:rsid w:val="00171D76"/>
    <w:rsid w:val="0017309E"/>
    <w:rsid w:val="001745AE"/>
    <w:rsid w:val="00175A40"/>
    <w:rsid w:val="001769DF"/>
    <w:rsid w:val="00177FB3"/>
    <w:rsid w:val="00184CFF"/>
    <w:rsid w:val="00185AC0"/>
    <w:rsid w:val="00186F15"/>
    <w:rsid w:val="0019007E"/>
    <w:rsid w:val="001921C1"/>
    <w:rsid w:val="0019316D"/>
    <w:rsid w:val="001941DC"/>
    <w:rsid w:val="001947A4"/>
    <w:rsid w:val="00194E67"/>
    <w:rsid w:val="001950D5"/>
    <w:rsid w:val="00196039"/>
    <w:rsid w:val="001971E2"/>
    <w:rsid w:val="001A02A0"/>
    <w:rsid w:val="001A1540"/>
    <w:rsid w:val="001A207F"/>
    <w:rsid w:val="001A3304"/>
    <w:rsid w:val="001A3714"/>
    <w:rsid w:val="001A4420"/>
    <w:rsid w:val="001B147A"/>
    <w:rsid w:val="001B16A5"/>
    <w:rsid w:val="001B3C5B"/>
    <w:rsid w:val="001B442C"/>
    <w:rsid w:val="001B5891"/>
    <w:rsid w:val="001B5C36"/>
    <w:rsid w:val="001B70B6"/>
    <w:rsid w:val="001C3145"/>
    <w:rsid w:val="001C3F84"/>
    <w:rsid w:val="001C4370"/>
    <w:rsid w:val="001D216F"/>
    <w:rsid w:val="001D21C0"/>
    <w:rsid w:val="001D2827"/>
    <w:rsid w:val="001D2F84"/>
    <w:rsid w:val="001D338C"/>
    <w:rsid w:val="001D5255"/>
    <w:rsid w:val="001D6D89"/>
    <w:rsid w:val="001D73B5"/>
    <w:rsid w:val="001E0445"/>
    <w:rsid w:val="001E04F2"/>
    <w:rsid w:val="001E54CB"/>
    <w:rsid w:val="001E59AE"/>
    <w:rsid w:val="001E5E24"/>
    <w:rsid w:val="001E6302"/>
    <w:rsid w:val="001E66E1"/>
    <w:rsid w:val="001F03CE"/>
    <w:rsid w:val="001F1F5D"/>
    <w:rsid w:val="001F2175"/>
    <w:rsid w:val="001F2885"/>
    <w:rsid w:val="001F343E"/>
    <w:rsid w:val="001F4FF5"/>
    <w:rsid w:val="00200116"/>
    <w:rsid w:val="00200C78"/>
    <w:rsid w:val="00201022"/>
    <w:rsid w:val="0020258B"/>
    <w:rsid w:val="002027CA"/>
    <w:rsid w:val="00202BD6"/>
    <w:rsid w:val="002030E8"/>
    <w:rsid w:val="0020425D"/>
    <w:rsid w:val="002050BC"/>
    <w:rsid w:val="00205180"/>
    <w:rsid w:val="00207653"/>
    <w:rsid w:val="00207CA0"/>
    <w:rsid w:val="00211844"/>
    <w:rsid w:val="00211FAD"/>
    <w:rsid w:val="0021250F"/>
    <w:rsid w:val="00212D8E"/>
    <w:rsid w:val="0021443E"/>
    <w:rsid w:val="00214C5D"/>
    <w:rsid w:val="0021608E"/>
    <w:rsid w:val="0022066C"/>
    <w:rsid w:val="00220E3A"/>
    <w:rsid w:val="00222436"/>
    <w:rsid w:val="00222B30"/>
    <w:rsid w:val="00222BE8"/>
    <w:rsid w:val="00222C6F"/>
    <w:rsid w:val="00222F79"/>
    <w:rsid w:val="00225DDE"/>
    <w:rsid w:val="00234694"/>
    <w:rsid w:val="00236440"/>
    <w:rsid w:val="00236689"/>
    <w:rsid w:val="00237143"/>
    <w:rsid w:val="00240256"/>
    <w:rsid w:val="002413E9"/>
    <w:rsid w:val="00243B0A"/>
    <w:rsid w:val="002450E1"/>
    <w:rsid w:val="0024537F"/>
    <w:rsid w:val="00245C71"/>
    <w:rsid w:val="00245E34"/>
    <w:rsid w:val="00247A44"/>
    <w:rsid w:val="002518B4"/>
    <w:rsid w:val="0025255F"/>
    <w:rsid w:val="0025465A"/>
    <w:rsid w:val="00254A2C"/>
    <w:rsid w:val="0025677A"/>
    <w:rsid w:val="00257A14"/>
    <w:rsid w:val="002608E1"/>
    <w:rsid w:val="002615A4"/>
    <w:rsid w:val="002618F5"/>
    <w:rsid w:val="00262CC6"/>
    <w:rsid w:val="00263A7F"/>
    <w:rsid w:val="00266854"/>
    <w:rsid w:val="002706CE"/>
    <w:rsid w:val="00270BC7"/>
    <w:rsid w:val="00272292"/>
    <w:rsid w:val="00272921"/>
    <w:rsid w:val="00272D5B"/>
    <w:rsid w:val="002767C3"/>
    <w:rsid w:val="00276895"/>
    <w:rsid w:val="00276FA6"/>
    <w:rsid w:val="00277535"/>
    <w:rsid w:val="00280617"/>
    <w:rsid w:val="0028265B"/>
    <w:rsid w:val="002843EC"/>
    <w:rsid w:val="00285F8E"/>
    <w:rsid w:val="00286B12"/>
    <w:rsid w:val="00286B1D"/>
    <w:rsid w:val="00287B88"/>
    <w:rsid w:val="00291F97"/>
    <w:rsid w:val="002920A8"/>
    <w:rsid w:val="00292EB8"/>
    <w:rsid w:val="00294857"/>
    <w:rsid w:val="00297B1A"/>
    <w:rsid w:val="00297D1F"/>
    <w:rsid w:val="002A26AC"/>
    <w:rsid w:val="002A3A52"/>
    <w:rsid w:val="002A50BB"/>
    <w:rsid w:val="002A5797"/>
    <w:rsid w:val="002A5E79"/>
    <w:rsid w:val="002A6B0A"/>
    <w:rsid w:val="002A7634"/>
    <w:rsid w:val="002B0D9C"/>
    <w:rsid w:val="002B0ED5"/>
    <w:rsid w:val="002B21E0"/>
    <w:rsid w:val="002B443C"/>
    <w:rsid w:val="002B456D"/>
    <w:rsid w:val="002B566D"/>
    <w:rsid w:val="002B5C9B"/>
    <w:rsid w:val="002B7309"/>
    <w:rsid w:val="002B73F4"/>
    <w:rsid w:val="002C0126"/>
    <w:rsid w:val="002C1FE3"/>
    <w:rsid w:val="002C2549"/>
    <w:rsid w:val="002C4067"/>
    <w:rsid w:val="002C4A50"/>
    <w:rsid w:val="002C7728"/>
    <w:rsid w:val="002C7EAD"/>
    <w:rsid w:val="002D0A66"/>
    <w:rsid w:val="002D0CE8"/>
    <w:rsid w:val="002D10B0"/>
    <w:rsid w:val="002D3454"/>
    <w:rsid w:val="002D3788"/>
    <w:rsid w:val="002D4893"/>
    <w:rsid w:val="002D4C6B"/>
    <w:rsid w:val="002E2B40"/>
    <w:rsid w:val="002E6544"/>
    <w:rsid w:val="002E77A3"/>
    <w:rsid w:val="002E78AA"/>
    <w:rsid w:val="002F414B"/>
    <w:rsid w:val="002F43C4"/>
    <w:rsid w:val="002F4D19"/>
    <w:rsid w:val="002F5044"/>
    <w:rsid w:val="002F58C0"/>
    <w:rsid w:val="002F741C"/>
    <w:rsid w:val="00300F3C"/>
    <w:rsid w:val="00301940"/>
    <w:rsid w:val="00303DC9"/>
    <w:rsid w:val="00304DF5"/>
    <w:rsid w:val="003051BF"/>
    <w:rsid w:val="0031025C"/>
    <w:rsid w:val="003121BD"/>
    <w:rsid w:val="003126FC"/>
    <w:rsid w:val="0031325A"/>
    <w:rsid w:val="003154D5"/>
    <w:rsid w:val="003160B0"/>
    <w:rsid w:val="00317625"/>
    <w:rsid w:val="00320FE3"/>
    <w:rsid w:val="00321B02"/>
    <w:rsid w:val="00321F85"/>
    <w:rsid w:val="00324B89"/>
    <w:rsid w:val="00326323"/>
    <w:rsid w:val="003270C9"/>
    <w:rsid w:val="00327586"/>
    <w:rsid w:val="00327C6C"/>
    <w:rsid w:val="00327E48"/>
    <w:rsid w:val="00331A42"/>
    <w:rsid w:val="0033307D"/>
    <w:rsid w:val="00334094"/>
    <w:rsid w:val="00334335"/>
    <w:rsid w:val="003360A0"/>
    <w:rsid w:val="00336A89"/>
    <w:rsid w:val="003379E7"/>
    <w:rsid w:val="003402D6"/>
    <w:rsid w:val="00341222"/>
    <w:rsid w:val="003414F3"/>
    <w:rsid w:val="00341CEA"/>
    <w:rsid w:val="00341FFE"/>
    <w:rsid w:val="003428BC"/>
    <w:rsid w:val="00342B86"/>
    <w:rsid w:val="0034302B"/>
    <w:rsid w:val="00343AEE"/>
    <w:rsid w:val="003444FA"/>
    <w:rsid w:val="00345DAF"/>
    <w:rsid w:val="00345DC5"/>
    <w:rsid w:val="003466DF"/>
    <w:rsid w:val="00346EE5"/>
    <w:rsid w:val="00352FB7"/>
    <w:rsid w:val="003542D6"/>
    <w:rsid w:val="00354C6F"/>
    <w:rsid w:val="00362BBC"/>
    <w:rsid w:val="003636F9"/>
    <w:rsid w:val="003644A8"/>
    <w:rsid w:val="00366952"/>
    <w:rsid w:val="00370046"/>
    <w:rsid w:val="003712C2"/>
    <w:rsid w:val="00371664"/>
    <w:rsid w:val="00372C56"/>
    <w:rsid w:val="0037384B"/>
    <w:rsid w:val="00376467"/>
    <w:rsid w:val="00380879"/>
    <w:rsid w:val="003811EB"/>
    <w:rsid w:val="00381842"/>
    <w:rsid w:val="00381920"/>
    <w:rsid w:val="003819B5"/>
    <w:rsid w:val="00381A7A"/>
    <w:rsid w:val="00381F46"/>
    <w:rsid w:val="00382AE5"/>
    <w:rsid w:val="003833E4"/>
    <w:rsid w:val="0038439C"/>
    <w:rsid w:val="0038480A"/>
    <w:rsid w:val="00387BB1"/>
    <w:rsid w:val="00387E2A"/>
    <w:rsid w:val="003926AD"/>
    <w:rsid w:val="00394586"/>
    <w:rsid w:val="003947BF"/>
    <w:rsid w:val="00395FB4"/>
    <w:rsid w:val="00396460"/>
    <w:rsid w:val="0039774E"/>
    <w:rsid w:val="003A1F73"/>
    <w:rsid w:val="003A507A"/>
    <w:rsid w:val="003A5108"/>
    <w:rsid w:val="003A5414"/>
    <w:rsid w:val="003B048B"/>
    <w:rsid w:val="003B1135"/>
    <w:rsid w:val="003B1373"/>
    <w:rsid w:val="003B19E6"/>
    <w:rsid w:val="003B1AB4"/>
    <w:rsid w:val="003B2A0C"/>
    <w:rsid w:val="003B375D"/>
    <w:rsid w:val="003B42B0"/>
    <w:rsid w:val="003B654D"/>
    <w:rsid w:val="003B68C8"/>
    <w:rsid w:val="003B76AA"/>
    <w:rsid w:val="003C2DFE"/>
    <w:rsid w:val="003C46AC"/>
    <w:rsid w:val="003C4F22"/>
    <w:rsid w:val="003C5324"/>
    <w:rsid w:val="003D04F6"/>
    <w:rsid w:val="003D215E"/>
    <w:rsid w:val="003D3250"/>
    <w:rsid w:val="003D5453"/>
    <w:rsid w:val="003D5965"/>
    <w:rsid w:val="003D6053"/>
    <w:rsid w:val="003D6F17"/>
    <w:rsid w:val="003D7169"/>
    <w:rsid w:val="003D7FDD"/>
    <w:rsid w:val="003E0EDA"/>
    <w:rsid w:val="003E3578"/>
    <w:rsid w:val="003E4A90"/>
    <w:rsid w:val="003E513F"/>
    <w:rsid w:val="003E530F"/>
    <w:rsid w:val="003E5B79"/>
    <w:rsid w:val="003E5C1F"/>
    <w:rsid w:val="003E5C5A"/>
    <w:rsid w:val="003E7DED"/>
    <w:rsid w:val="003F119C"/>
    <w:rsid w:val="003F1C57"/>
    <w:rsid w:val="003F1EFC"/>
    <w:rsid w:val="003F3B17"/>
    <w:rsid w:val="003F412A"/>
    <w:rsid w:val="003F71D9"/>
    <w:rsid w:val="003F7AAD"/>
    <w:rsid w:val="00400D7C"/>
    <w:rsid w:val="00401E2B"/>
    <w:rsid w:val="00404330"/>
    <w:rsid w:val="0040455A"/>
    <w:rsid w:val="004079A0"/>
    <w:rsid w:val="00407DA4"/>
    <w:rsid w:val="004123B4"/>
    <w:rsid w:val="004155D2"/>
    <w:rsid w:val="0041623A"/>
    <w:rsid w:val="0042278C"/>
    <w:rsid w:val="00422F45"/>
    <w:rsid w:val="0042658C"/>
    <w:rsid w:val="00426C72"/>
    <w:rsid w:val="00431FDA"/>
    <w:rsid w:val="004332BC"/>
    <w:rsid w:val="00434BBF"/>
    <w:rsid w:val="00435C79"/>
    <w:rsid w:val="00437F00"/>
    <w:rsid w:val="004403B8"/>
    <w:rsid w:val="004416C7"/>
    <w:rsid w:val="004417B6"/>
    <w:rsid w:val="00443776"/>
    <w:rsid w:val="00445062"/>
    <w:rsid w:val="00450867"/>
    <w:rsid w:val="00452C02"/>
    <w:rsid w:val="00454F41"/>
    <w:rsid w:val="004569E2"/>
    <w:rsid w:val="004601B4"/>
    <w:rsid w:val="00460507"/>
    <w:rsid w:val="00460618"/>
    <w:rsid w:val="00461674"/>
    <w:rsid w:val="00462F3C"/>
    <w:rsid w:val="004657D3"/>
    <w:rsid w:val="00470B04"/>
    <w:rsid w:val="004728B2"/>
    <w:rsid w:val="00472FCD"/>
    <w:rsid w:val="00473096"/>
    <w:rsid w:val="00473A7F"/>
    <w:rsid w:val="00474FB1"/>
    <w:rsid w:val="00477E0B"/>
    <w:rsid w:val="00480A86"/>
    <w:rsid w:val="0048389B"/>
    <w:rsid w:val="0048580F"/>
    <w:rsid w:val="00485C3B"/>
    <w:rsid w:val="00485D64"/>
    <w:rsid w:val="00491CB9"/>
    <w:rsid w:val="004931C5"/>
    <w:rsid w:val="004944E7"/>
    <w:rsid w:val="00494517"/>
    <w:rsid w:val="004949D3"/>
    <w:rsid w:val="004950AF"/>
    <w:rsid w:val="004959BE"/>
    <w:rsid w:val="004A5619"/>
    <w:rsid w:val="004A5F31"/>
    <w:rsid w:val="004B224C"/>
    <w:rsid w:val="004B6C8A"/>
    <w:rsid w:val="004C07B7"/>
    <w:rsid w:val="004C2C20"/>
    <w:rsid w:val="004C3E49"/>
    <w:rsid w:val="004C5280"/>
    <w:rsid w:val="004C5A2D"/>
    <w:rsid w:val="004C6EBA"/>
    <w:rsid w:val="004D0659"/>
    <w:rsid w:val="004D0952"/>
    <w:rsid w:val="004D1D3C"/>
    <w:rsid w:val="004D1FB2"/>
    <w:rsid w:val="004D31FE"/>
    <w:rsid w:val="004D3B80"/>
    <w:rsid w:val="004D3BC8"/>
    <w:rsid w:val="004D4E49"/>
    <w:rsid w:val="004E337F"/>
    <w:rsid w:val="004E3A60"/>
    <w:rsid w:val="004E4783"/>
    <w:rsid w:val="004E4880"/>
    <w:rsid w:val="004E539F"/>
    <w:rsid w:val="004F0F23"/>
    <w:rsid w:val="004F21F6"/>
    <w:rsid w:val="004F2455"/>
    <w:rsid w:val="004F4E12"/>
    <w:rsid w:val="00501447"/>
    <w:rsid w:val="005025CE"/>
    <w:rsid w:val="005112AB"/>
    <w:rsid w:val="0051245C"/>
    <w:rsid w:val="00515779"/>
    <w:rsid w:val="005175CC"/>
    <w:rsid w:val="005204CC"/>
    <w:rsid w:val="00520D55"/>
    <w:rsid w:val="00525473"/>
    <w:rsid w:val="005267A5"/>
    <w:rsid w:val="005274E9"/>
    <w:rsid w:val="00531A02"/>
    <w:rsid w:val="0053470F"/>
    <w:rsid w:val="00536019"/>
    <w:rsid w:val="005370AC"/>
    <w:rsid w:val="00537EEF"/>
    <w:rsid w:val="00541394"/>
    <w:rsid w:val="00542045"/>
    <w:rsid w:val="00544D6E"/>
    <w:rsid w:val="00545054"/>
    <w:rsid w:val="005468DC"/>
    <w:rsid w:val="00550AE9"/>
    <w:rsid w:val="00551B26"/>
    <w:rsid w:val="005521C2"/>
    <w:rsid w:val="00553A19"/>
    <w:rsid w:val="005551F5"/>
    <w:rsid w:val="005601D0"/>
    <w:rsid w:val="00561F96"/>
    <w:rsid w:val="00562812"/>
    <w:rsid w:val="0056759F"/>
    <w:rsid w:val="0057030A"/>
    <w:rsid w:val="00571B43"/>
    <w:rsid w:val="00572622"/>
    <w:rsid w:val="00573B52"/>
    <w:rsid w:val="0057514F"/>
    <w:rsid w:val="00577143"/>
    <w:rsid w:val="00582384"/>
    <w:rsid w:val="005832BF"/>
    <w:rsid w:val="0058395D"/>
    <w:rsid w:val="005843B6"/>
    <w:rsid w:val="005844E9"/>
    <w:rsid w:val="0058688A"/>
    <w:rsid w:val="00586D2C"/>
    <w:rsid w:val="00591470"/>
    <w:rsid w:val="0059221B"/>
    <w:rsid w:val="00592700"/>
    <w:rsid w:val="0059363F"/>
    <w:rsid w:val="00593F30"/>
    <w:rsid w:val="00594B56"/>
    <w:rsid w:val="0059673F"/>
    <w:rsid w:val="005A1476"/>
    <w:rsid w:val="005A17B1"/>
    <w:rsid w:val="005A2D29"/>
    <w:rsid w:val="005A36E2"/>
    <w:rsid w:val="005A384C"/>
    <w:rsid w:val="005A3CF7"/>
    <w:rsid w:val="005A5149"/>
    <w:rsid w:val="005A523D"/>
    <w:rsid w:val="005A5E7C"/>
    <w:rsid w:val="005A7B5C"/>
    <w:rsid w:val="005B08F8"/>
    <w:rsid w:val="005B1468"/>
    <w:rsid w:val="005B151E"/>
    <w:rsid w:val="005B2779"/>
    <w:rsid w:val="005B28BF"/>
    <w:rsid w:val="005B33EE"/>
    <w:rsid w:val="005B68D8"/>
    <w:rsid w:val="005C09E3"/>
    <w:rsid w:val="005C13DB"/>
    <w:rsid w:val="005C292B"/>
    <w:rsid w:val="005C4C9B"/>
    <w:rsid w:val="005C623C"/>
    <w:rsid w:val="005C6A4E"/>
    <w:rsid w:val="005C6DBF"/>
    <w:rsid w:val="005D0544"/>
    <w:rsid w:val="005D285B"/>
    <w:rsid w:val="005D2A69"/>
    <w:rsid w:val="005D6130"/>
    <w:rsid w:val="005D6AD8"/>
    <w:rsid w:val="005D6D4F"/>
    <w:rsid w:val="005E0382"/>
    <w:rsid w:val="005E0672"/>
    <w:rsid w:val="005E0B49"/>
    <w:rsid w:val="005E13E1"/>
    <w:rsid w:val="005E1539"/>
    <w:rsid w:val="005E24AE"/>
    <w:rsid w:val="005E36E1"/>
    <w:rsid w:val="005E544B"/>
    <w:rsid w:val="005E594A"/>
    <w:rsid w:val="005E69E9"/>
    <w:rsid w:val="005E7B61"/>
    <w:rsid w:val="005F0C20"/>
    <w:rsid w:val="005F1A88"/>
    <w:rsid w:val="005F4609"/>
    <w:rsid w:val="005F51B7"/>
    <w:rsid w:val="005F7BC8"/>
    <w:rsid w:val="005F7FF3"/>
    <w:rsid w:val="00601BA7"/>
    <w:rsid w:val="00602417"/>
    <w:rsid w:val="00604345"/>
    <w:rsid w:val="0061086A"/>
    <w:rsid w:val="00612C4F"/>
    <w:rsid w:val="00613B91"/>
    <w:rsid w:val="00617096"/>
    <w:rsid w:val="006172B0"/>
    <w:rsid w:val="00621092"/>
    <w:rsid w:val="00621EBA"/>
    <w:rsid w:val="00621F5D"/>
    <w:rsid w:val="006221B2"/>
    <w:rsid w:val="00622B38"/>
    <w:rsid w:val="00622D76"/>
    <w:rsid w:val="00624115"/>
    <w:rsid w:val="0062466F"/>
    <w:rsid w:val="006302DE"/>
    <w:rsid w:val="006304D1"/>
    <w:rsid w:val="00633245"/>
    <w:rsid w:val="006350E7"/>
    <w:rsid w:val="00642500"/>
    <w:rsid w:val="006426F2"/>
    <w:rsid w:val="006429DE"/>
    <w:rsid w:val="00642DA6"/>
    <w:rsid w:val="006435E8"/>
    <w:rsid w:val="0064617B"/>
    <w:rsid w:val="00651FCE"/>
    <w:rsid w:val="00652E3C"/>
    <w:rsid w:val="00655106"/>
    <w:rsid w:val="006566C3"/>
    <w:rsid w:val="0065670C"/>
    <w:rsid w:val="0066010A"/>
    <w:rsid w:val="00660CED"/>
    <w:rsid w:val="0066165F"/>
    <w:rsid w:val="00661A6A"/>
    <w:rsid w:val="00663F28"/>
    <w:rsid w:val="006663C2"/>
    <w:rsid w:val="0067262F"/>
    <w:rsid w:val="0067269D"/>
    <w:rsid w:val="00672B71"/>
    <w:rsid w:val="006732CA"/>
    <w:rsid w:val="00674E22"/>
    <w:rsid w:val="00674F12"/>
    <w:rsid w:val="00675EB8"/>
    <w:rsid w:val="00676924"/>
    <w:rsid w:val="00677589"/>
    <w:rsid w:val="00682DFD"/>
    <w:rsid w:val="006830A4"/>
    <w:rsid w:val="00683A3F"/>
    <w:rsid w:val="00684165"/>
    <w:rsid w:val="0068597B"/>
    <w:rsid w:val="00690049"/>
    <w:rsid w:val="00690AA8"/>
    <w:rsid w:val="0069277F"/>
    <w:rsid w:val="006928EE"/>
    <w:rsid w:val="0069327E"/>
    <w:rsid w:val="006934AF"/>
    <w:rsid w:val="00694C79"/>
    <w:rsid w:val="006956C7"/>
    <w:rsid w:val="00695ACC"/>
    <w:rsid w:val="00695C5A"/>
    <w:rsid w:val="00697741"/>
    <w:rsid w:val="006A126E"/>
    <w:rsid w:val="006A2081"/>
    <w:rsid w:val="006A36BD"/>
    <w:rsid w:val="006A6BF5"/>
    <w:rsid w:val="006A7C34"/>
    <w:rsid w:val="006B1881"/>
    <w:rsid w:val="006B3D1D"/>
    <w:rsid w:val="006C44C5"/>
    <w:rsid w:val="006D5712"/>
    <w:rsid w:val="006D6263"/>
    <w:rsid w:val="006D6B74"/>
    <w:rsid w:val="006E1081"/>
    <w:rsid w:val="006E1DFC"/>
    <w:rsid w:val="006E2B43"/>
    <w:rsid w:val="006E36BF"/>
    <w:rsid w:val="006E4244"/>
    <w:rsid w:val="006E48AB"/>
    <w:rsid w:val="006E6397"/>
    <w:rsid w:val="006E7FD2"/>
    <w:rsid w:val="006F16E4"/>
    <w:rsid w:val="006F197F"/>
    <w:rsid w:val="006F2697"/>
    <w:rsid w:val="006F5793"/>
    <w:rsid w:val="006F5BEB"/>
    <w:rsid w:val="006F6CAB"/>
    <w:rsid w:val="00700AAF"/>
    <w:rsid w:val="00700E60"/>
    <w:rsid w:val="00701789"/>
    <w:rsid w:val="007041AE"/>
    <w:rsid w:val="00704D2A"/>
    <w:rsid w:val="007052E6"/>
    <w:rsid w:val="007055F9"/>
    <w:rsid w:val="00705632"/>
    <w:rsid w:val="007063AD"/>
    <w:rsid w:val="007067AC"/>
    <w:rsid w:val="007070DE"/>
    <w:rsid w:val="00707D4B"/>
    <w:rsid w:val="0071027C"/>
    <w:rsid w:val="007109FE"/>
    <w:rsid w:val="007111F9"/>
    <w:rsid w:val="007113B2"/>
    <w:rsid w:val="00712917"/>
    <w:rsid w:val="00714B63"/>
    <w:rsid w:val="00714C5A"/>
    <w:rsid w:val="00714F68"/>
    <w:rsid w:val="007154CB"/>
    <w:rsid w:val="00716ED5"/>
    <w:rsid w:val="00720E79"/>
    <w:rsid w:val="00721040"/>
    <w:rsid w:val="007228BE"/>
    <w:rsid w:val="00723457"/>
    <w:rsid w:val="00723B98"/>
    <w:rsid w:val="00724C8E"/>
    <w:rsid w:val="00725425"/>
    <w:rsid w:val="0072559B"/>
    <w:rsid w:val="00726938"/>
    <w:rsid w:val="00726B1A"/>
    <w:rsid w:val="00727A40"/>
    <w:rsid w:val="00731B04"/>
    <w:rsid w:val="00731E9F"/>
    <w:rsid w:val="007323E5"/>
    <w:rsid w:val="007357F0"/>
    <w:rsid w:val="007404F0"/>
    <w:rsid w:val="00741728"/>
    <w:rsid w:val="00742A54"/>
    <w:rsid w:val="0074532F"/>
    <w:rsid w:val="00746ADB"/>
    <w:rsid w:val="007479BB"/>
    <w:rsid w:val="007501A7"/>
    <w:rsid w:val="00750699"/>
    <w:rsid w:val="00752D2B"/>
    <w:rsid w:val="007549D9"/>
    <w:rsid w:val="00754CB9"/>
    <w:rsid w:val="00754D3F"/>
    <w:rsid w:val="007558EC"/>
    <w:rsid w:val="00755BF0"/>
    <w:rsid w:val="007609ED"/>
    <w:rsid w:val="00760EDB"/>
    <w:rsid w:val="007636E2"/>
    <w:rsid w:val="007648CE"/>
    <w:rsid w:val="007659E3"/>
    <w:rsid w:val="00766B19"/>
    <w:rsid w:val="0076709C"/>
    <w:rsid w:val="007730FB"/>
    <w:rsid w:val="00774A5D"/>
    <w:rsid w:val="007775F1"/>
    <w:rsid w:val="00777868"/>
    <w:rsid w:val="007813F0"/>
    <w:rsid w:val="00781DD7"/>
    <w:rsid w:val="00782A2B"/>
    <w:rsid w:val="00783097"/>
    <w:rsid w:val="007846AF"/>
    <w:rsid w:val="00787228"/>
    <w:rsid w:val="00787576"/>
    <w:rsid w:val="007905D7"/>
    <w:rsid w:val="00791257"/>
    <w:rsid w:val="00792706"/>
    <w:rsid w:val="00792AD3"/>
    <w:rsid w:val="00793169"/>
    <w:rsid w:val="00796915"/>
    <w:rsid w:val="00796FAB"/>
    <w:rsid w:val="00797005"/>
    <w:rsid w:val="007975B2"/>
    <w:rsid w:val="00797DF7"/>
    <w:rsid w:val="007A13D7"/>
    <w:rsid w:val="007A3DE0"/>
    <w:rsid w:val="007A464D"/>
    <w:rsid w:val="007A6FBA"/>
    <w:rsid w:val="007B041B"/>
    <w:rsid w:val="007B1AC4"/>
    <w:rsid w:val="007B3EF6"/>
    <w:rsid w:val="007B42B3"/>
    <w:rsid w:val="007B4FE4"/>
    <w:rsid w:val="007B5627"/>
    <w:rsid w:val="007B5691"/>
    <w:rsid w:val="007C1CE4"/>
    <w:rsid w:val="007C2723"/>
    <w:rsid w:val="007D08B1"/>
    <w:rsid w:val="007D1165"/>
    <w:rsid w:val="007D2AE1"/>
    <w:rsid w:val="007D4D8F"/>
    <w:rsid w:val="007D6093"/>
    <w:rsid w:val="007D66EE"/>
    <w:rsid w:val="007E031B"/>
    <w:rsid w:val="007E249A"/>
    <w:rsid w:val="007E2DE6"/>
    <w:rsid w:val="007E39D0"/>
    <w:rsid w:val="007E44B0"/>
    <w:rsid w:val="007E694C"/>
    <w:rsid w:val="007E6CF5"/>
    <w:rsid w:val="007E7032"/>
    <w:rsid w:val="007E7480"/>
    <w:rsid w:val="007E7FAD"/>
    <w:rsid w:val="007F01EE"/>
    <w:rsid w:val="007F16C3"/>
    <w:rsid w:val="007F248B"/>
    <w:rsid w:val="007F2E2F"/>
    <w:rsid w:val="007F4753"/>
    <w:rsid w:val="007F48E2"/>
    <w:rsid w:val="007F573F"/>
    <w:rsid w:val="007F68F1"/>
    <w:rsid w:val="007F6BC9"/>
    <w:rsid w:val="007F7F58"/>
    <w:rsid w:val="00801955"/>
    <w:rsid w:val="008020FA"/>
    <w:rsid w:val="00802958"/>
    <w:rsid w:val="00802DE8"/>
    <w:rsid w:val="00804749"/>
    <w:rsid w:val="00806DD4"/>
    <w:rsid w:val="00810507"/>
    <w:rsid w:val="008110E4"/>
    <w:rsid w:val="00811C36"/>
    <w:rsid w:val="00812708"/>
    <w:rsid w:val="00814AE1"/>
    <w:rsid w:val="00817592"/>
    <w:rsid w:val="00820996"/>
    <w:rsid w:val="00821F8E"/>
    <w:rsid w:val="00823FC4"/>
    <w:rsid w:val="00824972"/>
    <w:rsid w:val="0082612D"/>
    <w:rsid w:val="00826427"/>
    <w:rsid w:val="0083017C"/>
    <w:rsid w:val="00830662"/>
    <w:rsid w:val="008339AC"/>
    <w:rsid w:val="008352CB"/>
    <w:rsid w:val="008354AE"/>
    <w:rsid w:val="008356C6"/>
    <w:rsid w:val="00840410"/>
    <w:rsid w:val="00840B19"/>
    <w:rsid w:val="008411ED"/>
    <w:rsid w:val="0084308D"/>
    <w:rsid w:val="00844061"/>
    <w:rsid w:val="00846B13"/>
    <w:rsid w:val="00850DD5"/>
    <w:rsid w:val="00850EE6"/>
    <w:rsid w:val="00851AE8"/>
    <w:rsid w:val="00852B90"/>
    <w:rsid w:val="00854C32"/>
    <w:rsid w:val="008572DA"/>
    <w:rsid w:val="00861070"/>
    <w:rsid w:val="00861B29"/>
    <w:rsid w:val="008628A6"/>
    <w:rsid w:val="008635DB"/>
    <w:rsid w:val="00864A38"/>
    <w:rsid w:val="00866B16"/>
    <w:rsid w:val="0087096F"/>
    <w:rsid w:val="00881BAF"/>
    <w:rsid w:val="0088210B"/>
    <w:rsid w:val="008840EF"/>
    <w:rsid w:val="00886073"/>
    <w:rsid w:val="00887555"/>
    <w:rsid w:val="00887AF0"/>
    <w:rsid w:val="008901AD"/>
    <w:rsid w:val="00890685"/>
    <w:rsid w:val="008927C6"/>
    <w:rsid w:val="00892D8A"/>
    <w:rsid w:val="00893D21"/>
    <w:rsid w:val="00893DF5"/>
    <w:rsid w:val="008943DD"/>
    <w:rsid w:val="008959D3"/>
    <w:rsid w:val="008A14A1"/>
    <w:rsid w:val="008A224A"/>
    <w:rsid w:val="008A22EB"/>
    <w:rsid w:val="008A2F52"/>
    <w:rsid w:val="008A3559"/>
    <w:rsid w:val="008A451B"/>
    <w:rsid w:val="008A63D8"/>
    <w:rsid w:val="008A676B"/>
    <w:rsid w:val="008B1311"/>
    <w:rsid w:val="008B4440"/>
    <w:rsid w:val="008B5C4C"/>
    <w:rsid w:val="008B6290"/>
    <w:rsid w:val="008B6A28"/>
    <w:rsid w:val="008C1422"/>
    <w:rsid w:val="008C1D70"/>
    <w:rsid w:val="008C28EB"/>
    <w:rsid w:val="008C2A4A"/>
    <w:rsid w:val="008C6D0D"/>
    <w:rsid w:val="008C7079"/>
    <w:rsid w:val="008C7BAF"/>
    <w:rsid w:val="008D05F3"/>
    <w:rsid w:val="008D0969"/>
    <w:rsid w:val="008D2EB0"/>
    <w:rsid w:val="008D5B28"/>
    <w:rsid w:val="008D5E83"/>
    <w:rsid w:val="008D6450"/>
    <w:rsid w:val="008D6C80"/>
    <w:rsid w:val="008E0474"/>
    <w:rsid w:val="008E1454"/>
    <w:rsid w:val="008E370F"/>
    <w:rsid w:val="008E6F2C"/>
    <w:rsid w:val="008F2D4B"/>
    <w:rsid w:val="008F430B"/>
    <w:rsid w:val="008F6E03"/>
    <w:rsid w:val="009004AD"/>
    <w:rsid w:val="00900BB4"/>
    <w:rsid w:val="009017F2"/>
    <w:rsid w:val="0090303F"/>
    <w:rsid w:val="0090423A"/>
    <w:rsid w:val="00906B8E"/>
    <w:rsid w:val="00912970"/>
    <w:rsid w:val="0091384F"/>
    <w:rsid w:val="00913F65"/>
    <w:rsid w:val="00914D1B"/>
    <w:rsid w:val="00921846"/>
    <w:rsid w:val="00922010"/>
    <w:rsid w:val="0092223E"/>
    <w:rsid w:val="00922AF1"/>
    <w:rsid w:val="0092443D"/>
    <w:rsid w:val="009253F7"/>
    <w:rsid w:val="00927B45"/>
    <w:rsid w:val="00931CF5"/>
    <w:rsid w:val="0093354F"/>
    <w:rsid w:val="00933A14"/>
    <w:rsid w:val="00933AAD"/>
    <w:rsid w:val="00934665"/>
    <w:rsid w:val="00936ECE"/>
    <w:rsid w:val="0093732A"/>
    <w:rsid w:val="00940FDF"/>
    <w:rsid w:val="0094162D"/>
    <w:rsid w:val="0094216D"/>
    <w:rsid w:val="00942C3D"/>
    <w:rsid w:val="00943EC3"/>
    <w:rsid w:val="0094659E"/>
    <w:rsid w:val="009465F4"/>
    <w:rsid w:val="00946BBE"/>
    <w:rsid w:val="009477B6"/>
    <w:rsid w:val="00947843"/>
    <w:rsid w:val="00950461"/>
    <w:rsid w:val="00951C5D"/>
    <w:rsid w:val="00952696"/>
    <w:rsid w:val="00956B0F"/>
    <w:rsid w:val="00957D00"/>
    <w:rsid w:val="00961656"/>
    <w:rsid w:val="00963876"/>
    <w:rsid w:val="00964012"/>
    <w:rsid w:val="00967F03"/>
    <w:rsid w:val="009710A8"/>
    <w:rsid w:val="00971257"/>
    <w:rsid w:val="00972375"/>
    <w:rsid w:val="00972B8D"/>
    <w:rsid w:val="00973D15"/>
    <w:rsid w:val="009761D8"/>
    <w:rsid w:val="00977F97"/>
    <w:rsid w:val="0098263F"/>
    <w:rsid w:val="0098357C"/>
    <w:rsid w:val="009851D6"/>
    <w:rsid w:val="0098733A"/>
    <w:rsid w:val="00987BE7"/>
    <w:rsid w:val="00987D9B"/>
    <w:rsid w:val="00990D1F"/>
    <w:rsid w:val="00990FA4"/>
    <w:rsid w:val="00991261"/>
    <w:rsid w:val="0099159A"/>
    <w:rsid w:val="00992A51"/>
    <w:rsid w:val="009A079A"/>
    <w:rsid w:val="009A2478"/>
    <w:rsid w:val="009A4A89"/>
    <w:rsid w:val="009A5916"/>
    <w:rsid w:val="009A6B7B"/>
    <w:rsid w:val="009B1767"/>
    <w:rsid w:val="009B443D"/>
    <w:rsid w:val="009B57B6"/>
    <w:rsid w:val="009B5EB0"/>
    <w:rsid w:val="009B686F"/>
    <w:rsid w:val="009C0F5C"/>
    <w:rsid w:val="009C295D"/>
    <w:rsid w:val="009C3E00"/>
    <w:rsid w:val="009C55DA"/>
    <w:rsid w:val="009C76E8"/>
    <w:rsid w:val="009C7763"/>
    <w:rsid w:val="009D0CD6"/>
    <w:rsid w:val="009D1702"/>
    <w:rsid w:val="009D19A0"/>
    <w:rsid w:val="009D1CC2"/>
    <w:rsid w:val="009D228E"/>
    <w:rsid w:val="009D2957"/>
    <w:rsid w:val="009D414C"/>
    <w:rsid w:val="009E0222"/>
    <w:rsid w:val="009E1246"/>
    <w:rsid w:val="009E1C5C"/>
    <w:rsid w:val="009E3A5B"/>
    <w:rsid w:val="009E43ED"/>
    <w:rsid w:val="009E48E2"/>
    <w:rsid w:val="009E4D51"/>
    <w:rsid w:val="009E5034"/>
    <w:rsid w:val="009E540B"/>
    <w:rsid w:val="009E6C14"/>
    <w:rsid w:val="009F027C"/>
    <w:rsid w:val="009F0290"/>
    <w:rsid w:val="009F1416"/>
    <w:rsid w:val="009F252D"/>
    <w:rsid w:val="009F7B20"/>
    <w:rsid w:val="00A00B15"/>
    <w:rsid w:val="00A03610"/>
    <w:rsid w:val="00A06401"/>
    <w:rsid w:val="00A07E30"/>
    <w:rsid w:val="00A12961"/>
    <w:rsid w:val="00A151AD"/>
    <w:rsid w:val="00A165E9"/>
    <w:rsid w:val="00A17383"/>
    <w:rsid w:val="00A21FCA"/>
    <w:rsid w:val="00A23F7C"/>
    <w:rsid w:val="00A26DFF"/>
    <w:rsid w:val="00A27F2A"/>
    <w:rsid w:val="00A32145"/>
    <w:rsid w:val="00A322AC"/>
    <w:rsid w:val="00A3384D"/>
    <w:rsid w:val="00A33DDD"/>
    <w:rsid w:val="00A35C15"/>
    <w:rsid w:val="00A361B0"/>
    <w:rsid w:val="00A37302"/>
    <w:rsid w:val="00A376AB"/>
    <w:rsid w:val="00A41E1B"/>
    <w:rsid w:val="00A43088"/>
    <w:rsid w:val="00A4386F"/>
    <w:rsid w:val="00A44FC0"/>
    <w:rsid w:val="00A4558E"/>
    <w:rsid w:val="00A45C85"/>
    <w:rsid w:val="00A46072"/>
    <w:rsid w:val="00A51856"/>
    <w:rsid w:val="00A51FFB"/>
    <w:rsid w:val="00A53DD8"/>
    <w:rsid w:val="00A555AF"/>
    <w:rsid w:val="00A5579A"/>
    <w:rsid w:val="00A57D7F"/>
    <w:rsid w:val="00A619FD"/>
    <w:rsid w:val="00A6327A"/>
    <w:rsid w:val="00A64ED9"/>
    <w:rsid w:val="00A6514E"/>
    <w:rsid w:val="00A666D9"/>
    <w:rsid w:val="00A66E98"/>
    <w:rsid w:val="00A70B1F"/>
    <w:rsid w:val="00A71BDC"/>
    <w:rsid w:val="00A72CC4"/>
    <w:rsid w:val="00A7631E"/>
    <w:rsid w:val="00A764B2"/>
    <w:rsid w:val="00A7694C"/>
    <w:rsid w:val="00A77738"/>
    <w:rsid w:val="00A80369"/>
    <w:rsid w:val="00A80D9B"/>
    <w:rsid w:val="00A810A2"/>
    <w:rsid w:val="00A81243"/>
    <w:rsid w:val="00A81285"/>
    <w:rsid w:val="00A81E52"/>
    <w:rsid w:val="00A83E41"/>
    <w:rsid w:val="00A83EB5"/>
    <w:rsid w:val="00A85C4C"/>
    <w:rsid w:val="00A861DE"/>
    <w:rsid w:val="00A866C2"/>
    <w:rsid w:val="00A9151C"/>
    <w:rsid w:val="00A91E17"/>
    <w:rsid w:val="00A92357"/>
    <w:rsid w:val="00A92501"/>
    <w:rsid w:val="00A93CE4"/>
    <w:rsid w:val="00A96223"/>
    <w:rsid w:val="00A9659C"/>
    <w:rsid w:val="00AA2C3F"/>
    <w:rsid w:val="00AA5DB9"/>
    <w:rsid w:val="00AB10CB"/>
    <w:rsid w:val="00AB14B3"/>
    <w:rsid w:val="00AB1E3E"/>
    <w:rsid w:val="00AB3E41"/>
    <w:rsid w:val="00AB4764"/>
    <w:rsid w:val="00AB4F0D"/>
    <w:rsid w:val="00AB5F84"/>
    <w:rsid w:val="00AB6B3D"/>
    <w:rsid w:val="00AB7641"/>
    <w:rsid w:val="00AC0301"/>
    <w:rsid w:val="00AC36D4"/>
    <w:rsid w:val="00AC4033"/>
    <w:rsid w:val="00AC7487"/>
    <w:rsid w:val="00AD0AC1"/>
    <w:rsid w:val="00AD1DB7"/>
    <w:rsid w:val="00AD23FA"/>
    <w:rsid w:val="00AD3D88"/>
    <w:rsid w:val="00AD4A8C"/>
    <w:rsid w:val="00AD4B68"/>
    <w:rsid w:val="00AD779C"/>
    <w:rsid w:val="00AD7DBA"/>
    <w:rsid w:val="00AE3DBB"/>
    <w:rsid w:val="00AE402C"/>
    <w:rsid w:val="00AE5214"/>
    <w:rsid w:val="00AE60FB"/>
    <w:rsid w:val="00AF1A4E"/>
    <w:rsid w:val="00AF1D13"/>
    <w:rsid w:val="00AF252B"/>
    <w:rsid w:val="00AF3A0F"/>
    <w:rsid w:val="00AF4402"/>
    <w:rsid w:val="00AF6038"/>
    <w:rsid w:val="00B006B3"/>
    <w:rsid w:val="00B00F8C"/>
    <w:rsid w:val="00B0198D"/>
    <w:rsid w:val="00B0305D"/>
    <w:rsid w:val="00B0320C"/>
    <w:rsid w:val="00B03210"/>
    <w:rsid w:val="00B0499B"/>
    <w:rsid w:val="00B078AB"/>
    <w:rsid w:val="00B13F09"/>
    <w:rsid w:val="00B14A3C"/>
    <w:rsid w:val="00B207E9"/>
    <w:rsid w:val="00B24C43"/>
    <w:rsid w:val="00B30625"/>
    <w:rsid w:val="00B309D0"/>
    <w:rsid w:val="00B3282D"/>
    <w:rsid w:val="00B32BAE"/>
    <w:rsid w:val="00B33D68"/>
    <w:rsid w:val="00B346A8"/>
    <w:rsid w:val="00B355E6"/>
    <w:rsid w:val="00B36961"/>
    <w:rsid w:val="00B37B4A"/>
    <w:rsid w:val="00B37F26"/>
    <w:rsid w:val="00B40023"/>
    <w:rsid w:val="00B4003C"/>
    <w:rsid w:val="00B40CA1"/>
    <w:rsid w:val="00B40D43"/>
    <w:rsid w:val="00B44DF6"/>
    <w:rsid w:val="00B4500B"/>
    <w:rsid w:val="00B464DA"/>
    <w:rsid w:val="00B46D8B"/>
    <w:rsid w:val="00B51718"/>
    <w:rsid w:val="00B53D78"/>
    <w:rsid w:val="00B5450F"/>
    <w:rsid w:val="00B6173A"/>
    <w:rsid w:val="00B63321"/>
    <w:rsid w:val="00B65308"/>
    <w:rsid w:val="00B66751"/>
    <w:rsid w:val="00B679F1"/>
    <w:rsid w:val="00B70718"/>
    <w:rsid w:val="00B721FD"/>
    <w:rsid w:val="00B72B90"/>
    <w:rsid w:val="00B750E7"/>
    <w:rsid w:val="00B75688"/>
    <w:rsid w:val="00B7582A"/>
    <w:rsid w:val="00B80395"/>
    <w:rsid w:val="00B8064E"/>
    <w:rsid w:val="00B81866"/>
    <w:rsid w:val="00B83289"/>
    <w:rsid w:val="00B84869"/>
    <w:rsid w:val="00B8610A"/>
    <w:rsid w:val="00B86ED9"/>
    <w:rsid w:val="00B907DD"/>
    <w:rsid w:val="00B92C6A"/>
    <w:rsid w:val="00B93800"/>
    <w:rsid w:val="00B96EBC"/>
    <w:rsid w:val="00BA0483"/>
    <w:rsid w:val="00BA051E"/>
    <w:rsid w:val="00BA0B62"/>
    <w:rsid w:val="00BA160B"/>
    <w:rsid w:val="00BA43D7"/>
    <w:rsid w:val="00BA684A"/>
    <w:rsid w:val="00BB219D"/>
    <w:rsid w:val="00BB229D"/>
    <w:rsid w:val="00BB330C"/>
    <w:rsid w:val="00BB40D6"/>
    <w:rsid w:val="00BB4C03"/>
    <w:rsid w:val="00BB79B3"/>
    <w:rsid w:val="00BC07D6"/>
    <w:rsid w:val="00BC2D95"/>
    <w:rsid w:val="00BC34E0"/>
    <w:rsid w:val="00BC398A"/>
    <w:rsid w:val="00BC6EB2"/>
    <w:rsid w:val="00BD27E3"/>
    <w:rsid w:val="00BD3694"/>
    <w:rsid w:val="00BE046F"/>
    <w:rsid w:val="00BE0B6A"/>
    <w:rsid w:val="00BE2D2F"/>
    <w:rsid w:val="00BE524F"/>
    <w:rsid w:val="00BE5A5D"/>
    <w:rsid w:val="00BF2C33"/>
    <w:rsid w:val="00BF474B"/>
    <w:rsid w:val="00C01223"/>
    <w:rsid w:val="00C02214"/>
    <w:rsid w:val="00C023BE"/>
    <w:rsid w:val="00C028F6"/>
    <w:rsid w:val="00C03FCF"/>
    <w:rsid w:val="00C0415C"/>
    <w:rsid w:val="00C05219"/>
    <w:rsid w:val="00C0587E"/>
    <w:rsid w:val="00C05DAE"/>
    <w:rsid w:val="00C06BD4"/>
    <w:rsid w:val="00C06F0F"/>
    <w:rsid w:val="00C077C7"/>
    <w:rsid w:val="00C07B38"/>
    <w:rsid w:val="00C10BD6"/>
    <w:rsid w:val="00C10DDB"/>
    <w:rsid w:val="00C110B8"/>
    <w:rsid w:val="00C125A8"/>
    <w:rsid w:val="00C133DA"/>
    <w:rsid w:val="00C15E0C"/>
    <w:rsid w:val="00C169FF"/>
    <w:rsid w:val="00C16B9B"/>
    <w:rsid w:val="00C17C17"/>
    <w:rsid w:val="00C213DA"/>
    <w:rsid w:val="00C2236D"/>
    <w:rsid w:val="00C22CA8"/>
    <w:rsid w:val="00C25996"/>
    <w:rsid w:val="00C25E3F"/>
    <w:rsid w:val="00C26F2B"/>
    <w:rsid w:val="00C3106D"/>
    <w:rsid w:val="00C3118C"/>
    <w:rsid w:val="00C31496"/>
    <w:rsid w:val="00C341B8"/>
    <w:rsid w:val="00C3529B"/>
    <w:rsid w:val="00C35404"/>
    <w:rsid w:val="00C3578E"/>
    <w:rsid w:val="00C379D8"/>
    <w:rsid w:val="00C37D39"/>
    <w:rsid w:val="00C431AE"/>
    <w:rsid w:val="00C4423D"/>
    <w:rsid w:val="00C442C0"/>
    <w:rsid w:val="00C453EC"/>
    <w:rsid w:val="00C515B6"/>
    <w:rsid w:val="00C51A3D"/>
    <w:rsid w:val="00C52769"/>
    <w:rsid w:val="00C53B4A"/>
    <w:rsid w:val="00C542CE"/>
    <w:rsid w:val="00C543F1"/>
    <w:rsid w:val="00C56FED"/>
    <w:rsid w:val="00C57062"/>
    <w:rsid w:val="00C57356"/>
    <w:rsid w:val="00C60432"/>
    <w:rsid w:val="00C61321"/>
    <w:rsid w:val="00C61EA6"/>
    <w:rsid w:val="00C6250A"/>
    <w:rsid w:val="00C62A7C"/>
    <w:rsid w:val="00C6347A"/>
    <w:rsid w:val="00C63F42"/>
    <w:rsid w:val="00C64C82"/>
    <w:rsid w:val="00C6579D"/>
    <w:rsid w:val="00C65AC7"/>
    <w:rsid w:val="00C66CC4"/>
    <w:rsid w:val="00C672E3"/>
    <w:rsid w:val="00C70009"/>
    <w:rsid w:val="00C709C0"/>
    <w:rsid w:val="00C7223F"/>
    <w:rsid w:val="00C723FF"/>
    <w:rsid w:val="00C72A98"/>
    <w:rsid w:val="00C75298"/>
    <w:rsid w:val="00C7681A"/>
    <w:rsid w:val="00C83DDB"/>
    <w:rsid w:val="00C85B34"/>
    <w:rsid w:val="00C90221"/>
    <w:rsid w:val="00C91848"/>
    <w:rsid w:val="00C919CB"/>
    <w:rsid w:val="00C93AB0"/>
    <w:rsid w:val="00C940ED"/>
    <w:rsid w:val="00C9442B"/>
    <w:rsid w:val="00CA02C9"/>
    <w:rsid w:val="00CA31B1"/>
    <w:rsid w:val="00CA4C8D"/>
    <w:rsid w:val="00CB0854"/>
    <w:rsid w:val="00CB244C"/>
    <w:rsid w:val="00CB39D6"/>
    <w:rsid w:val="00CB73AA"/>
    <w:rsid w:val="00CB7E38"/>
    <w:rsid w:val="00CC06A3"/>
    <w:rsid w:val="00CC0C35"/>
    <w:rsid w:val="00CC1242"/>
    <w:rsid w:val="00CC1BE1"/>
    <w:rsid w:val="00CC2D6F"/>
    <w:rsid w:val="00CC391A"/>
    <w:rsid w:val="00CC7BE5"/>
    <w:rsid w:val="00CC7D9E"/>
    <w:rsid w:val="00CD13BE"/>
    <w:rsid w:val="00CD1BB6"/>
    <w:rsid w:val="00CD40EF"/>
    <w:rsid w:val="00CD751A"/>
    <w:rsid w:val="00CE0298"/>
    <w:rsid w:val="00CE16CD"/>
    <w:rsid w:val="00CE2FF0"/>
    <w:rsid w:val="00CE3503"/>
    <w:rsid w:val="00CE5640"/>
    <w:rsid w:val="00CE5BB9"/>
    <w:rsid w:val="00CE681B"/>
    <w:rsid w:val="00CF2BAE"/>
    <w:rsid w:val="00CF309B"/>
    <w:rsid w:val="00CF53B7"/>
    <w:rsid w:val="00CF5906"/>
    <w:rsid w:val="00CF60A9"/>
    <w:rsid w:val="00CF7D7A"/>
    <w:rsid w:val="00D00E55"/>
    <w:rsid w:val="00D01C7B"/>
    <w:rsid w:val="00D01DF8"/>
    <w:rsid w:val="00D0412F"/>
    <w:rsid w:val="00D05ED0"/>
    <w:rsid w:val="00D05FB9"/>
    <w:rsid w:val="00D06747"/>
    <w:rsid w:val="00D06E1C"/>
    <w:rsid w:val="00D0718E"/>
    <w:rsid w:val="00D0763F"/>
    <w:rsid w:val="00D10879"/>
    <w:rsid w:val="00D13C0C"/>
    <w:rsid w:val="00D16899"/>
    <w:rsid w:val="00D17E69"/>
    <w:rsid w:val="00D17EF6"/>
    <w:rsid w:val="00D2163D"/>
    <w:rsid w:val="00D24151"/>
    <w:rsid w:val="00D254BA"/>
    <w:rsid w:val="00D25597"/>
    <w:rsid w:val="00D27702"/>
    <w:rsid w:val="00D27E09"/>
    <w:rsid w:val="00D3099B"/>
    <w:rsid w:val="00D310B7"/>
    <w:rsid w:val="00D3188D"/>
    <w:rsid w:val="00D3326B"/>
    <w:rsid w:val="00D349F4"/>
    <w:rsid w:val="00D35DE3"/>
    <w:rsid w:val="00D36341"/>
    <w:rsid w:val="00D43073"/>
    <w:rsid w:val="00D44B82"/>
    <w:rsid w:val="00D460CA"/>
    <w:rsid w:val="00D46160"/>
    <w:rsid w:val="00D476C4"/>
    <w:rsid w:val="00D47B76"/>
    <w:rsid w:val="00D51622"/>
    <w:rsid w:val="00D52490"/>
    <w:rsid w:val="00D52919"/>
    <w:rsid w:val="00D53FC2"/>
    <w:rsid w:val="00D54A50"/>
    <w:rsid w:val="00D56F1A"/>
    <w:rsid w:val="00D57624"/>
    <w:rsid w:val="00D63DB2"/>
    <w:rsid w:val="00D6500E"/>
    <w:rsid w:val="00D66307"/>
    <w:rsid w:val="00D6752A"/>
    <w:rsid w:val="00D67C6E"/>
    <w:rsid w:val="00D705B0"/>
    <w:rsid w:val="00D70E1E"/>
    <w:rsid w:val="00D71368"/>
    <w:rsid w:val="00D716E8"/>
    <w:rsid w:val="00D72F1B"/>
    <w:rsid w:val="00D74057"/>
    <w:rsid w:val="00D7436B"/>
    <w:rsid w:val="00D8106A"/>
    <w:rsid w:val="00D81AB5"/>
    <w:rsid w:val="00D82FCD"/>
    <w:rsid w:val="00D86C4E"/>
    <w:rsid w:val="00D86FA7"/>
    <w:rsid w:val="00D902F6"/>
    <w:rsid w:val="00D9155F"/>
    <w:rsid w:val="00D91772"/>
    <w:rsid w:val="00D92952"/>
    <w:rsid w:val="00D9383F"/>
    <w:rsid w:val="00D93F4E"/>
    <w:rsid w:val="00D95798"/>
    <w:rsid w:val="00D97FF8"/>
    <w:rsid w:val="00DA079C"/>
    <w:rsid w:val="00DA4C2A"/>
    <w:rsid w:val="00DA56F9"/>
    <w:rsid w:val="00DB0C94"/>
    <w:rsid w:val="00DB0EF8"/>
    <w:rsid w:val="00DB6F4E"/>
    <w:rsid w:val="00DB73DE"/>
    <w:rsid w:val="00DC0779"/>
    <w:rsid w:val="00DC0818"/>
    <w:rsid w:val="00DC1CE0"/>
    <w:rsid w:val="00DC27A8"/>
    <w:rsid w:val="00DC324A"/>
    <w:rsid w:val="00DC36E5"/>
    <w:rsid w:val="00DC3CA2"/>
    <w:rsid w:val="00DD356A"/>
    <w:rsid w:val="00DD3CAC"/>
    <w:rsid w:val="00DD40E5"/>
    <w:rsid w:val="00DD7059"/>
    <w:rsid w:val="00DD7B34"/>
    <w:rsid w:val="00DE080C"/>
    <w:rsid w:val="00DE2B14"/>
    <w:rsid w:val="00DE2D5B"/>
    <w:rsid w:val="00DE55F7"/>
    <w:rsid w:val="00DE62E8"/>
    <w:rsid w:val="00DE67FB"/>
    <w:rsid w:val="00DE751C"/>
    <w:rsid w:val="00DF281B"/>
    <w:rsid w:val="00DF2BBB"/>
    <w:rsid w:val="00DF303F"/>
    <w:rsid w:val="00DF47B2"/>
    <w:rsid w:val="00DF4D04"/>
    <w:rsid w:val="00DF4DC3"/>
    <w:rsid w:val="00DF6D6D"/>
    <w:rsid w:val="00DF749F"/>
    <w:rsid w:val="00DF7EC2"/>
    <w:rsid w:val="00E005DF"/>
    <w:rsid w:val="00E017B8"/>
    <w:rsid w:val="00E01A4E"/>
    <w:rsid w:val="00E041CA"/>
    <w:rsid w:val="00E054CC"/>
    <w:rsid w:val="00E147DC"/>
    <w:rsid w:val="00E162E2"/>
    <w:rsid w:val="00E1634D"/>
    <w:rsid w:val="00E1745D"/>
    <w:rsid w:val="00E25179"/>
    <w:rsid w:val="00E256C4"/>
    <w:rsid w:val="00E272D5"/>
    <w:rsid w:val="00E27423"/>
    <w:rsid w:val="00E27A3B"/>
    <w:rsid w:val="00E314F3"/>
    <w:rsid w:val="00E316F7"/>
    <w:rsid w:val="00E321E0"/>
    <w:rsid w:val="00E32494"/>
    <w:rsid w:val="00E3295E"/>
    <w:rsid w:val="00E329FC"/>
    <w:rsid w:val="00E32EA7"/>
    <w:rsid w:val="00E33037"/>
    <w:rsid w:val="00E339D4"/>
    <w:rsid w:val="00E37931"/>
    <w:rsid w:val="00E409C8"/>
    <w:rsid w:val="00E40DF2"/>
    <w:rsid w:val="00E4498F"/>
    <w:rsid w:val="00E44BB1"/>
    <w:rsid w:val="00E5042C"/>
    <w:rsid w:val="00E5118F"/>
    <w:rsid w:val="00E52E95"/>
    <w:rsid w:val="00E55AA6"/>
    <w:rsid w:val="00E57D46"/>
    <w:rsid w:val="00E6041D"/>
    <w:rsid w:val="00E61B4D"/>
    <w:rsid w:val="00E6369B"/>
    <w:rsid w:val="00E677E5"/>
    <w:rsid w:val="00E74327"/>
    <w:rsid w:val="00E74AD8"/>
    <w:rsid w:val="00E75F1B"/>
    <w:rsid w:val="00E76894"/>
    <w:rsid w:val="00E76A98"/>
    <w:rsid w:val="00E8083A"/>
    <w:rsid w:val="00E816C0"/>
    <w:rsid w:val="00E84081"/>
    <w:rsid w:val="00E84A30"/>
    <w:rsid w:val="00E84D4E"/>
    <w:rsid w:val="00E9515C"/>
    <w:rsid w:val="00E9527E"/>
    <w:rsid w:val="00E957CF"/>
    <w:rsid w:val="00EA0C85"/>
    <w:rsid w:val="00EA3953"/>
    <w:rsid w:val="00EB12A5"/>
    <w:rsid w:val="00EB2130"/>
    <w:rsid w:val="00EB2583"/>
    <w:rsid w:val="00EB4366"/>
    <w:rsid w:val="00EB56E5"/>
    <w:rsid w:val="00EB738E"/>
    <w:rsid w:val="00EB7BC4"/>
    <w:rsid w:val="00EC00DB"/>
    <w:rsid w:val="00EC33F8"/>
    <w:rsid w:val="00EC4A5D"/>
    <w:rsid w:val="00EC7703"/>
    <w:rsid w:val="00ED03BF"/>
    <w:rsid w:val="00ED1D48"/>
    <w:rsid w:val="00ED3418"/>
    <w:rsid w:val="00ED3B83"/>
    <w:rsid w:val="00ED6565"/>
    <w:rsid w:val="00ED7368"/>
    <w:rsid w:val="00ED7F94"/>
    <w:rsid w:val="00EE04AC"/>
    <w:rsid w:val="00EE1392"/>
    <w:rsid w:val="00EE57E9"/>
    <w:rsid w:val="00EF034A"/>
    <w:rsid w:val="00EF080D"/>
    <w:rsid w:val="00EF0EBC"/>
    <w:rsid w:val="00EF2640"/>
    <w:rsid w:val="00EF2D5D"/>
    <w:rsid w:val="00EF741A"/>
    <w:rsid w:val="00EF7E03"/>
    <w:rsid w:val="00F00371"/>
    <w:rsid w:val="00F02DB6"/>
    <w:rsid w:val="00F05A53"/>
    <w:rsid w:val="00F05F94"/>
    <w:rsid w:val="00F07F39"/>
    <w:rsid w:val="00F1023D"/>
    <w:rsid w:val="00F10901"/>
    <w:rsid w:val="00F10EE0"/>
    <w:rsid w:val="00F12286"/>
    <w:rsid w:val="00F12C28"/>
    <w:rsid w:val="00F14814"/>
    <w:rsid w:val="00F15F05"/>
    <w:rsid w:val="00F20083"/>
    <w:rsid w:val="00F20659"/>
    <w:rsid w:val="00F20FE8"/>
    <w:rsid w:val="00F2290C"/>
    <w:rsid w:val="00F22E55"/>
    <w:rsid w:val="00F25A54"/>
    <w:rsid w:val="00F26E5D"/>
    <w:rsid w:val="00F32F34"/>
    <w:rsid w:val="00F34C02"/>
    <w:rsid w:val="00F36ABA"/>
    <w:rsid w:val="00F36D69"/>
    <w:rsid w:val="00F37001"/>
    <w:rsid w:val="00F37CA6"/>
    <w:rsid w:val="00F37DED"/>
    <w:rsid w:val="00F432BB"/>
    <w:rsid w:val="00F44118"/>
    <w:rsid w:val="00F44C63"/>
    <w:rsid w:val="00F44EC2"/>
    <w:rsid w:val="00F44F24"/>
    <w:rsid w:val="00F46A04"/>
    <w:rsid w:val="00F47DEF"/>
    <w:rsid w:val="00F506BE"/>
    <w:rsid w:val="00F50E26"/>
    <w:rsid w:val="00F52126"/>
    <w:rsid w:val="00F52257"/>
    <w:rsid w:val="00F544ED"/>
    <w:rsid w:val="00F551CF"/>
    <w:rsid w:val="00F577D8"/>
    <w:rsid w:val="00F57CF0"/>
    <w:rsid w:val="00F604F9"/>
    <w:rsid w:val="00F60C92"/>
    <w:rsid w:val="00F61E04"/>
    <w:rsid w:val="00F622D2"/>
    <w:rsid w:val="00F6343A"/>
    <w:rsid w:val="00F6444A"/>
    <w:rsid w:val="00F64D6B"/>
    <w:rsid w:val="00F66871"/>
    <w:rsid w:val="00F66D79"/>
    <w:rsid w:val="00F67588"/>
    <w:rsid w:val="00F70E64"/>
    <w:rsid w:val="00F71E6D"/>
    <w:rsid w:val="00F72F07"/>
    <w:rsid w:val="00F775D9"/>
    <w:rsid w:val="00F77C6B"/>
    <w:rsid w:val="00F8051B"/>
    <w:rsid w:val="00F82A4D"/>
    <w:rsid w:val="00F8640A"/>
    <w:rsid w:val="00F97D90"/>
    <w:rsid w:val="00FA05E8"/>
    <w:rsid w:val="00FA1C1A"/>
    <w:rsid w:val="00FA2FA7"/>
    <w:rsid w:val="00FA4510"/>
    <w:rsid w:val="00FA4C32"/>
    <w:rsid w:val="00FA6CAC"/>
    <w:rsid w:val="00FA6DDB"/>
    <w:rsid w:val="00FB5F95"/>
    <w:rsid w:val="00FB6F43"/>
    <w:rsid w:val="00FB71F6"/>
    <w:rsid w:val="00FB7321"/>
    <w:rsid w:val="00FB76A9"/>
    <w:rsid w:val="00FB76D6"/>
    <w:rsid w:val="00FC0573"/>
    <w:rsid w:val="00FC0693"/>
    <w:rsid w:val="00FC081D"/>
    <w:rsid w:val="00FC2876"/>
    <w:rsid w:val="00FC6287"/>
    <w:rsid w:val="00FC62C6"/>
    <w:rsid w:val="00FC6EC3"/>
    <w:rsid w:val="00FC7D90"/>
    <w:rsid w:val="00FC7E15"/>
    <w:rsid w:val="00FD4538"/>
    <w:rsid w:val="00FD48F6"/>
    <w:rsid w:val="00FD5FAC"/>
    <w:rsid w:val="00FD6138"/>
    <w:rsid w:val="00FD632B"/>
    <w:rsid w:val="00FD6C1D"/>
    <w:rsid w:val="00FE1C6B"/>
    <w:rsid w:val="00FE3495"/>
    <w:rsid w:val="00FE4ADD"/>
    <w:rsid w:val="00FE6749"/>
    <w:rsid w:val="00FE796E"/>
    <w:rsid w:val="00FE7B86"/>
    <w:rsid w:val="00FE7CC0"/>
    <w:rsid w:val="00FF1E48"/>
    <w:rsid w:val="00FF2B73"/>
    <w:rsid w:val="00FF3F77"/>
    <w:rsid w:val="00FF5CEA"/>
    <w:rsid w:val="00FF7F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ACC34"/>
  <w15:docId w15:val="{EAE012EB-EA11-4401-8E0F-E8FBF7CD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76E8"/>
    <w:pPr>
      <w:spacing w:after="200" w:line="276" w:lineRule="auto"/>
    </w:pPr>
    <w:rPr>
      <w:sz w:val="22"/>
      <w:szCs w:val="22"/>
      <w:lang w:val="it-IT" w:eastAsia="it-IT"/>
    </w:rPr>
  </w:style>
  <w:style w:type="paragraph" w:styleId="Titolo1">
    <w:name w:val="heading 1"/>
    <w:basedOn w:val="Normale"/>
    <w:next w:val="Normale"/>
    <w:link w:val="Titolo1Carattere"/>
    <w:uiPriority w:val="9"/>
    <w:qFormat/>
    <w:rsid w:val="00BE046F"/>
    <w:pPr>
      <w:keepNext/>
      <w:keepLines/>
      <w:spacing w:before="480" w:after="0"/>
      <w:outlineLvl w:val="0"/>
    </w:pPr>
    <w:rPr>
      <w:rFonts w:ascii="Calibri" w:eastAsia="MS Gothic" w:hAnsi="Calibri"/>
      <w:b/>
      <w:bCs/>
      <w:color w:val="345A8A"/>
      <w:sz w:val="32"/>
      <w:szCs w:val="32"/>
    </w:rPr>
  </w:style>
  <w:style w:type="paragraph" w:styleId="Titolo2">
    <w:name w:val="heading 2"/>
    <w:basedOn w:val="Normale"/>
    <w:next w:val="Normale"/>
    <w:link w:val="Titolo2Carattere"/>
    <w:uiPriority w:val="9"/>
    <w:semiHidden/>
    <w:unhideWhenUsed/>
    <w:qFormat/>
    <w:rsid w:val="00E816C0"/>
    <w:pPr>
      <w:keepNext/>
      <w:keepLines/>
      <w:spacing w:before="200" w:after="0"/>
      <w:outlineLvl w:val="1"/>
    </w:pPr>
    <w:rPr>
      <w:rFonts w:ascii="Calibri" w:eastAsia="MS Gothic" w:hAnsi="Calibri"/>
      <w:b/>
      <w:bCs/>
      <w:color w:val="4F81BD"/>
      <w:sz w:val="26"/>
      <w:szCs w:val="26"/>
    </w:rPr>
  </w:style>
  <w:style w:type="paragraph" w:styleId="Titolo3">
    <w:name w:val="heading 3"/>
    <w:basedOn w:val="Normale"/>
    <w:link w:val="Titolo3Carattere"/>
    <w:uiPriority w:val="9"/>
    <w:qFormat/>
    <w:rsid w:val="009C76E8"/>
    <w:pPr>
      <w:spacing w:before="100" w:beforeAutospacing="1" w:after="100" w:afterAutospacing="1" w:line="240" w:lineRule="auto"/>
      <w:outlineLvl w:val="2"/>
    </w:pPr>
    <w:rPr>
      <w:rFonts w:ascii="Times" w:hAnsi="Times"/>
      <w:b/>
      <w:bCs/>
      <w:sz w:val="27"/>
      <w:szCs w:val="27"/>
      <w:lang w:val="en-GB"/>
    </w:rPr>
  </w:style>
  <w:style w:type="paragraph" w:styleId="Titolo4">
    <w:name w:val="heading 4"/>
    <w:basedOn w:val="Normale"/>
    <w:next w:val="Normale"/>
    <w:link w:val="Titolo4Carattere"/>
    <w:uiPriority w:val="9"/>
    <w:semiHidden/>
    <w:unhideWhenUsed/>
    <w:qFormat/>
    <w:rsid w:val="002518B4"/>
    <w:pPr>
      <w:keepNext/>
      <w:keepLines/>
      <w:spacing w:before="200" w:after="0"/>
      <w:outlineLvl w:val="3"/>
    </w:pPr>
    <w:rPr>
      <w:rFonts w:ascii="Calibri" w:eastAsia="MS Gothic" w:hAnsi="Calibri"/>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C76E8"/>
    <w:rPr>
      <w:sz w:val="22"/>
      <w:szCs w:val="22"/>
      <w:lang w:val="it-IT" w:eastAsia="it-IT"/>
    </w:rPr>
  </w:style>
  <w:style w:type="character" w:styleId="Collegamentoipertestuale">
    <w:name w:val="Hyperlink"/>
    <w:uiPriority w:val="99"/>
    <w:unhideWhenUsed/>
    <w:rsid w:val="009C76E8"/>
    <w:rPr>
      <w:color w:val="0000FF"/>
      <w:u w:val="single"/>
    </w:rPr>
  </w:style>
  <w:style w:type="character" w:customStyle="1" w:styleId="Titolo3Carattere">
    <w:name w:val="Titolo 3 Carattere"/>
    <w:link w:val="Titolo3"/>
    <w:uiPriority w:val="9"/>
    <w:rsid w:val="009C76E8"/>
    <w:rPr>
      <w:rFonts w:ascii="Times" w:hAnsi="Times"/>
      <w:b/>
      <w:bCs/>
      <w:sz w:val="27"/>
      <w:szCs w:val="27"/>
      <w:lang w:val="en-GB"/>
    </w:rPr>
  </w:style>
  <w:style w:type="paragraph" w:styleId="NormaleWeb">
    <w:name w:val="Normal (Web)"/>
    <w:basedOn w:val="Normale"/>
    <w:uiPriority w:val="99"/>
    <w:unhideWhenUsed/>
    <w:rsid w:val="007E39D0"/>
    <w:pPr>
      <w:spacing w:before="100" w:beforeAutospacing="1" w:after="100" w:afterAutospacing="1" w:line="240" w:lineRule="auto"/>
    </w:pPr>
    <w:rPr>
      <w:rFonts w:ascii="Times" w:hAnsi="Times"/>
      <w:sz w:val="20"/>
      <w:szCs w:val="20"/>
      <w:lang w:val="en-GB"/>
    </w:rPr>
  </w:style>
  <w:style w:type="paragraph" w:customStyle="1" w:styleId="Default">
    <w:name w:val="Default"/>
    <w:rsid w:val="00B13F09"/>
    <w:pPr>
      <w:widowControl w:val="0"/>
      <w:autoSpaceDE w:val="0"/>
      <w:autoSpaceDN w:val="0"/>
      <w:adjustRightInd w:val="0"/>
    </w:pPr>
    <w:rPr>
      <w:rFonts w:ascii="Times New Roman" w:hAnsi="Times New Roman"/>
      <w:color w:val="000000"/>
      <w:sz w:val="24"/>
      <w:szCs w:val="24"/>
      <w:lang w:val="it-IT" w:eastAsia="it-IT"/>
    </w:rPr>
  </w:style>
  <w:style w:type="character" w:styleId="Enfasicorsivo">
    <w:name w:val="Emphasis"/>
    <w:uiPriority w:val="20"/>
    <w:qFormat/>
    <w:rsid w:val="007154CB"/>
    <w:rPr>
      <w:i/>
      <w:iCs/>
    </w:rPr>
  </w:style>
  <w:style w:type="paragraph" w:customStyle="1" w:styleId="Predefinito">
    <w:name w:val="Predefinito"/>
    <w:uiPriority w:val="99"/>
    <w:rsid w:val="00D06E1C"/>
    <w:pPr>
      <w:suppressAutoHyphens/>
    </w:pPr>
    <w:rPr>
      <w:rFonts w:ascii="Times New Roman" w:eastAsia="Times New Roman" w:hAnsi="Times New Roman"/>
      <w:kern w:val="1"/>
      <w:sz w:val="24"/>
      <w:szCs w:val="24"/>
      <w:lang w:val="it-IT" w:eastAsia="ar-SA"/>
    </w:rPr>
  </w:style>
  <w:style w:type="paragraph" w:styleId="Testonotaapidipagina">
    <w:name w:val="footnote text"/>
    <w:aliases w:val="Char Char"/>
    <w:basedOn w:val="Normale"/>
    <w:link w:val="TestonotaapidipaginaCarattere1"/>
    <w:rsid w:val="00D06E1C"/>
    <w:pPr>
      <w:spacing w:after="0" w:line="240" w:lineRule="auto"/>
    </w:pPr>
    <w:rPr>
      <w:rFonts w:ascii="Times New Roman" w:eastAsia="Times New Roman" w:hAnsi="Times New Roman"/>
      <w:sz w:val="24"/>
      <w:szCs w:val="24"/>
      <w:lang w:val="en-US" w:eastAsia="en-US"/>
    </w:rPr>
  </w:style>
  <w:style w:type="character" w:customStyle="1" w:styleId="TestonotaapidipaginaCarattere">
    <w:name w:val="Testo nota a piè di pagina Carattere"/>
    <w:basedOn w:val="Carpredefinitoparagrafo"/>
    <w:uiPriority w:val="99"/>
    <w:rsid w:val="00D06E1C"/>
  </w:style>
  <w:style w:type="character" w:customStyle="1" w:styleId="TestonotaapidipaginaCarattere1">
    <w:name w:val="Testo nota a piè di pagina Carattere1"/>
    <w:aliases w:val="Char Char Carattere"/>
    <w:link w:val="Testonotaapidipagina"/>
    <w:locked/>
    <w:rsid w:val="00D06E1C"/>
    <w:rPr>
      <w:rFonts w:ascii="Times New Roman" w:eastAsia="Times New Roman" w:hAnsi="Times New Roman" w:cs="Times New Roman"/>
      <w:lang w:val="en-US" w:eastAsia="en-US"/>
    </w:rPr>
  </w:style>
  <w:style w:type="character" w:styleId="Rimandonotaapidipagina">
    <w:name w:val="footnote reference"/>
    <w:rsid w:val="00D06E1C"/>
    <w:rPr>
      <w:rFonts w:cs="Times New Roman"/>
      <w:vertAlign w:val="superscript"/>
      <w:lang w:val="en-US"/>
    </w:rPr>
  </w:style>
  <w:style w:type="character" w:customStyle="1" w:styleId="highlight">
    <w:name w:val="highlight"/>
    <w:rsid w:val="00D06E1C"/>
    <w:rPr>
      <w:lang w:val="en-US"/>
    </w:rPr>
  </w:style>
  <w:style w:type="character" w:customStyle="1" w:styleId="CollegamentoInternet">
    <w:name w:val="Collegamento Internet"/>
    <w:uiPriority w:val="99"/>
    <w:rsid w:val="006663C2"/>
    <w:rPr>
      <w:rFonts w:cs="Times New Roman"/>
      <w:color w:val="0000FF"/>
      <w:u w:val="single"/>
      <w:lang w:val="en-US"/>
    </w:rPr>
  </w:style>
  <w:style w:type="character" w:customStyle="1" w:styleId="Caratteredellanota">
    <w:name w:val="Carattere della nota"/>
    <w:uiPriority w:val="99"/>
    <w:rsid w:val="006663C2"/>
  </w:style>
  <w:style w:type="character" w:customStyle="1" w:styleId="Richiamodinota">
    <w:name w:val="Richiamo di nota"/>
    <w:uiPriority w:val="99"/>
    <w:rsid w:val="006663C2"/>
    <w:rPr>
      <w:vertAlign w:val="superscript"/>
    </w:rPr>
  </w:style>
  <w:style w:type="paragraph" w:styleId="Pidipagina">
    <w:name w:val="footer"/>
    <w:basedOn w:val="Normale"/>
    <w:link w:val="PidipaginaCarattere"/>
    <w:uiPriority w:val="99"/>
    <w:unhideWhenUsed/>
    <w:rsid w:val="00387BB1"/>
    <w:pPr>
      <w:tabs>
        <w:tab w:val="center" w:pos="4986"/>
        <w:tab w:val="right" w:pos="9972"/>
      </w:tabs>
      <w:spacing w:after="0" w:line="240" w:lineRule="auto"/>
    </w:pPr>
  </w:style>
  <w:style w:type="character" w:customStyle="1" w:styleId="PidipaginaCarattere">
    <w:name w:val="Piè di pagina Carattere"/>
    <w:link w:val="Pidipagina"/>
    <w:uiPriority w:val="99"/>
    <w:rsid w:val="00387BB1"/>
    <w:rPr>
      <w:sz w:val="22"/>
      <w:szCs w:val="22"/>
    </w:rPr>
  </w:style>
  <w:style w:type="character" w:styleId="Numeropagina">
    <w:name w:val="page number"/>
    <w:basedOn w:val="Carpredefinitoparagrafo"/>
    <w:uiPriority w:val="99"/>
    <w:semiHidden/>
    <w:unhideWhenUsed/>
    <w:rsid w:val="00387BB1"/>
  </w:style>
  <w:style w:type="character" w:customStyle="1" w:styleId="st">
    <w:name w:val="st"/>
    <w:basedOn w:val="Carpredefinitoparagrafo"/>
    <w:rsid w:val="00F60C92"/>
  </w:style>
  <w:style w:type="character" w:customStyle="1" w:styleId="hps">
    <w:name w:val="hps"/>
    <w:basedOn w:val="Carpredefinitoparagrafo"/>
    <w:rsid w:val="00450867"/>
  </w:style>
  <w:style w:type="paragraph" w:styleId="Paragrafoelenco">
    <w:name w:val="List Paragraph"/>
    <w:basedOn w:val="Normale"/>
    <w:uiPriority w:val="34"/>
    <w:qFormat/>
    <w:rsid w:val="00695ACC"/>
    <w:pPr>
      <w:ind w:left="720"/>
      <w:contextualSpacing/>
    </w:pPr>
    <w:rPr>
      <w:rFonts w:eastAsia="Cambria"/>
      <w:lang w:eastAsia="en-US"/>
    </w:rPr>
  </w:style>
  <w:style w:type="paragraph" w:styleId="Testofumetto">
    <w:name w:val="Balloon Text"/>
    <w:basedOn w:val="Normale"/>
    <w:link w:val="TestofumettoCarattere"/>
    <w:uiPriority w:val="99"/>
    <w:semiHidden/>
    <w:unhideWhenUsed/>
    <w:rsid w:val="008E6F2C"/>
    <w:pPr>
      <w:spacing w:after="0" w:line="240" w:lineRule="auto"/>
    </w:pPr>
    <w:rPr>
      <w:rFonts w:ascii="Tahoma" w:eastAsia="Cambria" w:hAnsi="Tahoma" w:cs="Tahoma"/>
      <w:sz w:val="16"/>
      <w:szCs w:val="16"/>
      <w:lang w:eastAsia="en-US"/>
    </w:rPr>
  </w:style>
  <w:style w:type="character" w:customStyle="1" w:styleId="TestofumettoCarattere">
    <w:name w:val="Testo fumetto Carattere"/>
    <w:link w:val="Testofumetto"/>
    <w:uiPriority w:val="99"/>
    <w:semiHidden/>
    <w:rsid w:val="008E6F2C"/>
    <w:rPr>
      <w:rFonts w:ascii="Tahoma" w:eastAsia="Cambria" w:hAnsi="Tahoma" w:cs="Tahoma"/>
      <w:sz w:val="16"/>
      <w:szCs w:val="16"/>
      <w:lang w:eastAsia="en-US"/>
    </w:rPr>
  </w:style>
  <w:style w:type="paragraph" w:styleId="PreformattatoHTML">
    <w:name w:val="HTML Preformatted"/>
    <w:basedOn w:val="Normale"/>
    <w:link w:val="PreformattatoHTMLCarattere"/>
    <w:uiPriority w:val="99"/>
    <w:semiHidden/>
    <w:unhideWhenUsed/>
    <w:rsid w:val="005A1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rPr>
  </w:style>
  <w:style w:type="character" w:customStyle="1" w:styleId="PreformattatoHTMLCarattere">
    <w:name w:val="Preformattato HTML Carattere"/>
    <w:link w:val="PreformattatoHTML"/>
    <w:uiPriority w:val="99"/>
    <w:semiHidden/>
    <w:rsid w:val="005A1476"/>
    <w:rPr>
      <w:rFonts w:ascii="Courier" w:hAnsi="Courier" w:cs="Courier"/>
      <w:sz w:val="20"/>
      <w:szCs w:val="20"/>
      <w:lang w:val="en-GB"/>
    </w:rPr>
  </w:style>
  <w:style w:type="character" w:styleId="Rimandocommento">
    <w:name w:val="annotation reference"/>
    <w:uiPriority w:val="99"/>
    <w:semiHidden/>
    <w:unhideWhenUsed/>
    <w:rsid w:val="00E44BB1"/>
    <w:rPr>
      <w:sz w:val="16"/>
      <w:szCs w:val="16"/>
    </w:rPr>
  </w:style>
  <w:style w:type="paragraph" w:styleId="Testocommento">
    <w:name w:val="annotation text"/>
    <w:basedOn w:val="Normale"/>
    <w:link w:val="TestocommentoCarattere"/>
    <w:uiPriority w:val="99"/>
    <w:unhideWhenUsed/>
    <w:rsid w:val="00E44BB1"/>
    <w:pPr>
      <w:spacing w:line="240" w:lineRule="auto"/>
    </w:pPr>
    <w:rPr>
      <w:sz w:val="20"/>
      <w:szCs w:val="20"/>
    </w:rPr>
  </w:style>
  <w:style w:type="character" w:customStyle="1" w:styleId="TestocommentoCarattere">
    <w:name w:val="Testo commento Carattere"/>
    <w:link w:val="Testocommento"/>
    <w:uiPriority w:val="99"/>
    <w:rsid w:val="00E44BB1"/>
    <w:rPr>
      <w:sz w:val="20"/>
      <w:szCs w:val="20"/>
    </w:rPr>
  </w:style>
  <w:style w:type="paragraph" w:styleId="Soggettocommento">
    <w:name w:val="annotation subject"/>
    <w:basedOn w:val="Testocommento"/>
    <w:next w:val="Testocommento"/>
    <w:link w:val="SoggettocommentoCarattere"/>
    <w:uiPriority w:val="99"/>
    <w:semiHidden/>
    <w:unhideWhenUsed/>
    <w:rsid w:val="00E44BB1"/>
    <w:rPr>
      <w:b/>
      <w:bCs/>
    </w:rPr>
  </w:style>
  <w:style w:type="character" w:customStyle="1" w:styleId="SoggettocommentoCarattere">
    <w:name w:val="Soggetto commento Carattere"/>
    <w:link w:val="Soggettocommento"/>
    <w:uiPriority w:val="99"/>
    <w:semiHidden/>
    <w:rsid w:val="00E44BB1"/>
    <w:rPr>
      <w:b/>
      <w:bCs/>
      <w:sz w:val="20"/>
      <w:szCs w:val="20"/>
    </w:rPr>
  </w:style>
  <w:style w:type="character" w:customStyle="1" w:styleId="person-email">
    <w:name w:val="person-email"/>
    <w:basedOn w:val="Carpredefinitoparagrafo"/>
    <w:rsid w:val="00573B52"/>
  </w:style>
  <w:style w:type="character" w:customStyle="1" w:styleId="person-phone">
    <w:name w:val="person-phone"/>
    <w:basedOn w:val="Carpredefinitoparagrafo"/>
    <w:rsid w:val="00573B52"/>
  </w:style>
  <w:style w:type="character" w:customStyle="1" w:styleId="xbe">
    <w:name w:val="_xbe"/>
    <w:basedOn w:val="Carpredefinitoparagrafo"/>
    <w:rsid w:val="00573B52"/>
  </w:style>
  <w:style w:type="character" w:customStyle="1" w:styleId="doc-title">
    <w:name w:val="doc-title"/>
    <w:basedOn w:val="Carpredefinitoparagrafo"/>
    <w:rsid w:val="003E4A90"/>
  </w:style>
  <w:style w:type="table" w:styleId="Grigliatabella">
    <w:name w:val="Table Grid"/>
    <w:basedOn w:val="Tabellanormale"/>
    <w:uiPriority w:val="59"/>
    <w:rsid w:val="00F3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E7432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74327"/>
    <w:pPr>
      <w:tabs>
        <w:tab w:val="center" w:pos="4819"/>
        <w:tab w:val="right" w:pos="9638"/>
      </w:tabs>
      <w:spacing w:after="0" w:line="240" w:lineRule="auto"/>
    </w:pPr>
    <w:rPr>
      <w:rFonts w:eastAsia="Cambria"/>
      <w:lang w:eastAsia="en-US"/>
    </w:rPr>
  </w:style>
  <w:style w:type="character" w:customStyle="1" w:styleId="IntestazioneCarattere">
    <w:name w:val="Intestazione Carattere"/>
    <w:link w:val="Intestazione"/>
    <w:uiPriority w:val="99"/>
    <w:rsid w:val="00E74327"/>
    <w:rPr>
      <w:rFonts w:eastAsia="Cambria"/>
      <w:sz w:val="22"/>
      <w:szCs w:val="22"/>
      <w:lang w:eastAsia="en-US"/>
    </w:rPr>
  </w:style>
  <w:style w:type="paragraph" w:customStyle="1" w:styleId="astandardsous-titre201">
    <w:name w:val="astandardsous-titre201"/>
    <w:basedOn w:val="Normale"/>
    <w:rsid w:val="00EB4366"/>
    <w:pPr>
      <w:spacing w:before="100" w:beforeAutospacing="1" w:after="100" w:afterAutospacing="1" w:line="240" w:lineRule="auto"/>
    </w:pPr>
    <w:rPr>
      <w:rFonts w:ascii="Times" w:hAnsi="Times"/>
      <w:sz w:val="20"/>
      <w:szCs w:val="20"/>
      <w:lang w:val="en-GB"/>
    </w:rPr>
  </w:style>
  <w:style w:type="paragraph" w:customStyle="1" w:styleId="astandard3520normal">
    <w:name w:val="astandard3520normal"/>
    <w:basedOn w:val="Normale"/>
    <w:rsid w:val="00EB4366"/>
    <w:pPr>
      <w:spacing w:before="100" w:beforeAutospacing="1" w:after="100" w:afterAutospacing="1" w:line="240" w:lineRule="auto"/>
    </w:pPr>
    <w:rPr>
      <w:rFonts w:ascii="Times" w:hAnsi="Times"/>
      <w:sz w:val="20"/>
      <w:szCs w:val="20"/>
      <w:lang w:val="en-GB"/>
    </w:rPr>
  </w:style>
  <w:style w:type="character" w:customStyle="1" w:styleId="at71">
    <w:name w:val="at71"/>
    <w:basedOn w:val="Carpredefinitoparagrafo"/>
    <w:rsid w:val="00EB4366"/>
  </w:style>
  <w:style w:type="paragraph" w:styleId="Corpodeltesto2">
    <w:name w:val="Body Text 2"/>
    <w:basedOn w:val="Normale"/>
    <w:link w:val="Corpodeltesto2Carattere"/>
    <w:uiPriority w:val="99"/>
    <w:rsid w:val="0090423A"/>
    <w:pPr>
      <w:spacing w:before="120" w:after="120" w:line="480" w:lineRule="auto"/>
      <w:ind w:firstLine="720"/>
      <w:jc w:val="both"/>
    </w:pPr>
    <w:rPr>
      <w:rFonts w:eastAsia="Batang" w:cs="Cambria"/>
      <w:lang w:val="en-US" w:eastAsia="ko-KR"/>
    </w:rPr>
  </w:style>
  <w:style w:type="character" w:customStyle="1" w:styleId="Corpodeltesto2Carattere">
    <w:name w:val="Corpo del testo 2 Carattere"/>
    <w:link w:val="Corpodeltesto2"/>
    <w:uiPriority w:val="99"/>
    <w:rsid w:val="0090423A"/>
    <w:rPr>
      <w:rFonts w:ascii="Cambria" w:eastAsia="Batang" w:hAnsi="Cambria" w:cs="Cambria"/>
      <w:sz w:val="22"/>
      <w:szCs w:val="22"/>
      <w:lang w:val="en-US" w:eastAsia="ko-KR"/>
    </w:rPr>
  </w:style>
  <w:style w:type="paragraph" w:customStyle="1" w:styleId="Corpotesto1">
    <w:name w:val="Corpo testo1"/>
    <w:basedOn w:val="Normale"/>
    <w:uiPriority w:val="99"/>
    <w:rsid w:val="0090423A"/>
    <w:pPr>
      <w:suppressAutoHyphens/>
      <w:spacing w:after="120" w:line="240" w:lineRule="auto"/>
    </w:pPr>
    <w:rPr>
      <w:rFonts w:ascii="Times New Roman" w:eastAsia="Batang" w:hAnsi="Times New Roman"/>
      <w:kern w:val="1"/>
      <w:sz w:val="24"/>
      <w:szCs w:val="24"/>
      <w:lang w:eastAsia="ar-SA"/>
    </w:rPr>
  </w:style>
  <w:style w:type="character" w:customStyle="1" w:styleId="CommentTextChar">
    <w:name w:val="Comment Text Char"/>
    <w:uiPriority w:val="99"/>
    <w:semiHidden/>
    <w:rsid w:val="0014510C"/>
    <w:rPr>
      <w:sz w:val="20"/>
      <w:szCs w:val="20"/>
    </w:rPr>
  </w:style>
  <w:style w:type="character" w:customStyle="1" w:styleId="Titolo1Carattere">
    <w:name w:val="Titolo 1 Carattere"/>
    <w:link w:val="Titolo1"/>
    <w:uiPriority w:val="9"/>
    <w:rsid w:val="00BE046F"/>
    <w:rPr>
      <w:rFonts w:ascii="Calibri" w:eastAsia="MS Gothic" w:hAnsi="Calibri" w:cs="Times New Roman"/>
      <w:b/>
      <w:bCs/>
      <w:color w:val="345A8A"/>
      <w:sz w:val="32"/>
      <w:szCs w:val="32"/>
    </w:rPr>
  </w:style>
  <w:style w:type="character" w:styleId="Enfasigrassetto">
    <w:name w:val="Strong"/>
    <w:uiPriority w:val="22"/>
    <w:qFormat/>
    <w:rsid w:val="00BE046F"/>
    <w:rPr>
      <w:b/>
      <w:bCs/>
    </w:rPr>
  </w:style>
  <w:style w:type="character" w:customStyle="1" w:styleId="date-display-single">
    <w:name w:val="date-display-single"/>
    <w:basedOn w:val="Carpredefinitoparagrafo"/>
    <w:rsid w:val="00BE046F"/>
  </w:style>
  <w:style w:type="character" w:customStyle="1" w:styleId="ata11y">
    <w:name w:val="at_a11y"/>
    <w:basedOn w:val="Carpredefinitoparagrafo"/>
    <w:rsid w:val="00BE046F"/>
  </w:style>
  <w:style w:type="character" w:customStyle="1" w:styleId="Titolo4Carattere">
    <w:name w:val="Titolo 4 Carattere"/>
    <w:link w:val="Titolo4"/>
    <w:uiPriority w:val="9"/>
    <w:semiHidden/>
    <w:rsid w:val="002518B4"/>
    <w:rPr>
      <w:rFonts w:ascii="Calibri" w:eastAsia="MS Gothic" w:hAnsi="Calibri" w:cs="Times New Roman"/>
      <w:b/>
      <w:bCs/>
      <w:i/>
      <w:iCs/>
      <w:color w:val="4F81BD"/>
      <w:sz w:val="22"/>
      <w:szCs w:val="22"/>
    </w:rPr>
  </w:style>
  <w:style w:type="character" w:customStyle="1" w:styleId="cit-auth">
    <w:name w:val="cit-auth"/>
    <w:basedOn w:val="Carpredefinitoparagrafo"/>
    <w:rsid w:val="002518B4"/>
  </w:style>
  <w:style w:type="character" w:styleId="CitazioneHTML">
    <w:name w:val="HTML Cite"/>
    <w:uiPriority w:val="99"/>
    <w:semiHidden/>
    <w:unhideWhenUsed/>
    <w:rsid w:val="002518B4"/>
    <w:rPr>
      <w:i/>
      <w:iCs/>
    </w:rPr>
  </w:style>
  <w:style w:type="character" w:customStyle="1" w:styleId="cit-pub-dt">
    <w:name w:val="cit-pub-dt"/>
    <w:basedOn w:val="Carpredefinitoparagrafo"/>
    <w:rsid w:val="002518B4"/>
  </w:style>
  <w:style w:type="character" w:customStyle="1" w:styleId="cit-vol">
    <w:name w:val="cit-vol"/>
    <w:basedOn w:val="Carpredefinitoparagrafo"/>
    <w:rsid w:val="002518B4"/>
  </w:style>
  <w:style w:type="character" w:customStyle="1" w:styleId="cit-issue">
    <w:name w:val="cit-issue"/>
    <w:basedOn w:val="Carpredefinitoparagrafo"/>
    <w:rsid w:val="002518B4"/>
  </w:style>
  <w:style w:type="character" w:customStyle="1" w:styleId="cit-sep">
    <w:name w:val="cit-sep"/>
    <w:basedOn w:val="Carpredefinitoparagrafo"/>
    <w:rsid w:val="002518B4"/>
  </w:style>
  <w:style w:type="character" w:customStyle="1" w:styleId="cit-pages-fpage">
    <w:name w:val="cit-pages-fpage"/>
    <w:basedOn w:val="Carpredefinitoparagrafo"/>
    <w:rsid w:val="002518B4"/>
  </w:style>
  <w:style w:type="character" w:customStyle="1" w:styleId="cit-pages-lpage">
    <w:name w:val="cit-pages-lpage"/>
    <w:basedOn w:val="Carpredefinitoparagrafo"/>
    <w:rsid w:val="002518B4"/>
  </w:style>
  <w:style w:type="character" w:customStyle="1" w:styleId="Titolo2Carattere">
    <w:name w:val="Titolo 2 Carattere"/>
    <w:link w:val="Titolo2"/>
    <w:uiPriority w:val="9"/>
    <w:semiHidden/>
    <w:rsid w:val="00E816C0"/>
    <w:rPr>
      <w:rFonts w:ascii="Calibri" w:eastAsia="MS Gothic" w:hAnsi="Calibri" w:cs="Times New Roman"/>
      <w:b/>
      <w:bCs/>
      <w:color w:val="4F81BD"/>
      <w:sz w:val="26"/>
      <w:szCs w:val="26"/>
    </w:rPr>
  </w:style>
  <w:style w:type="paragraph" w:styleId="Revisione">
    <w:name w:val="Revision"/>
    <w:hidden/>
    <w:uiPriority w:val="99"/>
    <w:semiHidden/>
    <w:rsid w:val="00537EEF"/>
    <w:rPr>
      <w:sz w:val="22"/>
      <w:szCs w:val="22"/>
      <w:lang w:val="it-IT" w:eastAsia="it-IT"/>
    </w:rPr>
  </w:style>
  <w:style w:type="numbering" w:customStyle="1" w:styleId="Nessunelenco1">
    <w:name w:val="Nessun elenco1"/>
    <w:next w:val="Nessunelenco"/>
    <w:uiPriority w:val="99"/>
    <w:semiHidden/>
    <w:unhideWhenUsed/>
    <w:rsid w:val="007558EC"/>
  </w:style>
  <w:style w:type="character" w:styleId="Collegamentovisitato">
    <w:name w:val="FollowedHyperlink"/>
    <w:uiPriority w:val="99"/>
    <w:semiHidden/>
    <w:unhideWhenUsed/>
    <w:rsid w:val="007558EC"/>
    <w:rPr>
      <w:color w:val="800080"/>
      <w:u w:val="single"/>
    </w:rPr>
  </w:style>
  <w:style w:type="paragraph" w:customStyle="1" w:styleId="xl65">
    <w:name w:val="xl65"/>
    <w:basedOn w:val="Normale"/>
    <w:rsid w:val="007558EC"/>
    <w:pP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66">
    <w:name w:val="xl66"/>
    <w:basedOn w:val="Normale"/>
    <w:rsid w:val="007558EC"/>
    <w:pPr>
      <w:spacing w:before="100" w:beforeAutospacing="1" w:after="100" w:afterAutospacing="1" w:line="240" w:lineRule="auto"/>
      <w:jc w:val="right"/>
      <w:textAlignment w:val="center"/>
    </w:pPr>
    <w:rPr>
      <w:rFonts w:ascii="Times New Roman" w:eastAsia="Times New Roman" w:hAnsi="Times New Roman"/>
      <w:b/>
      <w:bCs/>
      <w:color w:val="000000"/>
      <w:sz w:val="24"/>
      <w:szCs w:val="24"/>
    </w:rPr>
  </w:style>
  <w:style w:type="paragraph" w:customStyle="1" w:styleId="xl67">
    <w:name w:val="xl67"/>
    <w:basedOn w:val="Normale"/>
    <w:rsid w:val="007558EC"/>
    <w:pPr>
      <w:shd w:val="clear" w:color="000000" w:fill="0000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68">
    <w:name w:val="xl68"/>
    <w:basedOn w:val="Normale"/>
    <w:rsid w:val="007558EC"/>
    <w:pPr>
      <w:shd w:val="clear" w:color="000000" w:fill="000000"/>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e"/>
    <w:rsid w:val="007558EC"/>
    <w:pPr>
      <w:spacing w:before="100" w:beforeAutospacing="1" w:after="100" w:afterAutospacing="1" w:line="240" w:lineRule="auto"/>
      <w:jc w:val="right"/>
    </w:pPr>
    <w:rPr>
      <w:rFonts w:ascii="Times New Roman" w:eastAsia="Times New Roman" w:hAnsi="Times New Roman"/>
      <w:sz w:val="24"/>
      <w:szCs w:val="24"/>
    </w:rPr>
  </w:style>
  <w:style w:type="paragraph" w:customStyle="1" w:styleId="xl73">
    <w:name w:val="xl73"/>
    <w:basedOn w:val="Normale"/>
    <w:rsid w:val="007558EC"/>
    <w:pPr>
      <w:shd w:val="clear" w:color="000000" w:fill="000000"/>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e"/>
    <w:rsid w:val="007558EC"/>
    <w:pP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e"/>
    <w:rsid w:val="007558E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e"/>
    <w:rsid w:val="007558EC"/>
    <w:pPr>
      <w:shd w:val="clear" w:color="000000" w:fill="D8E4BC"/>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e"/>
    <w:rsid w:val="007558E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character" w:styleId="Testosegnaposto">
    <w:name w:val="Placeholder Text"/>
    <w:uiPriority w:val="99"/>
    <w:semiHidden/>
    <w:rsid w:val="00971257"/>
    <w:rPr>
      <w:color w:val="808080"/>
    </w:rPr>
  </w:style>
  <w:style w:type="character" w:customStyle="1" w:styleId="citeproc-title">
    <w:name w:val="citeproc-title"/>
    <w:basedOn w:val="Carpredefinitoparagrafo"/>
    <w:rsid w:val="001069CB"/>
  </w:style>
  <w:style w:type="character" w:customStyle="1" w:styleId="citeproc-container-title">
    <w:name w:val="citeproc-container-title"/>
    <w:basedOn w:val="Carpredefinitoparagrafo"/>
    <w:rsid w:val="001069CB"/>
  </w:style>
  <w:style w:type="character" w:customStyle="1" w:styleId="citeproc-online">
    <w:name w:val="citeproc-online"/>
    <w:basedOn w:val="Carpredefinitoparagrafo"/>
    <w:rsid w:val="001069CB"/>
  </w:style>
  <w:style w:type="character" w:customStyle="1" w:styleId="citeproc-volume">
    <w:name w:val="citeproc-volume"/>
    <w:basedOn w:val="Carpredefinitoparagrafo"/>
    <w:rsid w:val="001069CB"/>
  </w:style>
  <w:style w:type="character" w:customStyle="1" w:styleId="citeproc-page">
    <w:name w:val="citeproc-page"/>
    <w:basedOn w:val="Carpredefinitoparagrafo"/>
    <w:rsid w:val="0010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216">
      <w:bodyDiv w:val="1"/>
      <w:marLeft w:val="0"/>
      <w:marRight w:val="0"/>
      <w:marTop w:val="0"/>
      <w:marBottom w:val="0"/>
      <w:divBdr>
        <w:top w:val="none" w:sz="0" w:space="0" w:color="auto"/>
        <w:left w:val="none" w:sz="0" w:space="0" w:color="auto"/>
        <w:bottom w:val="none" w:sz="0" w:space="0" w:color="auto"/>
        <w:right w:val="none" w:sz="0" w:space="0" w:color="auto"/>
      </w:divBdr>
    </w:div>
    <w:div w:id="13189902">
      <w:bodyDiv w:val="1"/>
      <w:marLeft w:val="0"/>
      <w:marRight w:val="0"/>
      <w:marTop w:val="0"/>
      <w:marBottom w:val="0"/>
      <w:divBdr>
        <w:top w:val="none" w:sz="0" w:space="0" w:color="auto"/>
        <w:left w:val="none" w:sz="0" w:space="0" w:color="auto"/>
        <w:bottom w:val="none" w:sz="0" w:space="0" w:color="auto"/>
        <w:right w:val="none" w:sz="0" w:space="0" w:color="auto"/>
      </w:divBdr>
    </w:div>
    <w:div w:id="21631749">
      <w:bodyDiv w:val="1"/>
      <w:marLeft w:val="0"/>
      <w:marRight w:val="0"/>
      <w:marTop w:val="0"/>
      <w:marBottom w:val="0"/>
      <w:divBdr>
        <w:top w:val="none" w:sz="0" w:space="0" w:color="auto"/>
        <w:left w:val="none" w:sz="0" w:space="0" w:color="auto"/>
        <w:bottom w:val="none" w:sz="0" w:space="0" w:color="auto"/>
        <w:right w:val="none" w:sz="0" w:space="0" w:color="auto"/>
      </w:divBdr>
      <w:divsChild>
        <w:div w:id="119417639">
          <w:marLeft w:val="0"/>
          <w:marRight w:val="0"/>
          <w:marTop w:val="0"/>
          <w:marBottom w:val="0"/>
          <w:divBdr>
            <w:top w:val="none" w:sz="0" w:space="0" w:color="auto"/>
            <w:left w:val="none" w:sz="0" w:space="0" w:color="auto"/>
            <w:bottom w:val="none" w:sz="0" w:space="0" w:color="auto"/>
            <w:right w:val="none" w:sz="0" w:space="0" w:color="auto"/>
          </w:divBdr>
        </w:div>
        <w:div w:id="307975572">
          <w:marLeft w:val="0"/>
          <w:marRight w:val="0"/>
          <w:marTop w:val="0"/>
          <w:marBottom w:val="0"/>
          <w:divBdr>
            <w:top w:val="none" w:sz="0" w:space="0" w:color="auto"/>
            <w:left w:val="none" w:sz="0" w:space="0" w:color="auto"/>
            <w:bottom w:val="none" w:sz="0" w:space="0" w:color="auto"/>
            <w:right w:val="none" w:sz="0" w:space="0" w:color="auto"/>
          </w:divBdr>
        </w:div>
        <w:div w:id="533617293">
          <w:marLeft w:val="0"/>
          <w:marRight w:val="0"/>
          <w:marTop w:val="0"/>
          <w:marBottom w:val="0"/>
          <w:divBdr>
            <w:top w:val="none" w:sz="0" w:space="0" w:color="auto"/>
            <w:left w:val="none" w:sz="0" w:space="0" w:color="auto"/>
            <w:bottom w:val="none" w:sz="0" w:space="0" w:color="auto"/>
            <w:right w:val="none" w:sz="0" w:space="0" w:color="auto"/>
          </w:divBdr>
        </w:div>
        <w:div w:id="631058363">
          <w:marLeft w:val="0"/>
          <w:marRight w:val="0"/>
          <w:marTop w:val="0"/>
          <w:marBottom w:val="0"/>
          <w:divBdr>
            <w:top w:val="none" w:sz="0" w:space="0" w:color="auto"/>
            <w:left w:val="none" w:sz="0" w:space="0" w:color="auto"/>
            <w:bottom w:val="none" w:sz="0" w:space="0" w:color="auto"/>
            <w:right w:val="none" w:sz="0" w:space="0" w:color="auto"/>
          </w:divBdr>
        </w:div>
        <w:div w:id="801732732">
          <w:marLeft w:val="0"/>
          <w:marRight w:val="0"/>
          <w:marTop w:val="0"/>
          <w:marBottom w:val="0"/>
          <w:divBdr>
            <w:top w:val="none" w:sz="0" w:space="0" w:color="auto"/>
            <w:left w:val="none" w:sz="0" w:space="0" w:color="auto"/>
            <w:bottom w:val="none" w:sz="0" w:space="0" w:color="auto"/>
            <w:right w:val="none" w:sz="0" w:space="0" w:color="auto"/>
          </w:divBdr>
        </w:div>
        <w:div w:id="859707790">
          <w:marLeft w:val="0"/>
          <w:marRight w:val="0"/>
          <w:marTop w:val="0"/>
          <w:marBottom w:val="0"/>
          <w:divBdr>
            <w:top w:val="none" w:sz="0" w:space="0" w:color="auto"/>
            <w:left w:val="none" w:sz="0" w:space="0" w:color="auto"/>
            <w:bottom w:val="none" w:sz="0" w:space="0" w:color="auto"/>
            <w:right w:val="none" w:sz="0" w:space="0" w:color="auto"/>
          </w:divBdr>
        </w:div>
        <w:div w:id="880364966">
          <w:marLeft w:val="0"/>
          <w:marRight w:val="0"/>
          <w:marTop w:val="0"/>
          <w:marBottom w:val="0"/>
          <w:divBdr>
            <w:top w:val="none" w:sz="0" w:space="0" w:color="auto"/>
            <w:left w:val="none" w:sz="0" w:space="0" w:color="auto"/>
            <w:bottom w:val="none" w:sz="0" w:space="0" w:color="auto"/>
            <w:right w:val="none" w:sz="0" w:space="0" w:color="auto"/>
          </w:divBdr>
        </w:div>
        <w:div w:id="924847633">
          <w:marLeft w:val="0"/>
          <w:marRight w:val="0"/>
          <w:marTop w:val="0"/>
          <w:marBottom w:val="0"/>
          <w:divBdr>
            <w:top w:val="none" w:sz="0" w:space="0" w:color="auto"/>
            <w:left w:val="none" w:sz="0" w:space="0" w:color="auto"/>
            <w:bottom w:val="none" w:sz="0" w:space="0" w:color="auto"/>
            <w:right w:val="none" w:sz="0" w:space="0" w:color="auto"/>
          </w:divBdr>
        </w:div>
        <w:div w:id="1247879198">
          <w:marLeft w:val="0"/>
          <w:marRight w:val="0"/>
          <w:marTop w:val="0"/>
          <w:marBottom w:val="0"/>
          <w:divBdr>
            <w:top w:val="none" w:sz="0" w:space="0" w:color="auto"/>
            <w:left w:val="none" w:sz="0" w:space="0" w:color="auto"/>
            <w:bottom w:val="none" w:sz="0" w:space="0" w:color="auto"/>
            <w:right w:val="none" w:sz="0" w:space="0" w:color="auto"/>
          </w:divBdr>
        </w:div>
        <w:div w:id="1603562128">
          <w:marLeft w:val="0"/>
          <w:marRight w:val="0"/>
          <w:marTop w:val="0"/>
          <w:marBottom w:val="0"/>
          <w:divBdr>
            <w:top w:val="none" w:sz="0" w:space="0" w:color="auto"/>
            <w:left w:val="none" w:sz="0" w:space="0" w:color="auto"/>
            <w:bottom w:val="none" w:sz="0" w:space="0" w:color="auto"/>
            <w:right w:val="none" w:sz="0" w:space="0" w:color="auto"/>
          </w:divBdr>
        </w:div>
        <w:div w:id="1612742184">
          <w:marLeft w:val="0"/>
          <w:marRight w:val="0"/>
          <w:marTop w:val="0"/>
          <w:marBottom w:val="0"/>
          <w:divBdr>
            <w:top w:val="none" w:sz="0" w:space="0" w:color="auto"/>
            <w:left w:val="none" w:sz="0" w:space="0" w:color="auto"/>
            <w:bottom w:val="none" w:sz="0" w:space="0" w:color="auto"/>
            <w:right w:val="none" w:sz="0" w:space="0" w:color="auto"/>
          </w:divBdr>
        </w:div>
        <w:div w:id="1623144801">
          <w:marLeft w:val="0"/>
          <w:marRight w:val="0"/>
          <w:marTop w:val="0"/>
          <w:marBottom w:val="0"/>
          <w:divBdr>
            <w:top w:val="none" w:sz="0" w:space="0" w:color="auto"/>
            <w:left w:val="none" w:sz="0" w:space="0" w:color="auto"/>
            <w:bottom w:val="none" w:sz="0" w:space="0" w:color="auto"/>
            <w:right w:val="none" w:sz="0" w:space="0" w:color="auto"/>
          </w:divBdr>
        </w:div>
      </w:divsChild>
    </w:div>
    <w:div w:id="93480137">
      <w:bodyDiv w:val="1"/>
      <w:marLeft w:val="0"/>
      <w:marRight w:val="0"/>
      <w:marTop w:val="0"/>
      <w:marBottom w:val="0"/>
      <w:divBdr>
        <w:top w:val="none" w:sz="0" w:space="0" w:color="auto"/>
        <w:left w:val="none" w:sz="0" w:space="0" w:color="auto"/>
        <w:bottom w:val="none" w:sz="0" w:space="0" w:color="auto"/>
        <w:right w:val="none" w:sz="0" w:space="0" w:color="auto"/>
      </w:divBdr>
    </w:div>
    <w:div w:id="136268897">
      <w:bodyDiv w:val="1"/>
      <w:marLeft w:val="0"/>
      <w:marRight w:val="0"/>
      <w:marTop w:val="0"/>
      <w:marBottom w:val="0"/>
      <w:divBdr>
        <w:top w:val="none" w:sz="0" w:space="0" w:color="auto"/>
        <w:left w:val="none" w:sz="0" w:space="0" w:color="auto"/>
        <w:bottom w:val="none" w:sz="0" w:space="0" w:color="auto"/>
        <w:right w:val="none" w:sz="0" w:space="0" w:color="auto"/>
      </w:divBdr>
    </w:div>
    <w:div w:id="157233730">
      <w:bodyDiv w:val="1"/>
      <w:marLeft w:val="0"/>
      <w:marRight w:val="0"/>
      <w:marTop w:val="0"/>
      <w:marBottom w:val="0"/>
      <w:divBdr>
        <w:top w:val="none" w:sz="0" w:space="0" w:color="auto"/>
        <w:left w:val="none" w:sz="0" w:space="0" w:color="auto"/>
        <w:bottom w:val="none" w:sz="0" w:space="0" w:color="auto"/>
        <w:right w:val="none" w:sz="0" w:space="0" w:color="auto"/>
      </w:divBdr>
    </w:div>
    <w:div w:id="203712160">
      <w:bodyDiv w:val="1"/>
      <w:marLeft w:val="0"/>
      <w:marRight w:val="0"/>
      <w:marTop w:val="0"/>
      <w:marBottom w:val="0"/>
      <w:divBdr>
        <w:top w:val="none" w:sz="0" w:space="0" w:color="auto"/>
        <w:left w:val="none" w:sz="0" w:space="0" w:color="auto"/>
        <w:bottom w:val="none" w:sz="0" w:space="0" w:color="auto"/>
        <w:right w:val="none" w:sz="0" w:space="0" w:color="auto"/>
      </w:divBdr>
    </w:div>
    <w:div w:id="249896262">
      <w:bodyDiv w:val="1"/>
      <w:marLeft w:val="0"/>
      <w:marRight w:val="0"/>
      <w:marTop w:val="0"/>
      <w:marBottom w:val="0"/>
      <w:divBdr>
        <w:top w:val="none" w:sz="0" w:space="0" w:color="auto"/>
        <w:left w:val="none" w:sz="0" w:space="0" w:color="auto"/>
        <w:bottom w:val="none" w:sz="0" w:space="0" w:color="auto"/>
        <w:right w:val="none" w:sz="0" w:space="0" w:color="auto"/>
      </w:divBdr>
      <w:divsChild>
        <w:div w:id="1887450303">
          <w:marLeft w:val="0"/>
          <w:marRight w:val="0"/>
          <w:marTop w:val="0"/>
          <w:marBottom w:val="0"/>
          <w:divBdr>
            <w:top w:val="none" w:sz="0" w:space="0" w:color="auto"/>
            <w:left w:val="none" w:sz="0" w:space="0" w:color="auto"/>
            <w:bottom w:val="none" w:sz="0" w:space="0" w:color="auto"/>
            <w:right w:val="none" w:sz="0" w:space="0" w:color="auto"/>
          </w:divBdr>
          <w:divsChild>
            <w:div w:id="1956402759">
              <w:marLeft w:val="0"/>
              <w:marRight w:val="0"/>
              <w:marTop w:val="0"/>
              <w:marBottom w:val="0"/>
              <w:divBdr>
                <w:top w:val="none" w:sz="0" w:space="0" w:color="auto"/>
                <w:left w:val="none" w:sz="0" w:space="0" w:color="auto"/>
                <w:bottom w:val="none" w:sz="0" w:space="0" w:color="auto"/>
                <w:right w:val="none" w:sz="0" w:space="0" w:color="auto"/>
              </w:divBdr>
              <w:divsChild>
                <w:div w:id="19067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71275">
      <w:bodyDiv w:val="1"/>
      <w:marLeft w:val="0"/>
      <w:marRight w:val="0"/>
      <w:marTop w:val="0"/>
      <w:marBottom w:val="0"/>
      <w:divBdr>
        <w:top w:val="none" w:sz="0" w:space="0" w:color="auto"/>
        <w:left w:val="none" w:sz="0" w:space="0" w:color="auto"/>
        <w:bottom w:val="none" w:sz="0" w:space="0" w:color="auto"/>
        <w:right w:val="none" w:sz="0" w:space="0" w:color="auto"/>
      </w:divBdr>
    </w:div>
    <w:div w:id="285429371">
      <w:bodyDiv w:val="1"/>
      <w:marLeft w:val="0"/>
      <w:marRight w:val="0"/>
      <w:marTop w:val="0"/>
      <w:marBottom w:val="0"/>
      <w:divBdr>
        <w:top w:val="none" w:sz="0" w:space="0" w:color="auto"/>
        <w:left w:val="none" w:sz="0" w:space="0" w:color="auto"/>
        <w:bottom w:val="none" w:sz="0" w:space="0" w:color="auto"/>
        <w:right w:val="none" w:sz="0" w:space="0" w:color="auto"/>
      </w:divBdr>
    </w:div>
    <w:div w:id="329673759">
      <w:bodyDiv w:val="1"/>
      <w:marLeft w:val="0"/>
      <w:marRight w:val="0"/>
      <w:marTop w:val="0"/>
      <w:marBottom w:val="0"/>
      <w:divBdr>
        <w:top w:val="none" w:sz="0" w:space="0" w:color="auto"/>
        <w:left w:val="none" w:sz="0" w:space="0" w:color="auto"/>
        <w:bottom w:val="none" w:sz="0" w:space="0" w:color="auto"/>
        <w:right w:val="none" w:sz="0" w:space="0" w:color="auto"/>
      </w:divBdr>
    </w:div>
    <w:div w:id="331766179">
      <w:bodyDiv w:val="1"/>
      <w:marLeft w:val="0"/>
      <w:marRight w:val="0"/>
      <w:marTop w:val="0"/>
      <w:marBottom w:val="0"/>
      <w:divBdr>
        <w:top w:val="none" w:sz="0" w:space="0" w:color="auto"/>
        <w:left w:val="none" w:sz="0" w:space="0" w:color="auto"/>
        <w:bottom w:val="none" w:sz="0" w:space="0" w:color="auto"/>
        <w:right w:val="none" w:sz="0" w:space="0" w:color="auto"/>
      </w:divBdr>
    </w:div>
    <w:div w:id="332608274">
      <w:bodyDiv w:val="1"/>
      <w:marLeft w:val="0"/>
      <w:marRight w:val="0"/>
      <w:marTop w:val="0"/>
      <w:marBottom w:val="0"/>
      <w:divBdr>
        <w:top w:val="none" w:sz="0" w:space="0" w:color="auto"/>
        <w:left w:val="none" w:sz="0" w:space="0" w:color="auto"/>
        <w:bottom w:val="none" w:sz="0" w:space="0" w:color="auto"/>
        <w:right w:val="none" w:sz="0" w:space="0" w:color="auto"/>
      </w:divBdr>
    </w:div>
    <w:div w:id="336886246">
      <w:bodyDiv w:val="1"/>
      <w:marLeft w:val="0"/>
      <w:marRight w:val="0"/>
      <w:marTop w:val="0"/>
      <w:marBottom w:val="0"/>
      <w:divBdr>
        <w:top w:val="none" w:sz="0" w:space="0" w:color="auto"/>
        <w:left w:val="none" w:sz="0" w:space="0" w:color="auto"/>
        <w:bottom w:val="none" w:sz="0" w:space="0" w:color="auto"/>
        <w:right w:val="none" w:sz="0" w:space="0" w:color="auto"/>
      </w:divBdr>
    </w:div>
    <w:div w:id="338460326">
      <w:bodyDiv w:val="1"/>
      <w:marLeft w:val="0"/>
      <w:marRight w:val="0"/>
      <w:marTop w:val="0"/>
      <w:marBottom w:val="0"/>
      <w:divBdr>
        <w:top w:val="none" w:sz="0" w:space="0" w:color="auto"/>
        <w:left w:val="none" w:sz="0" w:space="0" w:color="auto"/>
        <w:bottom w:val="none" w:sz="0" w:space="0" w:color="auto"/>
        <w:right w:val="none" w:sz="0" w:space="0" w:color="auto"/>
      </w:divBdr>
    </w:div>
    <w:div w:id="360521812">
      <w:bodyDiv w:val="1"/>
      <w:marLeft w:val="0"/>
      <w:marRight w:val="0"/>
      <w:marTop w:val="0"/>
      <w:marBottom w:val="0"/>
      <w:divBdr>
        <w:top w:val="none" w:sz="0" w:space="0" w:color="auto"/>
        <w:left w:val="none" w:sz="0" w:space="0" w:color="auto"/>
        <w:bottom w:val="none" w:sz="0" w:space="0" w:color="auto"/>
        <w:right w:val="none" w:sz="0" w:space="0" w:color="auto"/>
      </w:divBdr>
    </w:div>
    <w:div w:id="379944471">
      <w:bodyDiv w:val="1"/>
      <w:marLeft w:val="0"/>
      <w:marRight w:val="0"/>
      <w:marTop w:val="0"/>
      <w:marBottom w:val="0"/>
      <w:divBdr>
        <w:top w:val="none" w:sz="0" w:space="0" w:color="auto"/>
        <w:left w:val="none" w:sz="0" w:space="0" w:color="auto"/>
        <w:bottom w:val="none" w:sz="0" w:space="0" w:color="auto"/>
        <w:right w:val="none" w:sz="0" w:space="0" w:color="auto"/>
      </w:divBdr>
    </w:div>
    <w:div w:id="383910440">
      <w:bodyDiv w:val="1"/>
      <w:marLeft w:val="0"/>
      <w:marRight w:val="0"/>
      <w:marTop w:val="0"/>
      <w:marBottom w:val="0"/>
      <w:divBdr>
        <w:top w:val="none" w:sz="0" w:space="0" w:color="auto"/>
        <w:left w:val="none" w:sz="0" w:space="0" w:color="auto"/>
        <w:bottom w:val="none" w:sz="0" w:space="0" w:color="auto"/>
        <w:right w:val="none" w:sz="0" w:space="0" w:color="auto"/>
      </w:divBdr>
      <w:divsChild>
        <w:div w:id="111024336">
          <w:marLeft w:val="0"/>
          <w:marRight w:val="0"/>
          <w:marTop w:val="0"/>
          <w:marBottom w:val="0"/>
          <w:divBdr>
            <w:top w:val="none" w:sz="0" w:space="0" w:color="auto"/>
            <w:left w:val="none" w:sz="0" w:space="0" w:color="auto"/>
            <w:bottom w:val="none" w:sz="0" w:space="0" w:color="auto"/>
            <w:right w:val="none" w:sz="0" w:space="0" w:color="auto"/>
          </w:divBdr>
        </w:div>
        <w:div w:id="269169351">
          <w:marLeft w:val="0"/>
          <w:marRight w:val="0"/>
          <w:marTop w:val="0"/>
          <w:marBottom w:val="0"/>
          <w:divBdr>
            <w:top w:val="none" w:sz="0" w:space="0" w:color="auto"/>
            <w:left w:val="none" w:sz="0" w:space="0" w:color="auto"/>
            <w:bottom w:val="none" w:sz="0" w:space="0" w:color="auto"/>
            <w:right w:val="none" w:sz="0" w:space="0" w:color="auto"/>
          </w:divBdr>
        </w:div>
        <w:div w:id="352072173">
          <w:marLeft w:val="0"/>
          <w:marRight w:val="0"/>
          <w:marTop w:val="0"/>
          <w:marBottom w:val="0"/>
          <w:divBdr>
            <w:top w:val="none" w:sz="0" w:space="0" w:color="auto"/>
            <w:left w:val="none" w:sz="0" w:space="0" w:color="auto"/>
            <w:bottom w:val="none" w:sz="0" w:space="0" w:color="auto"/>
            <w:right w:val="none" w:sz="0" w:space="0" w:color="auto"/>
          </w:divBdr>
        </w:div>
        <w:div w:id="409891086">
          <w:marLeft w:val="0"/>
          <w:marRight w:val="0"/>
          <w:marTop w:val="0"/>
          <w:marBottom w:val="0"/>
          <w:divBdr>
            <w:top w:val="none" w:sz="0" w:space="0" w:color="auto"/>
            <w:left w:val="none" w:sz="0" w:space="0" w:color="auto"/>
            <w:bottom w:val="none" w:sz="0" w:space="0" w:color="auto"/>
            <w:right w:val="none" w:sz="0" w:space="0" w:color="auto"/>
          </w:divBdr>
        </w:div>
        <w:div w:id="485628488">
          <w:marLeft w:val="0"/>
          <w:marRight w:val="0"/>
          <w:marTop w:val="0"/>
          <w:marBottom w:val="0"/>
          <w:divBdr>
            <w:top w:val="none" w:sz="0" w:space="0" w:color="auto"/>
            <w:left w:val="none" w:sz="0" w:space="0" w:color="auto"/>
            <w:bottom w:val="none" w:sz="0" w:space="0" w:color="auto"/>
            <w:right w:val="none" w:sz="0" w:space="0" w:color="auto"/>
          </w:divBdr>
        </w:div>
        <w:div w:id="928002115">
          <w:marLeft w:val="0"/>
          <w:marRight w:val="0"/>
          <w:marTop w:val="0"/>
          <w:marBottom w:val="0"/>
          <w:divBdr>
            <w:top w:val="none" w:sz="0" w:space="0" w:color="auto"/>
            <w:left w:val="none" w:sz="0" w:space="0" w:color="auto"/>
            <w:bottom w:val="none" w:sz="0" w:space="0" w:color="auto"/>
            <w:right w:val="none" w:sz="0" w:space="0" w:color="auto"/>
          </w:divBdr>
        </w:div>
        <w:div w:id="1047029212">
          <w:marLeft w:val="0"/>
          <w:marRight w:val="0"/>
          <w:marTop w:val="0"/>
          <w:marBottom w:val="0"/>
          <w:divBdr>
            <w:top w:val="none" w:sz="0" w:space="0" w:color="auto"/>
            <w:left w:val="none" w:sz="0" w:space="0" w:color="auto"/>
            <w:bottom w:val="none" w:sz="0" w:space="0" w:color="auto"/>
            <w:right w:val="none" w:sz="0" w:space="0" w:color="auto"/>
          </w:divBdr>
        </w:div>
        <w:div w:id="1199124776">
          <w:marLeft w:val="0"/>
          <w:marRight w:val="0"/>
          <w:marTop w:val="0"/>
          <w:marBottom w:val="0"/>
          <w:divBdr>
            <w:top w:val="none" w:sz="0" w:space="0" w:color="auto"/>
            <w:left w:val="none" w:sz="0" w:space="0" w:color="auto"/>
            <w:bottom w:val="none" w:sz="0" w:space="0" w:color="auto"/>
            <w:right w:val="none" w:sz="0" w:space="0" w:color="auto"/>
          </w:divBdr>
        </w:div>
        <w:div w:id="1308700937">
          <w:marLeft w:val="0"/>
          <w:marRight w:val="0"/>
          <w:marTop w:val="0"/>
          <w:marBottom w:val="0"/>
          <w:divBdr>
            <w:top w:val="none" w:sz="0" w:space="0" w:color="auto"/>
            <w:left w:val="none" w:sz="0" w:space="0" w:color="auto"/>
            <w:bottom w:val="none" w:sz="0" w:space="0" w:color="auto"/>
            <w:right w:val="none" w:sz="0" w:space="0" w:color="auto"/>
          </w:divBdr>
        </w:div>
        <w:div w:id="1386948529">
          <w:marLeft w:val="0"/>
          <w:marRight w:val="0"/>
          <w:marTop w:val="0"/>
          <w:marBottom w:val="0"/>
          <w:divBdr>
            <w:top w:val="none" w:sz="0" w:space="0" w:color="auto"/>
            <w:left w:val="none" w:sz="0" w:space="0" w:color="auto"/>
            <w:bottom w:val="none" w:sz="0" w:space="0" w:color="auto"/>
            <w:right w:val="none" w:sz="0" w:space="0" w:color="auto"/>
          </w:divBdr>
        </w:div>
        <w:div w:id="1466317014">
          <w:marLeft w:val="0"/>
          <w:marRight w:val="0"/>
          <w:marTop w:val="0"/>
          <w:marBottom w:val="0"/>
          <w:divBdr>
            <w:top w:val="none" w:sz="0" w:space="0" w:color="auto"/>
            <w:left w:val="none" w:sz="0" w:space="0" w:color="auto"/>
            <w:bottom w:val="none" w:sz="0" w:space="0" w:color="auto"/>
            <w:right w:val="none" w:sz="0" w:space="0" w:color="auto"/>
          </w:divBdr>
        </w:div>
        <w:div w:id="1736707734">
          <w:marLeft w:val="0"/>
          <w:marRight w:val="0"/>
          <w:marTop w:val="0"/>
          <w:marBottom w:val="0"/>
          <w:divBdr>
            <w:top w:val="none" w:sz="0" w:space="0" w:color="auto"/>
            <w:left w:val="none" w:sz="0" w:space="0" w:color="auto"/>
            <w:bottom w:val="none" w:sz="0" w:space="0" w:color="auto"/>
            <w:right w:val="none" w:sz="0" w:space="0" w:color="auto"/>
          </w:divBdr>
        </w:div>
        <w:div w:id="1894611659">
          <w:marLeft w:val="0"/>
          <w:marRight w:val="0"/>
          <w:marTop w:val="0"/>
          <w:marBottom w:val="0"/>
          <w:divBdr>
            <w:top w:val="none" w:sz="0" w:space="0" w:color="auto"/>
            <w:left w:val="none" w:sz="0" w:space="0" w:color="auto"/>
            <w:bottom w:val="none" w:sz="0" w:space="0" w:color="auto"/>
            <w:right w:val="none" w:sz="0" w:space="0" w:color="auto"/>
          </w:divBdr>
        </w:div>
        <w:div w:id="2005930598">
          <w:marLeft w:val="0"/>
          <w:marRight w:val="0"/>
          <w:marTop w:val="0"/>
          <w:marBottom w:val="0"/>
          <w:divBdr>
            <w:top w:val="none" w:sz="0" w:space="0" w:color="auto"/>
            <w:left w:val="none" w:sz="0" w:space="0" w:color="auto"/>
            <w:bottom w:val="none" w:sz="0" w:space="0" w:color="auto"/>
            <w:right w:val="none" w:sz="0" w:space="0" w:color="auto"/>
          </w:divBdr>
        </w:div>
        <w:div w:id="2062244858">
          <w:marLeft w:val="0"/>
          <w:marRight w:val="0"/>
          <w:marTop w:val="0"/>
          <w:marBottom w:val="0"/>
          <w:divBdr>
            <w:top w:val="none" w:sz="0" w:space="0" w:color="auto"/>
            <w:left w:val="none" w:sz="0" w:space="0" w:color="auto"/>
            <w:bottom w:val="none" w:sz="0" w:space="0" w:color="auto"/>
            <w:right w:val="none" w:sz="0" w:space="0" w:color="auto"/>
          </w:divBdr>
        </w:div>
        <w:div w:id="2137214111">
          <w:marLeft w:val="0"/>
          <w:marRight w:val="0"/>
          <w:marTop w:val="0"/>
          <w:marBottom w:val="0"/>
          <w:divBdr>
            <w:top w:val="none" w:sz="0" w:space="0" w:color="auto"/>
            <w:left w:val="none" w:sz="0" w:space="0" w:color="auto"/>
            <w:bottom w:val="none" w:sz="0" w:space="0" w:color="auto"/>
            <w:right w:val="none" w:sz="0" w:space="0" w:color="auto"/>
          </w:divBdr>
        </w:div>
      </w:divsChild>
    </w:div>
    <w:div w:id="407726757">
      <w:bodyDiv w:val="1"/>
      <w:marLeft w:val="0"/>
      <w:marRight w:val="0"/>
      <w:marTop w:val="0"/>
      <w:marBottom w:val="0"/>
      <w:divBdr>
        <w:top w:val="none" w:sz="0" w:space="0" w:color="auto"/>
        <w:left w:val="none" w:sz="0" w:space="0" w:color="auto"/>
        <w:bottom w:val="none" w:sz="0" w:space="0" w:color="auto"/>
        <w:right w:val="none" w:sz="0" w:space="0" w:color="auto"/>
      </w:divBdr>
    </w:div>
    <w:div w:id="445124878">
      <w:bodyDiv w:val="1"/>
      <w:marLeft w:val="0"/>
      <w:marRight w:val="0"/>
      <w:marTop w:val="0"/>
      <w:marBottom w:val="0"/>
      <w:divBdr>
        <w:top w:val="none" w:sz="0" w:space="0" w:color="auto"/>
        <w:left w:val="none" w:sz="0" w:space="0" w:color="auto"/>
        <w:bottom w:val="none" w:sz="0" w:space="0" w:color="auto"/>
        <w:right w:val="none" w:sz="0" w:space="0" w:color="auto"/>
      </w:divBdr>
    </w:div>
    <w:div w:id="498083264">
      <w:bodyDiv w:val="1"/>
      <w:marLeft w:val="1134"/>
      <w:marRight w:val="1134"/>
      <w:marTop w:val="0"/>
      <w:marBottom w:val="0"/>
      <w:divBdr>
        <w:top w:val="none" w:sz="0" w:space="0" w:color="auto"/>
        <w:left w:val="none" w:sz="0" w:space="0" w:color="auto"/>
        <w:bottom w:val="none" w:sz="0" w:space="0" w:color="auto"/>
        <w:right w:val="none" w:sz="0" w:space="0" w:color="auto"/>
      </w:divBdr>
      <w:divsChild>
        <w:div w:id="761610675">
          <w:marLeft w:val="0"/>
          <w:marRight w:val="0"/>
          <w:marTop w:val="0"/>
          <w:marBottom w:val="0"/>
          <w:divBdr>
            <w:top w:val="none" w:sz="0" w:space="0" w:color="auto"/>
            <w:left w:val="none" w:sz="0" w:space="0" w:color="auto"/>
            <w:bottom w:val="none" w:sz="0" w:space="0" w:color="auto"/>
            <w:right w:val="none" w:sz="0" w:space="0" w:color="auto"/>
          </w:divBdr>
          <w:divsChild>
            <w:div w:id="1622416334">
              <w:marLeft w:val="0"/>
              <w:marRight w:val="0"/>
              <w:marTop w:val="0"/>
              <w:marBottom w:val="0"/>
              <w:divBdr>
                <w:top w:val="none" w:sz="0" w:space="0" w:color="auto"/>
                <w:left w:val="none" w:sz="0" w:space="0" w:color="auto"/>
                <w:bottom w:val="none" w:sz="0" w:space="0" w:color="auto"/>
                <w:right w:val="none" w:sz="0" w:space="0" w:color="auto"/>
              </w:divBdr>
              <w:divsChild>
                <w:div w:id="1994790983">
                  <w:marLeft w:val="2160"/>
                  <w:marRight w:val="1800"/>
                  <w:marTop w:val="480"/>
                  <w:marBottom w:val="0"/>
                  <w:divBdr>
                    <w:top w:val="none" w:sz="0" w:space="0" w:color="auto"/>
                    <w:left w:val="none" w:sz="0" w:space="0" w:color="auto"/>
                    <w:bottom w:val="none" w:sz="0" w:space="0" w:color="auto"/>
                    <w:right w:val="none" w:sz="0" w:space="0" w:color="auto"/>
                  </w:divBdr>
                  <w:divsChild>
                    <w:div w:id="18557272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58827583">
      <w:bodyDiv w:val="1"/>
      <w:marLeft w:val="0"/>
      <w:marRight w:val="0"/>
      <w:marTop w:val="0"/>
      <w:marBottom w:val="0"/>
      <w:divBdr>
        <w:top w:val="none" w:sz="0" w:space="0" w:color="auto"/>
        <w:left w:val="none" w:sz="0" w:space="0" w:color="auto"/>
        <w:bottom w:val="none" w:sz="0" w:space="0" w:color="auto"/>
        <w:right w:val="none" w:sz="0" w:space="0" w:color="auto"/>
      </w:divBdr>
      <w:divsChild>
        <w:div w:id="1165631474">
          <w:marLeft w:val="0"/>
          <w:marRight w:val="0"/>
          <w:marTop w:val="0"/>
          <w:marBottom w:val="0"/>
          <w:divBdr>
            <w:top w:val="none" w:sz="0" w:space="0" w:color="auto"/>
            <w:left w:val="none" w:sz="0" w:space="0" w:color="auto"/>
            <w:bottom w:val="none" w:sz="0" w:space="0" w:color="auto"/>
            <w:right w:val="none" w:sz="0" w:space="0" w:color="auto"/>
          </w:divBdr>
        </w:div>
        <w:div w:id="1484587538">
          <w:marLeft w:val="0"/>
          <w:marRight w:val="0"/>
          <w:marTop w:val="0"/>
          <w:marBottom w:val="0"/>
          <w:divBdr>
            <w:top w:val="none" w:sz="0" w:space="0" w:color="auto"/>
            <w:left w:val="none" w:sz="0" w:space="0" w:color="auto"/>
            <w:bottom w:val="none" w:sz="0" w:space="0" w:color="auto"/>
            <w:right w:val="none" w:sz="0" w:space="0" w:color="auto"/>
          </w:divBdr>
        </w:div>
        <w:div w:id="1693219166">
          <w:marLeft w:val="0"/>
          <w:marRight w:val="0"/>
          <w:marTop w:val="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
    <w:div w:id="578515835">
      <w:bodyDiv w:val="1"/>
      <w:marLeft w:val="0"/>
      <w:marRight w:val="0"/>
      <w:marTop w:val="0"/>
      <w:marBottom w:val="0"/>
      <w:divBdr>
        <w:top w:val="none" w:sz="0" w:space="0" w:color="auto"/>
        <w:left w:val="none" w:sz="0" w:space="0" w:color="auto"/>
        <w:bottom w:val="none" w:sz="0" w:space="0" w:color="auto"/>
        <w:right w:val="none" w:sz="0" w:space="0" w:color="auto"/>
      </w:divBdr>
      <w:divsChild>
        <w:div w:id="2981824">
          <w:marLeft w:val="0"/>
          <w:marRight w:val="0"/>
          <w:marTop w:val="0"/>
          <w:marBottom w:val="0"/>
          <w:divBdr>
            <w:top w:val="none" w:sz="0" w:space="0" w:color="auto"/>
            <w:left w:val="none" w:sz="0" w:space="0" w:color="auto"/>
            <w:bottom w:val="none" w:sz="0" w:space="0" w:color="auto"/>
            <w:right w:val="none" w:sz="0" w:space="0" w:color="auto"/>
          </w:divBdr>
        </w:div>
        <w:div w:id="108135086">
          <w:marLeft w:val="0"/>
          <w:marRight w:val="0"/>
          <w:marTop w:val="0"/>
          <w:marBottom w:val="0"/>
          <w:divBdr>
            <w:top w:val="none" w:sz="0" w:space="0" w:color="auto"/>
            <w:left w:val="none" w:sz="0" w:space="0" w:color="auto"/>
            <w:bottom w:val="none" w:sz="0" w:space="0" w:color="auto"/>
            <w:right w:val="none" w:sz="0" w:space="0" w:color="auto"/>
          </w:divBdr>
        </w:div>
        <w:div w:id="237717754">
          <w:marLeft w:val="0"/>
          <w:marRight w:val="0"/>
          <w:marTop w:val="0"/>
          <w:marBottom w:val="0"/>
          <w:divBdr>
            <w:top w:val="none" w:sz="0" w:space="0" w:color="auto"/>
            <w:left w:val="none" w:sz="0" w:space="0" w:color="auto"/>
            <w:bottom w:val="none" w:sz="0" w:space="0" w:color="auto"/>
            <w:right w:val="none" w:sz="0" w:space="0" w:color="auto"/>
          </w:divBdr>
        </w:div>
        <w:div w:id="351300000">
          <w:marLeft w:val="0"/>
          <w:marRight w:val="0"/>
          <w:marTop w:val="0"/>
          <w:marBottom w:val="0"/>
          <w:divBdr>
            <w:top w:val="none" w:sz="0" w:space="0" w:color="auto"/>
            <w:left w:val="none" w:sz="0" w:space="0" w:color="auto"/>
            <w:bottom w:val="none" w:sz="0" w:space="0" w:color="auto"/>
            <w:right w:val="none" w:sz="0" w:space="0" w:color="auto"/>
          </w:divBdr>
        </w:div>
        <w:div w:id="540897159">
          <w:marLeft w:val="0"/>
          <w:marRight w:val="0"/>
          <w:marTop w:val="0"/>
          <w:marBottom w:val="0"/>
          <w:divBdr>
            <w:top w:val="none" w:sz="0" w:space="0" w:color="auto"/>
            <w:left w:val="none" w:sz="0" w:space="0" w:color="auto"/>
            <w:bottom w:val="none" w:sz="0" w:space="0" w:color="auto"/>
            <w:right w:val="none" w:sz="0" w:space="0" w:color="auto"/>
          </w:divBdr>
        </w:div>
        <w:div w:id="716052588">
          <w:marLeft w:val="0"/>
          <w:marRight w:val="0"/>
          <w:marTop w:val="0"/>
          <w:marBottom w:val="0"/>
          <w:divBdr>
            <w:top w:val="none" w:sz="0" w:space="0" w:color="auto"/>
            <w:left w:val="none" w:sz="0" w:space="0" w:color="auto"/>
            <w:bottom w:val="none" w:sz="0" w:space="0" w:color="auto"/>
            <w:right w:val="none" w:sz="0" w:space="0" w:color="auto"/>
          </w:divBdr>
        </w:div>
        <w:div w:id="953900616">
          <w:marLeft w:val="0"/>
          <w:marRight w:val="0"/>
          <w:marTop w:val="0"/>
          <w:marBottom w:val="0"/>
          <w:divBdr>
            <w:top w:val="none" w:sz="0" w:space="0" w:color="auto"/>
            <w:left w:val="none" w:sz="0" w:space="0" w:color="auto"/>
            <w:bottom w:val="none" w:sz="0" w:space="0" w:color="auto"/>
            <w:right w:val="none" w:sz="0" w:space="0" w:color="auto"/>
          </w:divBdr>
        </w:div>
        <w:div w:id="978874326">
          <w:marLeft w:val="0"/>
          <w:marRight w:val="0"/>
          <w:marTop w:val="0"/>
          <w:marBottom w:val="0"/>
          <w:divBdr>
            <w:top w:val="none" w:sz="0" w:space="0" w:color="auto"/>
            <w:left w:val="none" w:sz="0" w:space="0" w:color="auto"/>
            <w:bottom w:val="none" w:sz="0" w:space="0" w:color="auto"/>
            <w:right w:val="none" w:sz="0" w:space="0" w:color="auto"/>
          </w:divBdr>
        </w:div>
        <w:div w:id="1082095640">
          <w:marLeft w:val="0"/>
          <w:marRight w:val="0"/>
          <w:marTop w:val="0"/>
          <w:marBottom w:val="0"/>
          <w:divBdr>
            <w:top w:val="none" w:sz="0" w:space="0" w:color="auto"/>
            <w:left w:val="none" w:sz="0" w:space="0" w:color="auto"/>
            <w:bottom w:val="none" w:sz="0" w:space="0" w:color="auto"/>
            <w:right w:val="none" w:sz="0" w:space="0" w:color="auto"/>
          </w:divBdr>
        </w:div>
        <w:div w:id="1116634548">
          <w:marLeft w:val="0"/>
          <w:marRight w:val="0"/>
          <w:marTop w:val="0"/>
          <w:marBottom w:val="0"/>
          <w:divBdr>
            <w:top w:val="none" w:sz="0" w:space="0" w:color="auto"/>
            <w:left w:val="none" w:sz="0" w:space="0" w:color="auto"/>
            <w:bottom w:val="none" w:sz="0" w:space="0" w:color="auto"/>
            <w:right w:val="none" w:sz="0" w:space="0" w:color="auto"/>
          </w:divBdr>
        </w:div>
        <w:div w:id="1168859901">
          <w:marLeft w:val="0"/>
          <w:marRight w:val="0"/>
          <w:marTop w:val="0"/>
          <w:marBottom w:val="0"/>
          <w:divBdr>
            <w:top w:val="none" w:sz="0" w:space="0" w:color="auto"/>
            <w:left w:val="none" w:sz="0" w:space="0" w:color="auto"/>
            <w:bottom w:val="none" w:sz="0" w:space="0" w:color="auto"/>
            <w:right w:val="none" w:sz="0" w:space="0" w:color="auto"/>
          </w:divBdr>
        </w:div>
        <w:div w:id="1173649260">
          <w:marLeft w:val="0"/>
          <w:marRight w:val="0"/>
          <w:marTop w:val="0"/>
          <w:marBottom w:val="0"/>
          <w:divBdr>
            <w:top w:val="none" w:sz="0" w:space="0" w:color="auto"/>
            <w:left w:val="none" w:sz="0" w:space="0" w:color="auto"/>
            <w:bottom w:val="none" w:sz="0" w:space="0" w:color="auto"/>
            <w:right w:val="none" w:sz="0" w:space="0" w:color="auto"/>
          </w:divBdr>
        </w:div>
        <w:div w:id="1713925022">
          <w:marLeft w:val="0"/>
          <w:marRight w:val="0"/>
          <w:marTop w:val="0"/>
          <w:marBottom w:val="0"/>
          <w:divBdr>
            <w:top w:val="none" w:sz="0" w:space="0" w:color="auto"/>
            <w:left w:val="none" w:sz="0" w:space="0" w:color="auto"/>
            <w:bottom w:val="none" w:sz="0" w:space="0" w:color="auto"/>
            <w:right w:val="none" w:sz="0" w:space="0" w:color="auto"/>
          </w:divBdr>
        </w:div>
        <w:div w:id="1741754071">
          <w:marLeft w:val="0"/>
          <w:marRight w:val="0"/>
          <w:marTop w:val="0"/>
          <w:marBottom w:val="0"/>
          <w:divBdr>
            <w:top w:val="none" w:sz="0" w:space="0" w:color="auto"/>
            <w:left w:val="none" w:sz="0" w:space="0" w:color="auto"/>
            <w:bottom w:val="none" w:sz="0" w:space="0" w:color="auto"/>
            <w:right w:val="none" w:sz="0" w:space="0" w:color="auto"/>
          </w:divBdr>
        </w:div>
        <w:div w:id="1785419640">
          <w:marLeft w:val="0"/>
          <w:marRight w:val="0"/>
          <w:marTop w:val="0"/>
          <w:marBottom w:val="0"/>
          <w:divBdr>
            <w:top w:val="none" w:sz="0" w:space="0" w:color="auto"/>
            <w:left w:val="none" w:sz="0" w:space="0" w:color="auto"/>
            <w:bottom w:val="none" w:sz="0" w:space="0" w:color="auto"/>
            <w:right w:val="none" w:sz="0" w:space="0" w:color="auto"/>
          </w:divBdr>
        </w:div>
        <w:div w:id="2054579299">
          <w:marLeft w:val="0"/>
          <w:marRight w:val="0"/>
          <w:marTop w:val="0"/>
          <w:marBottom w:val="0"/>
          <w:divBdr>
            <w:top w:val="none" w:sz="0" w:space="0" w:color="auto"/>
            <w:left w:val="none" w:sz="0" w:space="0" w:color="auto"/>
            <w:bottom w:val="none" w:sz="0" w:space="0" w:color="auto"/>
            <w:right w:val="none" w:sz="0" w:space="0" w:color="auto"/>
          </w:divBdr>
        </w:div>
      </w:divsChild>
    </w:div>
    <w:div w:id="619606210">
      <w:bodyDiv w:val="1"/>
      <w:marLeft w:val="0"/>
      <w:marRight w:val="0"/>
      <w:marTop w:val="0"/>
      <w:marBottom w:val="0"/>
      <w:divBdr>
        <w:top w:val="none" w:sz="0" w:space="0" w:color="auto"/>
        <w:left w:val="none" w:sz="0" w:space="0" w:color="auto"/>
        <w:bottom w:val="none" w:sz="0" w:space="0" w:color="auto"/>
        <w:right w:val="none" w:sz="0" w:space="0" w:color="auto"/>
      </w:divBdr>
    </w:div>
    <w:div w:id="626855337">
      <w:bodyDiv w:val="1"/>
      <w:marLeft w:val="0"/>
      <w:marRight w:val="0"/>
      <w:marTop w:val="0"/>
      <w:marBottom w:val="0"/>
      <w:divBdr>
        <w:top w:val="none" w:sz="0" w:space="0" w:color="auto"/>
        <w:left w:val="none" w:sz="0" w:space="0" w:color="auto"/>
        <w:bottom w:val="none" w:sz="0" w:space="0" w:color="auto"/>
        <w:right w:val="none" w:sz="0" w:space="0" w:color="auto"/>
      </w:divBdr>
    </w:div>
    <w:div w:id="641161359">
      <w:bodyDiv w:val="1"/>
      <w:marLeft w:val="0"/>
      <w:marRight w:val="0"/>
      <w:marTop w:val="0"/>
      <w:marBottom w:val="0"/>
      <w:divBdr>
        <w:top w:val="none" w:sz="0" w:space="0" w:color="auto"/>
        <w:left w:val="none" w:sz="0" w:space="0" w:color="auto"/>
        <w:bottom w:val="none" w:sz="0" w:space="0" w:color="auto"/>
        <w:right w:val="none" w:sz="0" w:space="0" w:color="auto"/>
      </w:divBdr>
    </w:div>
    <w:div w:id="711805096">
      <w:bodyDiv w:val="1"/>
      <w:marLeft w:val="0"/>
      <w:marRight w:val="0"/>
      <w:marTop w:val="0"/>
      <w:marBottom w:val="0"/>
      <w:divBdr>
        <w:top w:val="none" w:sz="0" w:space="0" w:color="auto"/>
        <w:left w:val="none" w:sz="0" w:space="0" w:color="auto"/>
        <w:bottom w:val="none" w:sz="0" w:space="0" w:color="auto"/>
        <w:right w:val="none" w:sz="0" w:space="0" w:color="auto"/>
      </w:divBdr>
    </w:div>
    <w:div w:id="717243372">
      <w:bodyDiv w:val="1"/>
      <w:marLeft w:val="0"/>
      <w:marRight w:val="0"/>
      <w:marTop w:val="0"/>
      <w:marBottom w:val="0"/>
      <w:divBdr>
        <w:top w:val="none" w:sz="0" w:space="0" w:color="auto"/>
        <w:left w:val="none" w:sz="0" w:space="0" w:color="auto"/>
        <w:bottom w:val="none" w:sz="0" w:space="0" w:color="auto"/>
        <w:right w:val="none" w:sz="0" w:space="0" w:color="auto"/>
      </w:divBdr>
    </w:div>
    <w:div w:id="758528919">
      <w:bodyDiv w:val="1"/>
      <w:marLeft w:val="0"/>
      <w:marRight w:val="0"/>
      <w:marTop w:val="0"/>
      <w:marBottom w:val="0"/>
      <w:divBdr>
        <w:top w:val="none" w:sz="0" w:space="0" w:color="auto"/>
        <w:left w:val="none" w:sz="0" w:space="0" w:color="auto"/>
        <w:bottom w:val="none" w:sz="0" w:space="0" w:color="auto"/>
        <w:right w:val="none" w:sz="0" w:space="0" w:color="auto"/>
      </w:divBdr>
    </w:div>
    <w:div w:id="767041791">
      <w:bodyDiv w:val="1"/>
      <w:marLeft w:val="0"/>
      <w:marRight w:val="0"/>
      <w:marTop w:val="0"/>
      <w:marBottom w:val="0"/>
      <w:divBdr>
        <w:top w:val="none" w:sz="0" w:space="0" w:color="auto"/>
        <w:left w:val="none" w:sz="0" w:space="0" w:color="auto"/>
        <w:bottom w:val="none" w:sz="0" w:space="0" w:color="auto"/>
        <w:right w:val="none" w:sz="0" w:space="0" w:color="auto"/>
      </w:divBdr>
    </w:div>
    <w:div w:id="773286963">
      <w:bodyDiv w:val="1"/>
      <w:marLeft w:val="0"/>
      <w:marRight w:val="0"/>
      <w:marTop w:val="0"/>
      <w:marBottom w:val="0"/>
      <w:divBdr>
        <w:top w:val="none" w:sz="0" w:space="0" w:color="auto"/>
        <w:left w:val="none" w:sz="0" w:space="0" w:color="auto"/>
        <w:bottom w:val="none" w:sz="0" w:space="0" w:color="auto"/>
        <w:right w:val="none" w:sz="0" w:space="0" w:color="auto"/>
      </w:divBdr>
      <w:divsChild>
        <w:div w:id="301733277">
          <w:marLeft w:val="0"/>
          <w:marRight w:val="0"/>
          <w:marTop w:val="0"/>
          <w:marBottom w:val="0"/>
          <w:divBdr>
            <w:top w:val="none" w:sz="0" w:space="0" w:color="auto"/>
            <w:left w:val="none" w:sz="0" w:space="0" w:color="auto"/>
            <w:bottom w:val="none" w:sz="0" w:space="0" w:color="auto"/>
            <w:right w:val="none" w:sz="0" w:space="0" w:color="auto"/>
          </w:divBdr>
        </w:div>
        <w:div w:id="739325553">
          <w:marLeft w:val="0"/>
          <w:marRight w:val="0"/>
          <w:marTop w:val="0"/>
          <w:marBottom w:val="0"/>
          <w:divBdr>
            <w:top w:val="none" w:sz="0" w:space="0" w:color="auto"/>
            <w:left w:val="none" w:sz="0" w:space="0" w:color="auto"/>
            <w:bottom w:val="none" w:sz="0" w:space="0" w:color="auto"/>
            <w:right w:val="none" w:sz="0" w:space="0" w:color="auto"/>
          </w:divBdr>
        </w:div>
        <w:div w:id="854459840">
          <w:marLeft w:val="0"/>
          <w:marRight w:val="0"/>
          <w:marTop w:val="0"/>
          <w:marBottom w:val="0"/>
          <w:divBdr>
            <w:top w:val="none" w:sz="0" w:space="0" w:color="auto"/>
            <w:left w:val="none" w:sz="0" w:space="0" w:color="auto"/>
            <w:bottom w:val="none" w:sz="0" w:space="0" w:color="auto"/>
            <w:right w:val="none" w:sz="0" w:space="0" w:color="auto"/>
          </w:divBdr>
        </w:div>
        <w:div w:id="1064522921">
          <w:marLeft w:val="0"/>
          <w:marRight w:val="0"/>
          <w:marTop w:val="0"/>
          <w:marBottom w:val="0"/>
          <w:divBdr>
            <w:top w:val="none" w:sz="0" w:space="0" w:color="auto"/>
            <w:left w:val="none" w:sz="0" w:space="0" w:color="auto"/>
            <w:bottom w:val="none" w:sz="0" w:space="0" w:color="auto"/>
            <w:right w:val="none" w:sz="0" w:space="0" w:color="auto"/>
          </w:divBdr>
        </w:div>
        <w:div w:id="1796021027">
          <w:marLeft w:val="0"/>
          <w:marRight w:val="0"/>
          <w:marTop w:val="0"/>
          <w:marBottom w:val="0"/>
          <w:divBdr>
            <w:top w:val="none" w:sz="0" w:space="0" w:color="auto"/>
            <w:left w:val="none" w:sz="0" w:space="0" w:color="auto"/>
            <w:bottom w:val="none" w:sz="0" w:space="0" w:color="auto"/>
            <w:right w:val="none" w:sz="0" w:space="0" w:color="auto"/>
          </w:divBdr>
        </w:div>
      </w:divsChild>
    </w:div>
    <w:div w:id="776297365">
      <w:bodyDiv w:val="1"/>
      <w:marLeft w:val="0"/>
      <w:marRight w:val="0"/>
      <w:marTop w:val="0"/>
      <w:marBottom w:val="0"/>
      <w:divBdr>
        <w:top w:val="none" w:sz="0" w:space="0" w:color="auto"/>
        <w:left w:val="none" w:sz="0" w:space="0" w:color="auto"/>
        <w:bottom w:val="none" w:sz="0" w:space="0" w:color="auto"/>
        <w:right w:val="none" w:sz="0" w:space="0" w:color="auto"/>
      </w:divBdr>
      <w:divsChild>
        <w:div w:id="1023357012">
          <w:marLeft w:val="0"/>
          <w:marRight w:val="0"/>
          <w:marTop w:val="0"/>
          <w:marBottom w:val="0"/>
          <w:divBdr>
            <w:top w:val="none" w:sz="0" w:space="0" w:color="auto"/>
            <w:left w:val="none" w:sz="0" w:space="0" w:color="auto"/>
            <w:bottom w:val="none" w:sz="0" w:space="0" w:color="auto"/>
            <w:right w:val="none" w:sz="0" w:space="0" w:color="auto"/>
          </w:divBdr>
          <w:divsChild>
            <w:div w:id="1321347580">
              <w:marLeft w:val="0"/>
              <w:marRight w:val="0"/>
              <w:marTop w:val="0"/>
              <w:marBottom w:val="0"/>
              <w:divBdr>
                <w:top w:val="none" w:sz="0" w:space="0" w:color="auto"/>
                <w:left w:val="none" w:sz="0" w:space="0" w:color="auto"/>
                <w:bottom w:val="none" w:sz="0" w:space="0" w:color="auto"/>
                <w:right w:val="none" w:sz="0" w:space="0" w:color="auto"/>
              </w:divBdr>
              <w:divsChild>
                <w:div w:id="1093629779">
                  <w:marLeft w:val="0"/>
                  <w:marRight w:val="0"/>
                  <w:marTop w:val="0"/>
                  <w:marBottom w:val="0"/>
                  <w:divBdr>
                    <w:top w:val="none" w:sz="0" w:space="0" w:color="auto"/>
                    <w:left w:val="none" w:sz="0" w:space="0" w:color="auto"/>
                    <w:bottom w:val="none" w:sz="0" w:space="0" w:color="auto"/>
                    <w:right w:val="none" w:sz="0" w:space="0" w:color="auto"/>
                  </w:divBdr>
                  <w:divsChild>
                    <w:div w:id="1428186157">
                      <w:marLeft w:val="0"/>
                      <w:marRight w:val="0"/>
                      <w:marTop w:val="0"/>
                      <w:marBottom w:val="0"/>
                      <w:divBdr>
                        <w:top w:val="none" w:sz="0" w:space="0" w:color="auto"/>
                        <w:left w:val="none" w:sz="0" w:space="0" w:color="auto"/>
                        <w:bottom w:val="none" w:sz="0" w:space="0" w:color="auto"/>
                        <w:right w:val="none" w:sz="0" w:space="0" w:color="auto"/>
                      </w:divBdr>
                      <w:divsChild>
                        <w:div w:id="567963625">
                          <w:marLeft w:val="0"/>
                          <w:marRight w:val="0"/>
                          <w:marTop w:val="0"/>
                          <w:marBottom w:val="0"/>
                          <w:divBdr>
                            <w:top w:val="none" w:sz="0" w:space="0" w:color="auto"/>
                            <w:left w:val="none" w:sz="0" w:space="0" w:color="auto"/>
                            <w:bottom w:val="none" w:sz="0" w:space="0" w:color="auto"/>
                            <w:right w:val="none" w:sz="0" w:space="0" w:color="auto"/>
                          </w:divBdr>
                          <w:divsChild>
                            <w:div w:id="1266042145">
                              <w:marLeft w:val="0"/>
                              <w:marRight w:val="0"/>
                              <w:marTop w:val="0"/>
                              <w:marBottom w:val="0"/>
                              <w:divBdr>
                                <w:top w:val="none" w:sz="0" w:space="0" w:color="auto"/>
                                <w:left w:val="none" w:sz="0" w:space="0" w:color="auto"/>
                                <w:bottom w:val="none" w:sz="0" w:space="0" w:color="auto"/>
                                <w:right w:val="none" w:sz="0" w:space="0" w:color="auto"/>
                              </w:divBdr>
                              <w:divsChild>
                                <w:div w:id="11668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174428">
      <w:bodyDiv w:val="1"/>
      <w:marLeft w:val="0"/>
      <w:marRight w:val="0"/>
      <w:marTop w:val="0"/>
      <w:marBottom w:val="0"/>
      <w:divBdr>
        <w:top w:val="none" w:sz="0" w:space="0" w:color="auto"/>
        <w:left w:val="none" w:sz="0" w:space="0" w:color="auto"/>
        <w:bottom w:val="none" w:sz="0" w:space="0" w:color="auto"/>
        <w:right w:val="none" w:sz="0" w:space="0" w:color="auto"/>
      </w:divBdr>
      <w:divsChild>
        <w:div w:id="550505541">
          <w:marLeft w:val="0"/>
          <w:marRight w:val="0"/>
          <w:marTop w:val="0"/>
          <w:marBottom w:val="0"/>
          <w:divBdr>
            <w:top w:val="none" w:sz="0" w:space="0" w:color="auto"/>
            <w:left w:val="none" w:sz="0" w:space="0" w:color="auto"/>
            <w:bottom w:val="none" w:sz="0" w:space="0" w:color="auto"/>
            <w:right w:val="none" w:sz="0" w:space="0" w:color="auto"/>
          </w:divBdr>
        </w:div>
        <w:div w:id="754326772">
          <w:marLeft w:val="0"/>
          <w:marRight w:val="0"/>
          <w:marTop w:val="0"/>
          <w:marBottom w:val="0"/>
          <w:divBdr>
            <w:top w:val="none" w:sz="0" w:space="0" w:color="auto"/>
            <w:left w:val="none" w:sz="0" w:space="0" w:color="auto"/>
            <w:bottom w:val="none" w:sz="0" w:space="0" w:color="auto"/>
            <w:right w:val="none" w:sz="0" w:space="0" w:color="auto"/>
          </w:divBdr>
        </w:div>
        <w:div w:id="822627151">
          <w:marLeft w:val="0"/>
          <w:marRight w:val="0"/>
          <w:marTop w:val="0"/>
          <w:marBottom w:val="0"/>
          <w:divBdr>
            <w:top w:val="none" w:sz="0" w:space="0" w:color="auto"/>
            <w:left w:val="none" w:sz="0" w:space="0" w:color="auto"/>
            <w:bottom w:val="none" w:sz="0" w:space="0" w:color="auto"/>
            <w:right w:val="none" w:sz="0" w:space="0" w:color="auto"/>
          </w:divBdr>
        </w:div>
        <w:div w:id="1069961861">
          <w:marLeft w:val="0"/>
          <w:marRight w:val="0"/>
          <w:marTop w:val="0"/>
          <w:marBottom w:val="0"/>
          <w:divBdr>
            <w:top w:val="none" w:sz="0" w:space="0" w:color="auto"/>
            <w:left w:val="none" w:sz="0" w:space="0" w:color="auto"/>
            <w:bottom w:val="none" w:sz="0" w:space="0" w:color="auto"/>
            <w:right w:val="none" w:sz="0" w:space="0" w:color="auto"/>
          </w:divBdr>
        </w:div>
        <w:div w:id="1100221452">
          <w:marLeft w:val="0"/>
          <w:marRight w:val="0"/>
          <w:marTop w:val="0"/>
          <w:marBottom w:val="0"/>
          <w:divBdr>
            <w:top w:val="none" w:sz="0" w:space="0" w:color="auto"/>
            <w:left w:val="none" w:sz="0" w:space="0" w:color="auto"/>
            <w:bottom w:val="none" w:sz="0" w:space="0" w:color="auto"/>
            <w:right w:val="none" w:sz="0" w:space="0" w:color="auto"/>
          </w:divBdr>
        </w:div>
        <w:div w:id="1123159652">
          <w:marLeft w:val="0"/>
          <w:marRight w:val="0"/>
          <w:marTop w:val="0"/>
          <w:marBottom w:val="0"/>
          <w:divBdr>
            <w:top w:val="none" w:sz="0" w:space="0" w:color="auto"/>
            <w:left w:val="none" w:sz="0" w:space="0" w:color="auto"/>
            <w:bottom w:val="none" w:sz="0" w:space="0" w:color="auto"/>
            <w:right w:val="none" w:sz="0" w:space="0" w:color="auto"/>
          </w:divBdr>
        </w:div>
        <w:div w:id="1144009977">
          <w:marLeft w:val="0"/>
          <w:marRight w:val="0"/>
          <w:marTop w:val="0"/>
          <w:marBottom w:val="0"/>
          <w:divBdr>
            <w:top w:val="none" w:sz="0" w:space="0" w:color="auto"/>
            <w:left w:val="none" w:sz="0" w:space="0" w:color="auto"/>
            <w:bottom w:val="none" w:sz="0" w:space="0" w:color="auto"/>
            <w:right w:val="none" w:sz="0" w:space="0" w:color="auto"/>
          </w:divBdr>
        </w:div>
        <w:div w:id="1542283572">
          <w:marLeft w:val="0"/>
          <w:marRight w:val="0"/>
          <w:marTop w:val="0"/>
          <w:marBottom w:val="0"/>
          <w:divBdr>
            <w:top w:val="none" w:sz="0" w:space="0" w:color="auto"/>
            <w:left w:val="none" w:sz="0" w:space="0" w:color="auto"/>
            <w:bottom w:val="none" w:sz="0" w:space="0" w:color="auto"/>
            <w:right w:val="none" w:sz="0" w:space="0" w:color="auto"/>
          </w:divBdr>
        </w:div>
        <w:div w:id="1619096101">
          <w:marLeft w:val="0"/>
          <w:marRight w:val="0"/>
          <w:marTop w:val="0"/>
          <w:marBottom w:val="0"/>
          <w:divBdr>
            <w:top w:val="none" w:sz="0" w:space="0" w:color="auto"/>
            <w:left w:val="none" w:sz="0" w:space="0" w:color="auto"/>
            <w:bottom w:val="none" w:sz="0" w:space="0" w:color="auto"/>
            <w:right w:val="none" w:sz="0" w:space="0" w:color="auto"/>
          </w:divBdr>
        </w:div>
      </w:divsChild>
    </w:div>
    <w:div w:id="894855543">
      <w:bodyDiv w:val="1"/>
      <w:marLeft w:val="0"/>
      <w:marRight w:val="0"/>
      <w:marTop w:val="0"/>
      <w:marBottom w:val="0"/>
      <w:divBdr>
        <w:top w:val="none" w:sz="0" w:space="0" w:color="auto"/>
        <w:left w:val="none" w:sz="0" w:space="0" w:color="auto"/>
        <w:bottom w:val="none" w:sz="0" w:space="0" w:color="auto"/>
        <w:right w:val="none" w:sz="0" w:space="0" w:color="auto"/>
      </w:divBdr>
    </w:div>
    <w:div w:id="925379606">
      <w:bodyDiv w:val="1"/>
      <w:marLeft w:val="0"/>
      <w:marRight w:val="0"/>
      <w:marTop w:val="0"/>
      <w:marBottom w:val="0"/>
      <w:divBdr>
        <w:top w:val="none" w:sz="0" w:space="0" w:color="auto"/>
        <w:left w:val="none" w:sz="0" w:space="0" w:color="auto"/>
        <w:bottom w:val="none" w:sz="0" w:space="0" w:color="auto"/>
        <w:right w:val="none" w:sz="0" w:space="0" w:color="auto"/>
      </w:divBdr>
    </w:div>
    <w:div w:id="955019395">
      <w:bodyDiv w:val="1"/>
      <w:marLeft w:val="0"/>
      <w:marRight w:val="0"/>
      <w:marTop w:val="0"/>
      <w:marBottom w:val="0"/>
      <w:divBdr>
        <w:top w:val="none" w:sz="0" w:space="0" w:color="auto"/>
        <w:left w:val="none" w:sz="0" w:space="0" w:color="auto"/>
        <w:bottom w:val="none" w:sz="0" w:space="0" w:color="auto"/>
        <w:right w:val="none" w:sz="0" w:space="0" w:color="auto"/>
      </w:divBdr>
    </w:div>
    <w:div w:id="962007178">
      <w:bodyDiv w:val="1"/>
      <w:marLeft w:val="0"/>
      <w:marRight w:val="0"/>
      <w:marTop w:val="0"/>
      <w:marBottom w:val="0"/>
      <w:divBdr>
        <w:top w:val="none" w:sz="0" w:space="0" w:color="auto"/>
        <w:left w:val="none" w:sz="0" w:space="0" w:color="auto"/>
        <w:bottom w:val="none" w:sz="0" w:space="0" w:color="auto"/>
        <w:right w:val="none" w:sz="0" w:space="0" w:color="auto"/>
      </w:divBdr>
    </w:div>
    <w:div w:id="964849358">
      <w:bodyDiv w:val="1"/>
      <w:marLeft w:val="0"/>
      <w:marRight w:val="0"/>
      <w:marTop w:val="0"/>
      <w:marBottom w:val="0"/>
      <w:divBdr>
        <w:top w:val="none" w:sz="0" w:space="0" w:color="auto"/>
        <w:left w:val="none" w:sz="0" w:space="0" w:color="auto"/>
        <w:bottom w:val="none" w:sz="0" w:space="0" w:color="auto"/>
        <w:right w:val="none" w:sz="0" w:space="0" w:color="auto"/>
      </w:divBdr>
    </w:div>
    <w:div w:id="990404387">
      <w:bodyDiv w:val="1"/>
      <w:marLeft w:val="0"/>
      <w:marRight w:val="0"/>
      <w:marTop w:val="0"/>
      <w:marBottom w:val="0"/>
      <w:divBdr>
        <w:top w:val="none" w:sz="0" w:space="0" w:color="auto"/>
        <w:left w:val="none" w:sz="0" w:space="0" w:color="auto"/>
        <w:bottom w:val="none" w:sz="0" w:space="0" w:color="auto"/>
        <w:right w:val="none" w:sz="0" w:space="0" w:color="auto"/>
      </w:divBdr>
    </w:div>
    <w:div w:id="996419951">
      <w:bodyDiv w:val="1"/>
      <w:marLeft w:val="0"/>
      <w:marRight w:val="0"/>
      <w:marTop w:val="0"/>
      <w:marBottom w:val="0"/>
      <w:divBdr>
        <w:top w:val="none" w:sz="0" w:space="0" w:color="auto"/>
        <w:left w:val="none" w:sz="0" w:space="0" w:color="auto"/>
        <w:bottom w:val="none" w:sz="0" w:space="0" w:color="auto"/>
        <w:right w:val="none" w:sz="0" w:space="0" w:color="auto"/>
      </w:divBdr>
    </w:div>
    <w:div w:id="1010062229">
      <w:bodyDiv w:val="1"/>
      <w:marLeft w:val="0"/>
      <w:marRight w:val="0"/>
      <w:marTop w:val="0"/>
      <w:marBottom w:val="0"/>
      <w:divBdr>
        <w:top w:val="none" w:sz="0" w:space="0" w:color="auto"/>
        <w:left w:val="none" w:sz="0" w:space="0" w:color="auto"/>
        <w:bottom w:val="none" w:sz="0" w:space="0" w:color="auto"/>
        <w:right w:val="none" w:sz="0" w:space="0" w:color="auto"/>
      </w:divBdr>
      <w:divsChild>
        <w:div w:id="1560743875">
          <w:marLeft w:val="0"/>
          <w:marRight w:val="0"/>
          <w:marTop w:val="0"/>
          <w:marBottom w:val="0"/>
          <w:divBdr>
            <w:top w:val="none" w:sz="0" w:space="0" w:color="auto"/>
            <w:left w:val="none" w:sz="0" w:space="0" w:color="auto"/>
            <w:bottom w:val="none" w:sz="0" w:space="0" w:color="auto"/>
            <w:right w:val="none" w:sz="0" w:space="0" w:color="auto"/>
          </w:divBdr>
        </w:div>
        <w:div w:id="1733505607">
          <w:marLeft w:val="0"/>
          <w:marRight w:val="0"/>
          <w:marTop w:val="0"/>
          <w:marBottom w:val="0"/>
          <w:divBdr>
            <w:top w:val="none" w:sz="0" w:space="0" w:color="auto"/>
            <w:left w:val="none" w:sz="0" w:space="0" w:color="auto"/>
            <w:bottom w:val="none" w:sz="0" w:space="0" w:color="auto"/>
            <w:right w:val="none" w:sz="0" w:space="0" w:color="auto"/>
          </w:divBdr>
        </w:div>
      </w:divsChild>
    </w:div>
    <w:div w:id="1083917026">
      <w:bodyDiv w:val="1"/>
      <w:marLeft w:val="0"/>
      <w:marRight w:val="0"/>
      <w:marTop w:val="0"/>
      <w:marBottom w:val="0"/>
      <w:divBdr>
        <w:top w:val="none" w:sz="0" w:space="0" w:color="auto"/>
        <w:left w:val="none" w:sz="0" w:space="0" w:color="auto"/>
        <w:bottom w:val="none" w:sz="0" w:space="0" w:color="auto"/>
        <w:right w:val="none" w:sz="0" w:space="0" w:color="auto"/>
      </w:divBdr>
      <w:divsChild>
        <w:div w:id="1587883423">
          <w:marLeft w:val="0"/>
          <w:marRight w:val="0"/>
          <w:marTop w:val="0"/>
          <w:marBottom w:val="0"/>
          <w:divBdr>
            <w:top w:val="none" w:sz="0" w:space="0" w:color="auto"/>
            <w:left w:val="none" w:sz="0" w:space="0" w:color="auto"/>
            <w:bottom w:val="none" w:sz="0" w:space="0" w:color="auto"/>
            <w:right w:val="none" w:sz="0" w:space="0" w:color="auto"/>
          </w:divBdr>
          <w:divsChild>
            <w:div w:id="1333140334">
              <w:marLeft w:val="0"/>
              <w:marRight w:val="0"/>
              <w:marTop w:val="0"/>
              <w:marBottom w:val="0"/>
              <w:divBdr>
                <w:top w:val="none" w:sz="0" w:space="0" w:color="auto"/>
                <w:left w:val="none" w:sz="0" w:space="0" w:color="auto"/>
                <w:bottom w:val="none" w:sz="0" w:space="0" w:color="auto"/>
                <w:right w:val="none" w:sz="0" w:space="0" w:color="auto"/>
              </w:divBdr>
              <w:divsChild>
                <w:div w:id="5639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20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875">
          <w:marLeft w:val="0"/>
          <w:marRight w:val="0"/>
          <w:marTop w:val="0"/>
          <w:marBottom w:val="0"/>
          <w:divBdr>
            <w:top w:val="none" w:sz="0" w:space="0" w:color="auto"/>
            <w:left w:val="none" w:sz="0" w:space="0" w:color="auto"/>
            <w:bottom w:val="none" w:sz="0" w:space="0" w:color="auto"/>
            <w:right w:val="none" w:sz="0" w:space="0" w:color="auto"/>
          </w:divBdr>
        </w:div>
        <w:div w:id="239796610">
          <w:marLeft w:val="0"/>
          <w:marRight w:val="0"/>
          <w:marTop w:val="0"/>
          <w:marBottom w:val="0"/>
          <w:divBdr>
            <w:top w:val="none" w:sz="0" w:space="0" w:color="auto"/>
            <w:left w:val="none" w:sz="0" w:space="0" w:color="auto"/>
            <w:bottom w:val="none" w:sz="0" w:space="0" w:color="auto"/>
            <w:right w:val="none" w:sz="0" w:space="0" w:color="auto"/>
          </w:divBdr>
        </w:div>
        <w:div w:id="317006090">
          <w:marLeft w:val="0"/>
          <w:marRight w:val="0"/>
          <w:marTop w:val="0"/>
          <w:marBottom w:val="0"/>
          <w:divBdr>
            <w:top w:val="none" w:sz="0" w:space="0" w:color="auto"/>
            <w:left w:val="none" w:sz="0" w:space="0" w:color="auto"/>
            <w:bottom w:val="none" w:sz="0" w:space="0" w:color="auto"/>
            <w:right w:val="none" w:sz="0" w:space="0" w:color="auto"/>
          </w:divBdr>
        </w:div>
        <w:div w:id="439683429">
          <w:marLeft w:val="0"/>
          <w:marRight w:val="0"/>
          <w:marTop w:val="0"/>
          <w:marBottom w:val="0"/>
          <w:divBdr>
            <w:top w:val="none" w:sz="0" w:space="0" w:color="auto"/>
            <w:left w:val="none" w:sz="0" w:space="0" w:color="auto"/>
            <w:bottom w:val="none" w:sz="0" w:space="0" w:color="auto"/>
            <w:right w:val="none" w:sz="0" w:space="0" w:color="auto"/>
          </w:divBdr>
        </w:div>
        <w:div w:id="497966158">
          <w:marLeft w:val="0"/>
          <w:marRight w:val="0"/>
          <w:marTop w:val="0"/>
          <w:marBottom w:val="0"/>
          <w:divBdr>
            <w:top w:val="none" w:sz="0" w:space="0" w:color="auto"/>
            <w:left w:val="none" w:sz="0" w:space="0" w:color="auto"/>
            <w:bottom w:val="none" w:sz="0" w:space="0" w:color="auto"/>
            <w:right w:val="none" w:sz="0" w:space="0" w:color="auto"/>
          </w:divBdr>
        </w:div>
        <w:div w:id="551430334">
          <w:marLeft w:val="0"/>
          <w:marRight w:val="0"/>
          <w:marTop w:val="0"/>
          <w:marBottom w:val="0"/>
          <w:divBdr>
            <w:top w:val="none" w:sz="0" w:space="0" w:color="auto"/>
            <w:left w:val="none" w:sz="0" w:space="0" w:color="auto"/>
            <w:bottom w:val="none" w:sz="0" w:space="0" w:color="auto"/>
            <w:right w:val="none" w:sz="0" w:space="0" w:color="auto"/>
          </w:divBdr>
        </w:div>
        <w:div w:id="725952730">
          <w:marLeft w:val="0"/>
          <w:marRight w:val="0"/>
          <w:marTop w:val="0"/>
          <w:marBottom w:val="0"/>
          <w:divBdr>
            <w:top w:val="none" w:sz="0" w:space="0" w:color="auto"/>
            <w:left w:val="none" w:sz="0" w:space="0" w:color="auto"/>
            <w:bottom w:val="none" w:sz="0" w:space="0" w:color="auto"/>
            <w:right w:val="none" w:sz="0" w:space="0" w:color="auto"/>
          </w:divBdr>
        </w:div>
        <w:div w:id="888342707">
          <w:marLeft w:val="0"/>
          <w:marRight w:val="0"/>
          <w:marTop w:val="0"/>
          <w:marBottom w:val="0"/>
          <w:divBdr>
            <w:top w:val="none" w:sz="0" w:space="0" w:color="auto"/>
            <w:left w:val="none" w:sz="0" w:space="0" w:color="auto"/>
            <w:bottom w:val="none" w:sz="0" w:space="0" w:color="auto"/>
            <w:right w:val="none" w:sz="0" w:space="0" w:color="auto"/>
          </w:divBdr>
        </w:div>
        <w:div w:id="938294657">
          <w:marLeft w:val="0"/>
          <w:marRight w:val="0"/>
          <w:marTop w:val="0"/>
          <w:marBottom w:val="0"/>
          <w:divBdr>
            <w:top w:val="none" w:sz="0" w:space="0" w:color="auto"/>
            <w:left w:val="none" w:sz="0" w:space="0" w:color="auto"/>
            <w:bottom w:val="none" w:sz="0" w:space="0" w:color="auto"/>
            <w:right w:val="none" w:sz="0" w:space="0" w:color="auto"/>
          </w:divBdr>
        </w:div>
        <w:div w:id="1080910497">
          <w:marLeft w:val="0"/>
          <w:marRight w:val="0"/>
          <w:marTop w:val="0"/>
          <w:marBottom w:val="0"/>
          <w:divBdr>
            <w:top w:val="none" w:sz="0" w:space="0" w:color="auto"/>
            <w:left w:val="none" w:sz="0" w:space="0" w:color="auto"/>
            <w:bottom w:val="none" w:sz="0" w:space="0" w:color="auto"/>
            <w:right w:val="none" w:sz="0" w:space="0" w:color="auto"/>
          </w:divBdr>
        </w:div>
        <w:div w:id="1212303663">
          <w:marLeft w:val="0"/>
          <w:marRight w:val="0"/>
          <w:marTop w:val="0"/>
          <w:marBottom w:val="0"/>
          <w:divBdr>
            <w:top w:val="none" w:sz="0" w:space="0" w:color="auto"/>
            <w:left w:val="none" w:sz="0" w:space="0" w:color="auto"/>
            <w:bottom w:val="none" w:sz="0" w:space="0" w:color="auto"/>
            <w:right w:val="none" w:sz="0" w:space="0" w:color="auto"/>
          </w:divBdr>
        </w:div>
        <w:div w:id="1249925184">
          <w:marLeft w:val="0"/>
          <w:marRight w:val="0"/>
          <w:marTop w:val="0"/>
          <w:marBottom w:val="0"/>
          <w:divBdr>
            <w:top w:val="none" w:sz="0" w:space="0" w:color="auto"/>
            <w:left w:val="none" w:sz="0" w:space="0" w:color="auto"/>
            <w:bottom w:val="none" w:sz="0" w:space="0" w:color="auto"/>
            <w:right w:val="none" w:sz="0" w:space="0" w:color="auto"/>
          </w:divBdr>
        </w:div>
        <w:div w:id="1251625650">
          <w:marLeft w:val="0"/>
          <w:marRight w:val="0"/>
          <w:marTop w:val="0"/>
          <w:marBottom w:val="0"/>
          <w:divBdr>
            <w:top w:val="none" w:sz="0" w:space="0" w:color="auto"/>
            <w:left w:val="none" w:sz="0" w:space="0" w:color="auto"/>
            <w:bottom w:val="none" w:sz="0" w:space="0" w:color="auto"/>
            <w:right w:val="none" w:sz="0" w:space="0" w:color="auto"/>
          </w:divBdr>
        </w:div>
        <w:div w:id="1301694489">
          <w:marLeft w:val="0"/>
          <w:marRight w:val="0"/>
          <w:marTop w:val="0"/>
          <w:marBottom w:val="0"/>
          <w:divBdr>
            <w:top w:val="none" w:sz="0" w:space="0" w:color="auto"/>
            <w:left w:val="none" w:sz="0" w:space="0" w:color="auto"/>
            <w:bottom w:val="none" w:sz="0" w:space="0" w:color="auto"/>
            <w:right w:val="none" w:sz="0" w:space="0" w:color="auto"/>
          </w:divBdr>
        </w:div>
        <w:div w:id="1564872135">
          <w:marLeft w:val="0"/>
          <w:marRight w:val="0"/>
          <w:marTop w:val="0"/>
          <w:marBottom w:val="0"/>
          <w:divBdr>
            <w:top w:val="none" w:sz="0" w:space="0" w:color="auto"/>
            <w:left w:val="none" w:sz="0" w:space="0" w:color="auto"/>
            <w:bottom w:val="none" w:sz="0" w:space="0" w:color="auto"/>
            <w:right w:val="none" w:sz="0" w:space="0" w:color="auto"/>
          </w:divBdr>
        </w:div>
        <w:div w:id="1676683815">
          <w:marLeft w:val="0"/>
          <w:marRight w:val="0"/>
          <w:marTop w:val="0"/>
          <w:marBottom w:val="0"/>
          <w:divBdr>
            <w:top w:val="none" w:sz="0" w:space="0" w:color="auto"/>
            <w:left w:val="none" w:sz="0" w:space="0" w:color="auto"/>
            <w:bottom w:val="none" w:sz="0" w:space="0" w:color="auto"/>
            <w:right w:val="none" w:sz="0" w:space="0" w:color="auto"/>
          </w:divBdr>
        </w:div>
        <w:div w:id="1713840846">
          <w:marLeft w:val="0"/>
          <w:marRight w:val="0"/>
          <w:marTop w:val="0"/>
          <w:marBottom w:val="0"/>
          <w:divBdr>
            <w:top w:val="none" w:sz="0" w:space="0" w:color="auto"/>
            <w:left w:val="none" w:sz="0" w:space="0" w:color="auto"/>
            <w:bottom w:val="none" w:sz="0" w:space="0" w:color="auto"/>
            <w:right w:val="none" w:sz="0" w:space="0" w:color="auto"/>
          </w:divBdr>
        </w:div>
        <w:div w:id="2080058987">
          <w:marLeft w:val="0"/>
          <w:marRight w:val="0"/>
          <w:marTop w:val="0"/>
          <w:marBottom w:val="0"/>
          <w:divBdr>
            <w:top w:val="none" w:sz="0" w:space="0" w:color="auto"/>
            <w:left w:val="none" w:sz="0" w:space="0" w:color="auto"/>
            <w:bottom w:val="none" w:sz="0" w:space="0" w:color="auto"/>
            <w:right w:val="none" w:sz="0" w:space="0" w:color="auto"/>
          </w:divBdr>
        </w:div>
        <w:div w:id="2122450334">
          <w:marLeft w:val="0"/>
          <w:marRight w:val="0"/>
          <w:marTop w:val="0"/>
          <w:marBottom w:val="0"/>
          <w:divBdr>
            <w:top w:val="none" w:sz="0" w:space="0" w:color="auto"/>
            <w:left w:val="none" w:sz="0" w:space="0" w:color="auto"/>
            <w:bottom w:val="none" w:sz="0" w:space="0" w:color="auto"/>
            <w:right w:val="none" w:sz="0" w:space="0" w:color="auto"/>
          </w:divBdr>
        </w:div>
      </w:divsChild>
    </w:div>
    <w:div w:id="1105686052">
      <w:bodyDiv w:val="1"/>
      <w:marLeft w:val="0"/>
      <w:marRight w:val="0"/>
      <w:marTop w:val="0"/>
      <w:marBottom w:val="0"/>
      <w:divBdr>
        <w:top w:val="none" w:sz="0" w:space="0" w:color="auto"/>
        <w:left w:val="none" w:sz="0" w:space="0" w:color="auto"/>
        <w:bottom w:val="none" w:sz="0" w:space="0" w:color="auto"/>
        <w:right w:val="none" w:sz="0" w:space="0" w:color="auto"/>
      </w:divBdr>
    </w:div>
    <w:div w:id="1145782842">
      <w:bodyDiv w:val="1"/>
      <w:marLeft w:val="0"/>
      <w:marRight w:val="0"/>
      <w:marTop w:val="0"/>
      <w:marBottom w:val="0"/>
      <w:divBdr>
        <w:top w:val="none" w:sz="0" w:space="0" w:color="auto"/>
        <w:left w:val="none" w:sz="0" w:space="0" w:color="auto"/>
        <w:bottom w:val="none" w:sz="0" w:space="0" w:color="auto"/>
        <w:right w:val="none" w:sz="0" w:space="0" w:color="auto"/>
      </w:divBdr>
    </w:div>
    <w:div w:id="1170414214">
      <w:bodyDiv w:val="1"/>
      <w:marLeft w:val="0"/>
      <w:marRight w:val="0"/>
      <w:marTop w:val="0"/>
      <w:marBottom w:val="0"/>
      <w:divBdr>
        <w:top w:val="none" w:sz="0" w:space="0" w:color="auto"/>
        <w:left w:val="none" w:sz="0" w:space="0" w:color="auto"/>
        <w:bottom w:val="none" w:sz="0" w:space="0" w:color="auto"/>
        <w:right w:val="none" w:sz="0" w:space="0" w:color="auto"/>
      </w:divBdr>
    </w:div>
    <w:div w:id="1193689783">
      <w:bodyDiv w:val="1"/>
      <w:marLeft w:val="0"/>
      <w:marRight w:val="0"/>
      <w:marTop w:val="0"/>
      <w:marBottom w:val="0"/>
      <w:divBdr>
        <w:top w:val="none" w:sz="0" w:space="0" w:color="auto"/>
        <w:left w:val="none" w:sz="0" w:space="0" w:color="auto"/>
        <w:bottom w:val="none" w:sz="0" w:space="0" w:color="auto"/>
        <w:right w:val="none" w:sz="0" w:space="0" w:color="auto"/>
      </w:divBdr>
      <w:divsChild>
        <w:div w:id="3439373">
          <w:marLeft w:val="0"/>
          <w:marRight w:val="0"/>
          <w:marTop w:val="0"/>
          <w:marBottom w:val="0"/>
          <w:divBdr>
            <w:top w:val="none" w:sz="0" w:space="0" w:color="auto"/>
            <w:left w:val="none" w:sz="0" w:space="0" w:color="auto"/>
            <w:bottom w:val="none" w:sz="0" w:space="0" w:color="auto"/>
            <w:right w:val="none" w:sz="0" w:space="0" w:color="auto"/>
          </w:divBdr>
        </w:div>
        <w:div w:id="1367949583">
          <w:marLeft w:val="0"/>
          <w:marRight w:val="0"/>
          <w:marTop w:val="0"/>
          <w:marBottom w:val="0"/>
          <w:divBdr>
            <w:top w:val="none" w:sz="0" w:space="0" w:color="auto"/>
            <w:left w:val="none" w:sz="0" w:space="0" w:color="auto"/>
            <w:bottom w:val="none" w:sz="0" w:space="0" w:color="auto"/>
            <w:right w:val="none" w:sz="0" w:space="0" w:color="auto"/>
          </w:divBdr>
        </w:div>
      </w:divsChild>
    </w:div>
    <w:div w:id="1341394416">
      <w:bodyDiv w:val="1"/>
      <w:marLeft w:val="0"/>
      <w:marRight w:val="0"/>
      <w:marTop w:val="0"/>
      <w:marBottom w:val="0"/>
      <w:divBdr>
        <w:top w:val="none" w:sz="0" w:space="0" w:color="auto"/>
        <w:left w:val="none" w:sz="0" w:space="0" w:color="auto"/>
        <w:bottom w:val="none" w:sz="0" w:space="0" w:color="auto"/>
        <w:right w:val="none" w:sz="0" w:space="0" w:color="auto"/>
      </w:divBdr>
    </w:div>
    <w:div w:id="1352992395">
      <w:bodyDiv w:val="1"/>
      <w:marLeft w:val="0"/>
      <w:marRight w:val="0"/>
      <w:marTop w:val="0"/>
      <w:marBottom w:val="0"/>
      <w:divBdr>
        <w:top w:val="none" w:sz="0" w:space="0" w:color="auto"/>
        <w:left w:val="none" w:sz="0" w:space="0" w:color="auto"/>
        <w:bottom w:val="none" w:sz="0" w:space="0" w:color="auto"/>
        <w:right w:val="none" w:sz="0" w:space="0" w:color="auto"/>
      </w:divBdr>
      <w:divsChild>
        <w:div w:id="1739940696">
          <w:marLeft w:val="0"/>
          <w:marRight w:val="0"/>
          <w:marTop w:val="0"/>
          <w:marBottom w:val="0"/>
          <w:divBdr>
            <w:top w:val="none" w:sz="0" w:space="0" w:color="auto"/>
            <w:left w:val="none" w:sz="0" w:space="0" w:color="auto"/>
            <w:bottom w:val="none" w:sz="0" w:space="0" w:color="auto"/>
            <w:right w:val="none" w:sz="0" w:space="0" w:color="auto"/>
          </w:divBdr>
          <w:divsChild>
            <w:div w:id="717825152">
              <w:marLeft w:val="0"/>
              <w:marRight w:val="0"/>
              <w:marTop w:val="0"/>
              <w:marBottom w:val="0"/>
              <w:divBdr>
                <w:top w:val="none" w:sz="0" w:space="0" w:color="auto"/>
                <w:left w:val="none" w:sz="0" w:space="0" w:color="auto"/>
                <w:bottom w:val="none" w:sz="0" w:space="0" w:color="auto"/>
                <w:right w:val="none" w:sz="0" w:space="0" w:color="auto"/>
              </w:divBdr>
              <w:divsChild>
                <w:div w:id="1928686707">
                  <w:marLeft w:val="0"/>
                  <w:marRight w:val="0"/>
                  <w:marTop w:val="0"/>
                  <w:marBottom w:val="0"/>
                  <w:divBdr>
                    <w:top w:val="none" w:sz="0" w:space="0" w:color="auto"/>
                    <w:left w:val="none" w:sz="0" w:space="0" w:color="auto"/>
                    <w:bottom w:val="none" w:sz="0" w:space="0" w:color="auto"/>
                    <w:right w:val="none" w:sz="0" w:space="0" w:color="auto"/>
                  </w:divBdr>
                  <w:divsChild>
                    <w:div w:id="863523171">
                      <w:marLeft w:val="0"/>
                      <w:marRight w:val="0"/>
                      <w:marTop w:val="0"/>
                      <w:marBottom w:val="0"/>
                      <w:divBdr>
                        <w:top w:val="none" w:sz="0" w:space="0" w:color="auto"/>
                        <w:left w:val="none" w:sz="0" w:space="0" w:color="auto"/>
                        <w:bottom w:val="none" w:sz="0" w:space="0" w:color="auto"/>
                        <w:right w:val="none" w:sz="0" w:space="0" w:color="auto"/>
                      </w:divBdr>
                      <w:divsChild>
                        <w:div w:id="804929018">
                          <w:marLeft w:val="0"/>
                          <w:marRight w:val="0"/>
                          <w:marTop w:val="0"/>
                          <w:marBottom w:val="0"/>
                          <w:divBdr>
                            <w:top w:val="none" w:sz="0" w:space="0" w:color="auto"/>
                            <w:left w:val="none" w:sz="0" w:space="0" w:color="auto"/>
                            <w:bottom w:val="none" w:sz="0" w:space="0" w:color="auto"/>
                            <w:right w:val="none" w:sz="0" w:space="0" w:color="auto"/>
                          </w:divBdr>
                          <w:divsChild>
                            <w:div w:id="1265381881">
                              <w:marLeft w:val="0"/>
                              <w:marRight w:val="0"/>
                              <w:marTop w:val="0"/>
                              <w:marBottom w:val="0"/>
                              <w:divBdr>
                                <w:top w:val="none" w:sz="0" w:space="0" w:color="auto"/>
                                <w:left w:val="none" w:sz="0" w:space="0" w:color="auto"/>
                                <w:bottom w:val="none" w:sz="0" w:space="0" w:color="auto"/>
                                <w:right w:val="none" w:sz="0" w:space="0" w:color="auto"/>
                              </w:divBdr>
                              <w:divsChild>
                                <w:div w:id="209847819">
                                  <w:marLeft w:val="0"/>
                                  <w:marRight w:val="0"/>
                                  <w:marTop w:val="0"/>
                                  <w:marBottom w:val="0"/>
                                  <w:divBdr>
                                    <w:top w:val="none" w:sz="0" w:space="0" w:color="auto"/>
                                    <w:left w:val="none" w:sz="0" w:space="0" w:color="auto"/>
                                    <w:bottom w:val="none" w:sz="0" w:space="0" w:color="auto"/>
                                    <w:right w:val="none" w:sz="0" w:space="0" w:color="auto"/>
                                  </w:divBdr>
                                  <w:divsChild>
                                    <w:div w:id="253629538">
                                      <w:marLeft w:val="0"/>
                                      <w:marRight w:val="0"/>
                                      <w:marTop w:val="0"/>
                                      <w:marBottom w:val="0"/>
                                      <w:divBdr>
                                        <w:top w:val="none" w:sz="0" w:space="0" w:color="auto"/>
                                        <w:left w:val="none" w:sz="0" w:space="0" w:color="auto"/>
                                        <w:bottom w:val="none" w:sz="0" w:space="0" w:color="auto"/>
                                        <w:right w:val="none" w:sz="0" w:space="0" w:color="auto"/>
                                      </w:divBdr>
                                    </w:div>
                                    <w:div w:id="1642074290">
                                      <w:marLeft w:val="0"/>
                                      <w:marRight w:val="0"/>
                                      <w:marTop w:val="0"/>
                                      <w:marBottom w:val="0"/>
                                      <w:divBdr>
                                        <w:top w:val="none" w:sz="0" w:space="0" w:color="auto"/>
                                        <w:left w:val="none" w:sz="0" w:space="0" w:color="auto"/>
                                        <w:bottom w:val="none" w:sz="0" w:space="0" w:color="auto"/>
                                        <w:right w:val="none" w:sz="0" w:space="0" w:color="auto"/>
                                      </w:divBdr>
                                      <w:divsChild>
                                        <w:div w:id="19398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0198">
                                  <w:marLeft w:val="0"/>
                                  <w:marRight w:val="0"/>
                                  <w:marTop w:val="0"/>
                                  <w:marBottom w:val="0"/>
                                  <w:divBdr>
                                    <w:top w:val="none" w:sz="0" w:space="0" w:color="auto"/>
                                    <w:left w:val="none" w:sz="0" w:space="0" w:color="auto"/>
                                    <w:bottom w:val="none" w:sz="0" w:space="0" w:color="auto"/>
                                    <w:right w:val="none" w:sz="0" w:space="0" w:color="auto"/>
                                  </w:divBdr>
                                  <w:divsChild>
                                    <w:div w:id="537549378">
                                      <w:marLeft w:val="0"/>
                                      <w:marRight w:val="0"/>
                                      <w:marTop w:val="0"/>
                                      <w:marBottom w:val="0"/>
                                      <w:divBdr>
                                        <w:top w:val="none" w:sz="0" w:space="0" w:color="auto"/>
                                        <w:left w:val="none" w:sz="0" w:space="0" w:color="auto"/>
                                        <w:bottom w:val="none" w:sz="0" w:space="0" w:color="auto"/>
                                        <w:right w:val="none" w:sz="0" w:space="0" w:color="auto"/>
                                      </w:divBdr>
                                    </w:div>
                                    <w:div w:id="836650160">
                                      <w:marLeft w:val="0"/>
                                      <w:marRight w:val="0"/>
                                      <w:marTop w:val="0"/>
                                      <w:marBottom w:val="0"/>
                                      <w:divBdr>
                                        <w:top w:val="none" w:sz="0" w:space="0" w:color="auto"/>
                                        <w:left w:val="none" w:sz="0" w:space="0" w:color="auto"/>
                                        <w:bottom w:val="none" w:sz="0" w:space="0" w:color="auto"/>
                                        <w:right w:val="none" w:sz="0" w:space="0" w:color="auto"/>
                                      </w:divBdr>
                                    </w:div>
                                  </w:divsChild>
                                </w:div>
                                <w:div w:id="17310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16314">
      <w:bodyDiv w:val="1"/>
      <w:marLeft w:val="0"/>
      <w:marRight w:val="0"/>
      <w:marTop w:val="0"/>
      <w:marBottom w:val="0"/>
      <w:divBdr>
        <w:top w:val="none" w:sz="0" w:space="0" w:color="auto"/>
        <w:left w:val="none" w:sz="0" w:space="0" w:color="auto"/>
        <w:bottom w:val="none" w:sz="0" w:space="0" w:color="auto"/>
        <w:right w:val="none" w:sz="0" w:space="0" w:color="auto"/>
      </w:divBdr>
    </w:div>
    <w:div w:id="1428383422">
      <w:bodyDiv w:val="1"/>
      <w:marLeft w:val="0"/>
      <w:marRight w:val="0"/>
      <w:marTop w:val="0"/>
      <w:marBottom w:val="0"/>
      <w:divBdr>
        <w:top w:val="none" w:sz="0" w:space="0" w:color="auto"/>
        <w:left w:val="none" w:sz="0" w:space="0" w:color="auto"/>
        <w:bottom w:val="none" w:sz="0" w:space="0" w:color="auto"/>
        <w:right w:val="none" w:sz="0" w:space="0" w:color="auto"/>
      </w:divBdr>
    </w:div>
    <w:div w:id="1479613101">
      <w:bodyDiv w:val="1"/>
      <w:marLeft w:val="0"/>
      <w:marRight w:val="0"/>
      <w:marTop w:val="0"/>
      <w:marBottom w:val="0"/>
      <w:divBdr>
        <w:top w:val="none" w:sz="0" w:space="0" w:color="auto"/>
        <w:left w:val="none" w:sz="0" w:space="0" w:color="auto"/>
        <w:bottom w:val="none" w:sz="0" w:space="0" w:color="auto"/>
        <w:right w:val="none" w:sz="0" w:space="0" w:color="auto"/>
      </w:divBdr>
    </w:div>
    <w:div w:id="1523321093">
      <w:bodyDiv w:val="1"/>
      <w:marLeft w:val="0"/>
      <w:marRight w:val="0"/>
      <w:marTop w:val="0"/>
      <w:marBottom w:val="0"/>
      <w:divBdr>
        <w:top w:val="none" w:sz="0" w:space="0" w:color="auto"/>
        <w:left w:val="none" w:sz="0" w:space="0" w:color="auto"/>
        <w:bottom w:val="none" w:sz="0" w:space="0" w:color="auto"/>
        <w:right w:val="none" w:sz="0" w:space="0" w:color="auto"/>
      </w:divBdr>
    </w:div>
    <w:div w:id="1533765284">
      <w:bodyDiv w:val="1"/>
      <w:marLeft w:val="0"/>
      <w:marRight w:val="0"/>
      <w:marTop w:val="0"/>
      <w:marBottom w:val="0"/>
      <w:divBdr>
        <w:top w:val="none" w:sz="0" w:space="0" w:color="auto"/>
        <w:left w:val="none" w:sz="0" w:space="0" w:color="auto"/>
        <w:bottom w:val="none" w:sz="0" w:space="0" w:color="auto"/>
        <w:right w:val="none" w:sz="0" w:space="0" w:color="auto"/>
      </w:divBdr>
    </w:div>
    <w:div w:id="1561290120">
      <w:bodyDiv w:val="1"/>
      <w:marLeft w:val="0"/>
      <w:marRight w:val="0"/>
      <w:marTop w:val="0"/>
      <w:marBottom w:val="0"/>
      <w:divBdr>
        <w:top w:val="none" w:sz="0" w:space="0" w:color="auto"/>
        <w:left w:val="none" w:sz="0" w:space="0" w:color="auto"/>
        <w:bottom w:val="none" w:sz="0" w:space="0" w:color="auto"/>
        <w:right w:val="none" w:sz="0" w:space="0" w:color="auto"/>
      </w:divBdr>
      <w:divsChild>
        <w:div w:id="1304237450">
          <w:marLeft w:val="0"/>
          <w:marRight w:val="0"/>
          <w:marTop w:val="0"/>
          <w:marBottom w:val="0"/>
          <w:divBdr>
            <w:top w:val="none" w:sz="0" w:space="0" w:color="auto"/>
            <w:left w:val="none" w:sz="0" w:space="0" w:color="auto"/>
            <w:bottom w:val="none" w:sz="0" w:space="0" w:color="auto"/>
            <w:right w:val="none" w:sz="0" w:space="0" w:color="auto"/>
          </w:divBdr>
          <w:divsChild>
            <w:div w:id="1608582353">
              <w:marLeft w:val="0"/>
              <w:marRight w:val="0"/>
              <w:marTop w:val="0"/>
              <w:marBottom w:val="0"/>
              <w:divBdr>
                <w:top w:val="none" w:sz="0" w:space="0" w:color="auto"/>
                <w:left w:val="none" w:sz="0" w:space="0" w:color="auto"/>
                <w:bottom w:val="none" w:sz="0" w:space="0" w:color="auto"/>
                <w:right w:val="none" w:sz="0" w:space="0" w:color="auto"/>
              </w:divBdr>
              <w:divsChild>
                <w:div w:id="262762833">
                  <w:marLeft w:val="0"/>
                  <w:marRight w:val="0"/>
                  <w:marTop w:val="0"/>
                  <w:marBottom w:val="0"/>
                  <w:divBdr>
                    <w:top w:val="none" w:sz="0" w:space="0" w:color="auto"/>
                    <w:left w:val="none" w:sz="0" w:space="0" w:color="auto"/>
                    <w:bottom w:val="none" w:sz="0" w:space="0" w:color="auto"/>
                    <w:right w:val="none" w:sz="0" w:space="0" w:color="auto"/>
                  </w:divBdr>
                  <w:divsChild>
                    <w:div w:id="255139299">
                      <w:marLeft w:val="0"/>
                      <w:marRight w:val="0"/>
                      <w:marTop w:val="0"/>
                      <w:marBottom w:val="0"/>
                      <w:divBdr>
                        <w:top w:val="none" w:sz="0" w:space="0" w:color="auto"/>
                        <w:left w:val="none" w:sz="0" w:space="0" w:color="auto"/>
                        <w:bottom w:val="none" w:sz="0" w:space="0" w:color="auto"/>
                        <w:right w:val="none" w:sz="0" w:space="0" w:color="auto"/>
                      </w:divBdr>
                      <w:divsChild>
                        <w:div w:id="2111732174">
                          <w:marLeft w:val="0"/>
                          <w:marRight w:val="0"/>
                          <w:marTop w:val="0"/>
                          <w:marBottom w:val="0"/>
                          <w:divBdr>
                            <w:top w:val="none" w:sz="0" w:space="0" w:color="auto"/>
                            <w:left w:val="none" w:sz="0" w:space="0" w:color="auto"/>
                            <w:bottom w:val="none" w:sz="0" w:space="0" w:color="auto"/>
                            <w:right w:val="none" w:sz="0" w:space="0" w:color="auto"/>
                          </w:divBdr>
                          <w:divsChild>
                            <w:div w:id="1835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870288">
      <w:bodyDiv w:val="1"/>
      <w:marLeft w:val="0"/>
      <w:marRight w:val="0"/>
      <w:marTop w:val="0"/>
      <w:marBottom w:val="0"/>
      <w:divBdr>
        <w:top w:val="none" w:sz="0" w:space="0" w:color="auto"/>
        <w:left w:val="none" w:sz="0" w:space="0" w:color="auto"/>
        <w:bottom w:val="none" w:sz="0" w:space="0" w:color="auto"/>
        <w:right w:val="none" w:sz="0" w:space="0" w:color="auto"/>
      </w:divBdr>
    </w:div>
    <w:div w:id="1582182928">
      <w:bodyDiv w:val="1"/>
      <w:marLeft w:val="0"/>
      <w:marRight w:val="0"/>
      <w:marTop w:val="0"/>
      <w:marBottom w:val="0"/>
      <w:divBdr>
        <w:top w:val="none" w:sz="0" w:space="0" w:color="auto"/>
        <w:left w:val="none" w:sz="0" w:space="0" w:color="auto"/>
        <w:bottom w:val="none" w:sz="0" w:space="0" w:color="auto"/>
        <w:right w:val="none" w:sz="0" w:space="0" w:color="auto"/>
      </w:divBdr>
    </w:div>
    <w:div w:id="1686514217">
      <w:bodyDiv w:val="1"/>
      <w:marLeft w:val="0"/>
      <w:marRight w:val="0"/>
      <w:marTop w:val="0"/>
      <w:marBottom w:val="0"/>
      <w:divBdr>
        <w:top w:val="none" w:sz="0" w:space="0" w:color="auto"/>
        <w:left w:val="none" w:sz="0" w:space="0" w:color="auto"/>
        <w:bottom w:val="none" w:sz="0" w:space="0" w:color="auto"/>
        <w:right w:val="none" w:sz="0" w:space="0" w:color="auto"/>
      </w:divBdr>
      <w:divsChild>
        <w:div w:id="453909115">
          <w:marLeft w:val="0"/>
          <w:marRight w:val="0"/>
          <w:marTop w:val="0"/>
          <w:marBottom w:val="0"/>
          <w:divBdr>
            <w:top w:val="none" w:sz="0" w:space="0" w:color="auto"/>
            <w:left w:val="none" w:sz="0" w:space="0" w:color="auto"/>
            <w:bottom w:val="none" w:sz="0" w:space="0" w:color="auto"/>
            <w:right w:val="none" w:sz="0" w:space="0" w:color="auto"/>
          </w:divBdr>
        </w:div>
        <w:div w:id="2120293621">
          <w:marLeft w:val="0"/>
          <w:marRight w:val="0"/>
          <w:marTop w:val="0"/>
          <w:marBottom w:val="0"/>
          <w:divBdr>
            <w:top w:val="none" w:sz="0" w:space="0" w:color="auto"/>
            <w:left w:val="none" w:sz="0" w:space="0" w:color="auto"/>
            <w:bottom w:val="none" w:sz="0" w:space="0" w:color="auto"/>
            <w:right w:val="none" w:sz="0" w:space="0" w:color="auto"/>
          </w:divBdr>
        </w:div>
      </w:divsChild>
    </w:div>
    <w:div w:id="1716201159">
      <w:bodyDiv w:val="1"/>
      <w:marLeft w:val="0"/>
      <w:marRight w:val="0"/>
      <w:marTop w:val="0"/>
      <w:marBottom w:val="0"/>
      <w:divBdr>
        <w:top w:val="none" w:sz="0" w:space="0" w:color="auto"/>
        <w:left w:val="none" w:sz="0" w:space="0" w:color="auto"/>
        <w:bottom w:val="none" w:sz="0" w:space="0" w:color="auto"/>
        <w:right w:val="none" w:sz="0" w:space="0" w:color="auto"/>
      </w:divBdr>
    </w:div>
    <w:div w:id="1739087202">
      <w:bodyDiv w:val="1"/>
      <w:marLeft w:val="0"/>
      <w:marRight w:val="0"/>
      <w:marTop w:val="0"/>
      <w:marBottom w:val="0"/>
      <w:divBdr>
        <w:top w:val="none" w:sz="0" w:space="0" w:color="auto"/>
        <w:left w:val="none" w:sz="0" w:space="0" w:color="auto"/>
        <w:bottom w:val="none" w:sz="0" w:space="0" w:color="auto"/>
        <w:right w:val="none" w:sz="0" w:space="0" w:color="auto"/>
      </w:divBdr>
    </w:div>
    <w:div w:id="1753043099">
      <w:bodyDiv w:val="1"/>
      <w:marLeft w:val="0"/>
      <w:marRight w:val="0"/>
      <w:marTop w:val="0"/>
      <w:marBottom w:val="0"/>
      <w:divBdr>
        <w:top w:val="none" w:sz="0" w:space="0" w:color="auto"/>
        <w:left w:val="none" w:sz="0" w:space="0" w:color="auto"/>
        <w:bottom w:val="none" w:sz="0" w:space="0" w:color="auto"/>
        <w:right w:val="none" w:sz="0" w:space="0" w:color="auto"/>
      </w:divBdr>
    </w:div>
    <w:div w:id="1759400974">
      <w:bodyDiv w:val="1"/>
      <w:marLeft w:val="0"/>
      <w:marRight w:val="0"/>
      <w:marTop w:val="0"/>
      <w:marBottom w:val="0"/>
      <w:divBdr>
        <w:top w:val="none" w:sz="0" w:space="0" w:color="auto"/>
        <w:left w:val="none" w:sz="0" w:space="0" w:color="auto"/>
        <w:bottom w:val="none" w:sz="0" w:space="0" w:color="auto"/>
        <w:right w:val="none" w:sz="0" w:space="0" w:color="auto"/>
      </w:divBdr>
    </w:div>
    <w:div w:id="1807618935">
      <w:bodyDiv w:val="1"/>
      <w:marLeft w:val="0"/>
      <w:marRight w:val="0"/>
      <w:marTop w:val="0"/>
      <w:marBottom w:val="0"/>
      <w:divBdr>
        <w:top w:val="none" w:sz="0" w:space="0" w:color="auto"/>
        <w:left w:val="none" w:sz="0" w:space="0" w:color="auto"/>
        <w:bottom w:val="none" w:sz="0" w:space="0" w:color="auto"/>
        <w:right w:val="none" w:sz="0" w:space="0" w:color="auto"/>
      </w:divBdr>
    </w:div>
    <w:div w:id="1842894992">
      <w:bodyDiv w:val="1"/>
      <w:marLeft w:val="0"/>
      <w:marRight w:val="0"/>
      <w:marTop w:val="0"/>
      <w:marBottom w:val="0"/>
      <w:divBdr>
        <w:top w:val="none" w:sz="0" w:space="0" w:color="auto"/>
        <w:left w:val="none" w:sz="0" w:space="0" w:color="auto"/>
        <w:bottom w:val="none" w:sz="0" w:space="0" w:color="auto"/>
        <w:right w:val="none" w:sz="0" w:space="0" w:color="auto"/>
      </w:divBdr>
      <w:divsChild>
        <w:div w:id="863904349">
          <w:marLeft w:val="0"/>
          <w:marRight w:val="0"/>
          <w:marTop w:val="0"/>
          <w:marBottom w:val="0"/>
          <w:divBdr>
            <w:top w:val="none" w:sz="0" w:space="0" w:color="auto"/>
            <w:left w:val="none" w:sz="0" w:space="0" w:color="auto"/>
            <w:bottom w:val="none" w:sz="0" w:space="0" w:color="auto"/>
            <w:right w:val="none" w:sz="0" w:space="0" w:color="auto"/>
          </w:divBdr>
        </w:div>
        <w:div w:id="1599948911">
          <w:marLeft w:val="0"/>
          <w:marRight w:val="0"/>
          <w:marTop w:val="0"/>
          <w:marBottom w:val="0"/>
          <w:divBdr>
            <w:top w:val="none" w:sz="0" w:space="0" w:color="auto"/>
            <w:left w:val="none" w:sz="0" w:space="0" w:color="auto"/>
            <w:bottom w:val="none" w:sz="0" w:space="0" w:color="auto"/>
            <w:right w:val="none" w:sz="0" w:space="0" w:color="auto"/>
          </w:divBdr>
        </w:div>
      </w:divsChild>
    </w:div>
    <w:div w:id="1881045210">
      <w:bodyDiv w:val="1"/>
      <w:marLeft w:val="0"/>
      <w:marRight w:val="0"/>
      <w:marTop w:val="0"/>
      <w:marBottom w:val="0"/>
      <w:divBdr>
        <w:top w:val="none" w:sz="0" w:space="0" w:color="auto"/>
        <w:left w:val="none" w:sz="0" w:space="0" w:color="auto"/>
        <w:bottom w:val="none" w:sz="0" w:space="0" w:color="auto"/>
        <w:right w:val="none" w:sz="0" w:space="0" w:color="auto"/>
      </w:divBdr>
    </w:div>
    <w:div w:id="1892034310">
      <w:bodyDiv w:val="1"/>
      <w:marLeft w:val="0"/>
      <w:marRight w:val="0"/>
      <w:marTop w:val="0"/>
      <w:marBottom w:val="0"/>
      <w:divBdr>
        <w:top w:val="none" w:sz="0" w:space="0" w:color="auto"/>
        <w:left w:val="none" w:sz="0" w:space="0" w:color="auto"/>
        <w:bottom w:val="none" w:sz="0" w:space="0" w:color="auto"/>
        <w:right w:val="none" w:sz="0" w:space="0" w:color="auto"/>
      </w:divBdr>
      <w:divsChild>
        <w:div w:id="1197934245">
          <w:marLeft w:val="0"/>
          <w:marRight w:val="0"/>
          <w:marTop w:val="0"/>
          <w:marBottom w:val="0"/>
          <w:divBdr>
            <w:top w:val="none" w:sz="0" w:space="0" w:color="auto"/>
            <w:left w:val="none" w:sz="0" w:space="0" w:color="auto"/>
            <w:bottom w:val="none" w:sz="0" w:space="0" w:color="auto"/>
            <w:right w:val="none" w:sz="0" w:space="0" w:color="auto"/>
          </w:divBdr>
          <w:divsChild>
            <w:div w:id="2100369211">
              <w:marLeft w:val="0"/>
              <w:marRight w:val="0"/>
              <w:marTop w:val="0"/>
              <w:marBottom w:val="0"/>
              <w:divBdr>
                <w:top w:val="none" w:sz="0" w:space="0" w:color="auto"/>
                <w:left w:val="none" w:sz="0" w:space="0" w:color="auto"/>
                <w:bottom w:val="none" w:sz="0" w:space="0" w:color="auto"/>
                <w:right w:val="none" w:sz="0" w:space="0" w:color="auto"/>
              </w:divBdr>
              <w:divsChild>
                <w:div w:id="72819718">
                  <w:marLeft w:val="0"/>
                  <w:marRight w:val="0"/>
                  <w:marTop w:val="0"/>
                  <w:marBottom w:val="0"/>
                  <w:divBdr>
                    <w:top w:val="none" w:sz="0" w:space="0" w:color="auto"/>
                    <w:left w:val="none" w:sz="0" w:space="0" w:color="auto"/>
                    <w:bottom w:val="none" w:sz="0" w:space="0" w:color="auto"/>
                    <w:right w:val="none" w:sz="0" w:space="0" w:color="auto"/>
                  </w:divBdr>
                  <w:divsChild>
                    <w:div w:id="1517035425">
                      <w:marLeft w:val="0"/>
                      <w:marRight w:val="0"/>
                      <w:marTop w:val="0"/>
                      <w:marBottom w:val="0"/>
                      <w:divBdr>
                        <w:top w:val="none" w:sz="0" w:space="0" w:color="auto"/>
                        <w:left w:val="none" w:sz="0" w:space="0" w:color="auto"/>
                        <w:bottom w:val="none" w:sz="0" w:space="0" w:color="auto"/>
                        <w:right w:val="none" w:sz="0" w:space="0" w:color="auto"/>
                      </w:divBdr>
                      <w:divsChild>
                        <w:div w:id="1909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18447">
      <w:bodyDiv w:val="1"/>
      <w:marLeft w:val="0"/>
      <w:marRight w:val="0"/>
      <w:marTop w:val="0"/>
      <w:marBottom w:val="0"/>
      <w:divBdr>
        <w:top w:val="none" w:sz="0" w:space="0" w:color="auto"/>
        <w:left w:val="none" w:sz="0" w:space="0" w:color="auto"/>
        <w:bottom w:val="none" w:sz="0" w:space="0" w:color="auto"/>
        <w:right w:val="none" w:sz="0" w:space="0" w:color="auto"/>
      </w:divBdr>
    </w:div>
    <w:div w:id="1949854018">
      <w:bodyDiv w:val="1"/>
      <w:marLeft w:val="0"/>
      <w:marRight w:val="0"/>
      <w:marTop w:val="0"/>
      <w:marBottom w:val="0"/>
      <w:divBdr>
        <w:top w:val="none" w:sz="0" w:space="0" w:color="auto"/>
        <w:left w:val="none" w:sz="0" w:space="0" w:color="auto"/>
        <w:bottom w:val="none" w:sz="0" w:space="0" w:color="auto"/>
        <w:right w:val="none" w:sz="0" w:space="0" w:color="auto"/>
      </w:divBdr>
    </w:div>
    <w:div w:id="2040933629">
      <w:bodyDiv w:val="1"/>
      <w:marLeft w:val="0"/>
      <w:marRight w:val="0"/>
      <w:marTop w:val="0"/>
      <w:marBottom w:val="0"/>
      <w:divBdr>
        <w:top w:val="none" w:sz="0" w:space="0" w:color="auto"/>
        <w:left w:val="none" w:sz="0" w:space="0" w:color="auto"/>
        <w:bottom w:val="none" w:sz="0" w:space="0" w:color="auto"/>
        <w:right w:val="none" w:sz="0" w:space="0" w:color="auto"/>
      </w:divBdr>
    </w:div>
    <w:div w:id="2064910254">
      <w:bodyDiv w:val="1"/>
      <w:marLeft w:val="0"/>
      <w:marRight w:val="0"/>
      <w:marTop w:val="0"/>
      <w:marBottom w:val="0"/>
      <w:divBdr>
        <w:top w:val="none" w:sz="0" w:space="0" w:color="auto"/>
        <w:left w:val="none" w:sz="0" w:space="0" w:color="auto"/>
        <w:bottom w:val="none" w:sz="0" w:space="0" w:color="auto"/>
        <w:right w:val="none" w:sz="0" w:space="0" w:color="auto"/>
      </w:divBdr>
    </w:div>
    <w:div w:id="2114664038">
      <w:bodyDiv w:val="1"/>
      <w:marLeft w:val="0"/>
      <w:marRight w:val="0"/>
      <w:marTop w:val="0"/>
      <w:marBottom w:val="0"/>
      <w:divBdr>
        <w:top w:val="none" w:sz="0" w:space="0" w:color="auto"/>
        <w:left w:val="none" w:sz="0" w:space="0" w:color="auto"/>
        <w:bottom w:val="none" w:sz="0" w:space="0" w:color="auto"/>
        <w:right w:val="none" w:sz="0" w:space="0" w:color="auto"/>
      </w:divBdr>
      <w:divsChild>
        <w:div w:id="17137716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5F766-15FC-4D8A-B6ED-604D7FE3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44</Pages>
  <Words>10709</Words>
  <Characters>61043</Characters>
  <Application>Microsoft Office Word</Application>
  <DocSecurity>0</DocSecurity>
  <Lines>508</Lines>
  <Paragraphs>143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Uniroma3</Company>
  <LinksUpToDate>false</LinksUpToDate>
  <CharactersWithSpaces>71609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Fiordelisi</dc:creator>
  <cp:keywords/>
  <dc:description/>
  <cp:lastModifiedBy>Ornella Ricci</cp:lastModifiedBy>
  <cp:revision>5</cp:revision>
  <cp:lastPrinted>2016-09-05T10:22:00Z</cp:lastPrinted>
  <dcterms:created xsi:type="dcterms:W3CDTF">2016-09-05T09:35:00Z</dcterms:created>
  <dcterms:modified xsi:type="dcterms:W3CDTF">2016-09-05T11:22:00Z</dcterms:modified>
</cp:coreProperties>
</file>