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B9AA2" w14:textId="77777777" w:rsidR="00661581" w:rsidRDefault="00661581"/>
    <w:p w14:paraId="44B82E0A" w14:textId="77777777" w:rsidR="006F7F13" w:rsidRDefault="006F7F13"/>
    <w:p w14:paraId="68CB12C4" w14:textId="77777777" w:rsidR="00FD5305" w:rsidRDefault="00FD5305" w:rsidP="00FD5305">
      <w:pPr>
        <w:spacing w:line="480" w:lineRule="auto"/>
        <w:jc w:val="both"/>
        <w:rPr>
          <w:sz w:val="24"/>
        </w:rPr>
      </w:pPr>
    </w:p>
    <w:p w14:paraId="519BE0F0" w14:textId="0E92D20A" w:rsidR="00FD5305" w:rsidRDefault="00483CFB" w:rsidP="00FD5305">
      <w:pPr>
        <w:spacing w:line="480" w:lineRule="auto"/>
        <w:jc w:val="right"/>
        <w:rPr>
          <w:b/>
          <w:sz w:val="32"/>
        </w:rPr>
      </w:pPr>
      <w:r>
        <w:rPr>
          <w:b/>
          <w:sz w:val="32"/>
        </w:rPr>
        <w:t>Helpful feedback</w:t>
      </w:r>
      <w:r w:rsidR="00FD5305">
        <w:rPr>
          <w:b/>
          <w:sz w:val="32"/>
        </w:rPr>
        <w:t>:</w:t>
      </w:r>
    </w:p>
    <w:p w14:paraId="64113B11" w14:textId="77777777" w:rsidR="00FD5305" w:rsidRDefault="00FD5305" w:rsidP="00FD5305">
      <w:pPr>
        <w:spacing w:line="480" w:lineRule="auto"/>
        <w:jc w:val="right"/>
        <w:rPr>
          <w:sz w:val="32"/>
        </w:rPr>
      </w:pPr>
    </w:p>
    <w:p w14:paraId="0413D9E4" w14:textId="77777777" w:rsidR="00FD5305" w:rsidRDefault="00FD5305" w:rsidP="00FD5305">
      <w:pPr>
        <w:spacing w:line="480" w:lineRule="auto"/>
        <w:jc w:val="right"/>
        <w:rPr>
          <w:i/>
          <w:sz w:val="32"/>
        </w:rPr>
      </w:pPr>
      <w:r>
        <w:rPr>
          <w:sz w:val="32"/>
        </w:rPr>
        <w:t xml:space="preserve">A Review of </w:t>
      </w:r>
      <w:proofErr w:type="spellStart"/>
      <w:r w:rsidR="0041510E">
        <w:rPr>
          <w:i/>
          <w:sz w:val="32"/>
        </w:rPr>
        <w:t>Neocybernetics</w:t>
      </w:r>
      <w:proofErr w:type="spellEnd"/>
      <w:r w:rsidR="0041510E">
        <w:rPr>
          <w:i/>
          <w:sz w:val="32"/>
        </w:rPr>
        <w:t xml:space="preserve"> and Narrative</w:t>
      </w:r>
      <w:r>
        <w:rPr>
          <w:rStyle w:val="FootnoteReference"/>
          <w:sz w:val="32"/>
        </w:rPr>
        <w:footnoteReference w:id="1"/>
      </w:r>
    </w:p>
    <w:p w14:paraId="089AA3B9" w14:textId="77777777" w:rsidR="00FD5305" w:rsidRDefault="00FD5305" w:rsidP="00FD5305">
      <w:pPr>
        <w:spacing w:line="480" w:lineRule="auto"/>
        <w:jc w:val="right"/>
        <w:rPr>
          <w:i/>
          <w:sz w:val="32"/>
        </w:rPr>
      </w:pPr>
    </w:p>
    <w:p w14:paraId="2F87A3E9" w14:textId="77777777" w:rsidR="00FD5305" w:rsidRDefault="00FD5305" w:rsidP="00FD5305">
      <w:pPr>
        <w:pStyle w:val="Heading1"/>
        <w:spacing w:line="480" w:lineRule="auto"/>
        <w:rPr>
          <w:i/>
          <w:sz w:val="28"/>
        </w:rPr>
      </w:pPr>
    </w:p>
    <w:p w14:paraId="01A7E1DD" w14:textId="77777777" w:rsidR="00FD5305" w:rsidRDefault="00FD5305" w:rsidP="00FD5305">
      <w:pPr>
        <w:pStyle w:val="Heading1"/>
        <w:spacing w:line="480" w:lineRule="auto"/>
      </w:pPr>
      <w:r>
        <w:rPr>
          <w:i/>
          <w:sz w:val="28"/>
        </w:rPr>
        <w:t xml:space="preserve">Paul </w:t>
      </w:r>
      <w:proofErr w:type="spellStart"/>
      <w:r>
        <w:rPr>
          <w:i/>
          <w:sz w:val="28"/>
        </w:rPr>
        <w:t>Cobley</w:t>
      </w:r>
      <w:proofErr w:type="spellEnd"/>
      <w:r>
        <w:rPr>
          <w:rStyle w:val="FootnoteReference"/>
          <w:i/>
          <w:sz w:val="28"/>
        </w:rPr>
        <w:footnoteReference w:id="2"/>
      </w:r>
    </w:p>
    <w:p w14:paraId="209081F3" w14:textId="77777777" w:rsidR="00FD5305" w:rsidRDefault="00FD5305" w:rsidP="00FD5305">
      <w:pPr>
        <w:spacing w:line="480" w:lineRule="auto"/>
        <w:jc w:val="both"/>
        <w:rPr>
          <w:sz w:val="24"/>
        </w:rPr>
      </w:pPr>
    </w:p>
    <w:p w14:paraId="62D616A0" w14:textId="77777777" w:rsidR="00FD5305" w:rsidRDefault="00FD5305" w:rsidP="00FD5305">
      <w:pPr>
        <w:spacing w:line="480" w:lineRule="auto"/>
        <w:jc w:val="both"/>
        <w:rPr>
          <w:sz w:val="24"/>
        </w:rPr>
      </w:pPr>
    </w:p>
    <w:p w14:paraId="4A2EEB2D" w14:textId="77777777" w:rsidR="00FD5305" w:rsidRDefault="00FD5305" w:rsidP="00FD5305">
      <w:pPr>
        <w:spacing w:line="480" w:lineRule="auto"/>
        <w:jc w:val="both"/>
        <w:rPr>
          <w:sz w:val="24"/>
        </w:rPr>
      </w:pPr>
    </w:p>
    <w:p w14:paraId="050106DA" w14:textId="77777777" w:rsidR="00FD5305" w:rsidRDefault="00FD5305" w:rsidP="00FD5305">
      <w:pPr>
        <w:spacing w:line="480" w:lineRule="auto"/>
        <w:jc w:val="both"/>
        <w:rPr>
          <w:sz w:val="24"/>
        </w:rPr>
      </w:pPr>
    </w:p>
    <w:p w14:paraId="13708315" w14:textId="5540B55F" w:rsidR="00FD5305" w:rsidRDefault="00FD5305" w:rsidP="00FD5305">
      <w:pPr>
        <w:pStyle w:val="BodyText"/>
        <w:spacing w:line="480" w:lineRule="auto"/>
        <w:rPr>
          <w:szCs w:val="24"/>
        </w:rPr>
      </w:pPr>
      <w:r w:rsidRPr="00FD5305">
        <w:rPr>
          <w:szCs w:val="24"/>
        </w:rPr>
        <w:t xml:space="preserve">When I first picked up Bruce Clarke’s last monograph, </w:t>
      </w:r>
      <w:proofErr w:type="spellStart"/>
      <w:r w:rsidRPr="00FD5305">
        <w:rPr>
          <w:i/>
          <w:szCs w:val="24"/>
        </w:rPr>
        <w:t>Posthuman</w:t>
      </w:r>
      <w:proofErr w:type="spellEnd"/>
      <w:r w:rsidRPr="00FD5305">
        <w:rPr>
          <w:i/>
          <w:szCs w:val="24"/>
        </w:rPr>
        <w:t xml:space="preserve"> Metamorphosis: Narrative and Systems</w:t>
      </w:r>
      <w:r w:rsidRPr="00FD5305">
        <w:rPr>
          <w:szCs w:val="24"/>
        </w:rPr>
        <w:t xml:space="preserve"> (2008), it was not in the most auspicious circumstances. I was standing on a much delayed commuter train out of London, with just about enough room among the frustrated travellers to be able to hold a book, my elbows firmly pinned to my flanks. Yet, I remember little else from that 90-minute journey because of th</w:t>
      </w:r>
      <w:r>
        <w:rPr>
          <w:szCs w:val="24"/>
        </w:rPr>
        <w:t>e mesmerising effect of the volume</w:t>
      </w:r>
      <w:r w:rsidRPr="00FD5305">
        <w:rPr>
          <w:szCs w:val="24"/>
        </w:rPr>
        <w:t xml:space="preserve">, particularly the pellucid exposition of Spencer </w:t>
      </w:r>
      <w:r>
        <w:rPr>
          <w:szCs w:val="24"/>
        </w:rPr>
        <w:t>Brown in the opening chapters. Thus, i</w:t>
      </w:r>
      <w:r w:rsidRPr="00FD5305">
        <w:rPr>
          <w:szCs w:val="24"/>
        </w:rPr>
        <w:t>t was with a sense of anticipation that I picked up</w:t>
      </w:r>
      <w:r w:rsidR="003F530A">
        <w:rPr>
          <w:szCs w:val="24"/>
        </w:rPr>
        <w:t xml:space="preserve"> </w:t>
      </w:r>
      <w:proofErr w:type="spellStart"/>
      <w:r w:rsidR="003F530A">
        <w:rPr>
          <w:i/>
          <w:szCs w:val="24"/>
        </w:rPr>
        <w:t>Neocybernetics</w:t>
      </w:r>
      <w:proofErr w:type="spellEnd"/>
      <w:r w:rsidR="003F530A">
        <w:rPr>
          <w:i/>
          <w:szCs w:val="24"/>
        </w:rPr>
        <w:t xml:space="preserve"> and Narrative</w:t>
      </w:r>
      <w:r w:rsidR="003F530A">
        <w:rPr>
          <w:szCs w:val="24"/>
        </w:rPr>
        <w:t xml:space="preserve"> for the first time.</w:t>
      </w:r>
    </w:p>
    <w:p w14:paraId="739A487A" w14:textId="77777777" w:rsidR="007A3A64" w:rsidRDefault="007A3A64" w:rsidP="00FD5305">
      <w:pPr>
        <w:pStyle w:val="BodyText"/>
        <w:spacing w:line="480" w:lineRule="auto"/>
        <w:rPr>
          <w:szCs w:val="24"/>
        </w:rPr>
      </w:pPr>
    </w:p>
    <w:p w14:paraId="3169D5A0" w14:textId="23D37C90" w:rsidR="00317062" w:rsidRDefault="007A3A64" w:rsidP="00FD5305">
      <w:pPr>
        <w:pStyle w:val="BodyText"/>
        <w:spacing w:line="480" w:lineRule="auto"/>
        <w:rPr>
          <w:szCs w:val="24"/>
        </w:rPr>
      </w:pPr>
      <w:r>
        <w:rPr>
          <w:szCs w:val="24"/>
        </w:rPr>
        <w:lastRenderedPageBreak/>
        <w:t xml:space="preserve">That anticipation was not initially rewarded. </w:t>
      </w:r>
      <w:r w:rsidR="005510EB">
        <w:rPr>
          <w:szCs w:val="24"/>
        </w:rPr>
        <w:t xml:space="preserve">The book consists of an introduction and five, fairly long chapters. Each contains the thread of the thesis, but each could stand alone as sophisticated readings of particular narratives, popular or theoretical. The first chapter focuses on the science fiction novel, </w:t>
      </w:r>
      <w:r w:rsidR="005510EB" w:rsidRPr="005510EB">
        <w:rPr>
          <w:i/>
          <w:szCs w:val="24"/>
        </w:rPr>
        <w:t>Mind of My Mind</w:t>
      </w:r>
      <w:r w:rsidR="005510EB">
        <w:rPr>
          <w:szCs w:val="24"/>
        </w:rPr>
        <w:t xml:space="preserve">, by Octavia Butler. The second is devotedly purely to theory: that of </w:t>
      </w:r>
      <w:proofErr w:type="spellStart"/>
      <w:r w:rsidR="005510EB">
        <w:rPr>
          <w:szCs w:val="24"/>
        </w:rPr>
        <w:t>Luhmann</w:t>
      </w:r>
      <w:proofErr w:type="spellEnd"/>
      <w:r w:rsidR="005510EB">
        <w:rPr>
          <w:szCs w:val="24"/>
        </w:rPr>
        <w:t xml:space="preserve"> and </w:t>
      </w:r>
      <w:proofErr w:type="spellStart"/>
      <w:r w:rsidR="005510EB">
        <w:rPr>
          <w:szCs w:val="24"/>
        </w:rPr>
        <w:t>Serres</w:t>
      </w:r>
      <w:proofErr w:type="spellEnd"/>
      <w:r w:rsidR="005510EB">
        <w:rPr>
          <w:szCs w:val="24"/>
        </w:rPr>
        <w:t xml:space="preserve">. Chapter 3 is mainly concerned with the films, </w:t>
      </w:r>
      <w:r w:rsidR="005510EB">
        <w:rPr>
          <w:i/>
          <w:szCs w:val="24"/>
        </w:rPr>
        <w:t xml:space="preserve">Memento </w:t>
      </w:r>
      <w:r w:rsidR="005510EB">
        <w:rPr>
          <w:szCs w:val="24"/>
        </w:rPr>
        <w:t xml:space="preserve">and </w:t>
      </w:r>
      <w:r w:rsidR="005510EB">
        <w:rPr>
          <w:i/>
          <w:szCs w:val="24"/>
        </w:rPr>
        <w:t>Eternal Sunshine of the Spotless Mind</w:t>
      </w:r>
      <w:r w:rsidR="005510EB">
        <w:rPr>
          <w:szCs w:val="24"/>
        </w:rPr>
        <w:t xml:space="preserve">. The next chapter is a disquisition on Bruno </w:t>
      </w:r>
      <w:proofErr w:type="spellStart"/>
      <w:r w:rsidR="005510EB">
        <w:rPr>
          <w:szCs w:val="24"/>
        </w:rPr>
        <w:t>Latour’s</w:t>
      </w:r>
      <w:proofErr w:type="spellEnd"/>
      <w:r w:rsidR="005510EB">
        <w:rPr>
          <w:szCs w:val="24"/>
        </w:rPr>
        <w:t xml:space="preserve"> </w:t>
      </w:r>
      <w:proofErr w:type="spellStart"/>
      <w:r w:rsidR="005510EB">
        <w:rPr>
          <w:i/>
          <w:szCs w:val="24"/>
        </w:rPr>
        <w:t>Aramis</w:t>
      </w:r>
      <w:proofErr w:type="spellEnd"/>
      <w:r w:rsidR="005510EB">
        <w:rPr>
          <w:i/>
          <w:szCs w:val="24"/>
        </w:rPr>
        <w:t xml:space="preserve">. </w:t>
      </w:r>
      <w:r w:rsidR="005510EB">
        <w:rPr>
          <w:szCs w:val="24"/>
        </w:rPr>
        <w:t xml:space="preserve">Chapter 5, at the end of the book, couples Bateson and </w:t>
      </w:r>
      <w:proofErr w:type="spellStart"/>
      <w:r w:rsidR="005510EB">
        <w:rPr>
          <w:szCs w:val="24"/>
        </w:rPr>
        <w:t>Guattari</w:t>
      </w:r>
      <w:proofErr w:type="spellEnd"/>
      <w:r w:rsidR="005510EB">
        <w:rPr>
          <w:szCs w:val="24"/>
        </w:rPr>
        <w:t xml:space="preserve"> in a discussion of Gaia-related issues. Each of these chapters is stimulating and involves juxtapositions that are startling and revealing.</w:t>
      </w:r>
      <w:r w:rsidR="00317062">
        <w:rPr>
          <w:szCs w:val="24"/>
        </w:rPr>
        <w:t xml:space="preserve"> Yet the first chapter does not provide the auspicious opening that </w:t>
      </w:r>
      <w:proofErr w:type="spellStart"/>
      <w:r w:rsidR="00317062">
        <w:rPr>
          <w:i/>
          <w:szCs w:val="24"/>
        </w:rPr>
        <w:t>Posthuman</w:t>
      </w:r>
      <w:proofErr w:type="spellEnd"/>
      <w:r w:rsidR="00317062">
        <w:rPr>
          <w:i/>
          <w:szCs w:val="24"/>
        </w:rPr>
        <w:t xml:space="preserve"> Metamorphoses </w:t>
      </w:r>
      <w:r w:rsidR="00317062">
        <w:rPr>
          <w:szCs w:val="24"/>
        </w:rPr>
        <w:t xml:space="preserve">had. Its focus, as mentioned, is the Butler novel; but its key juxtaposition is </w:t>
      </w:r>
      <w:proofErr w:type="spellStart"/>
      <w:r w:rsidR="00317062">
        <w:rPr>
          <w:szCs w:val="24"/>
        </w:rPr>
        <w:t>Kittler’s</w:t>
      </w:r>
      <w:proofErr w:type="spellEnd"/>
      <w:r w:rsidR="00317062">
        <w:rPr>
          <w:szCs w:val="24"/>
        </w:rPr>
        <w:t xml:space="preserve"> </w:t>
      </w:r>
      <w:r w:rsidR="00317062">
        <w:rPr>
          <w:i/>
          <w:szCs w:val="24"/>
        </w:rPr>
        <w:t>Gramophone, Film, Typewriter</w:t>
      </w:r>
      <w:r w:rsidR="00317062">
        <w:rPr>
          <w:szCs w:val="24"/>
        </w:rPr>
        <w:t xml:space="preserve"> (1999) and Derrida’s essay on ‘Telepathy’ (2007). Under the aegis of this juxtaposition, Clarke (19) asks</w:t>
      </w:r>
      <w:r w:rsidR="00476690">
        <w:rPr>
          <w:szCs w:val="24"/>
        </w:rPr>
        <w:t>: “</w:t>
      </w:r>
      <w:r w:rsidR="00317062">
        <w:rPr>
          <w:szCs w:val="24"/>
        </w:rPr>
        <w:t>What does it mean for a trace to endure, to cross over the distances and durations that intervene between its coming to be in one place and moment and its itinerary of future destinations?</w:t>
      </w:r>
      <w:r w:rsidR="00476690">
        <w:rPr>
          <w:szCs w:val="24"/>
        </w:rPr>
        <w:t xml:space="preserve">” </w:t>
      </w:r>
      <w:r w:rsidR="00317062">
        <w:rPr>
          <w:szCs w:val="24"/>
        </w:rPr>
        <w:t>If one accepts the terminology an</w:t>
      </w:r>
      <w:r w:rsidR="00476690">
        <w:rPr>
          <w:szCs w:val="24"/>
        </w:rPr>
        <w:t>d</w:t>
      </w:r>
      <w:r w:rsidR="00317062">
        <w:rPr>
          <w:szCs w:val="24"/>
        </w:rPr>
        <w:t xml:space="preserve"> concept of trace, this is a fair question</w:t>
      </w:r>
      <w:r w:rsidR="00476690">
        <w:rPr>
          <w:szCs w:val="24"/>
        </w:rPr>
        <w:t>. In partial answer, Clarke writes,</w:t>
      </w:r>
    </w:p>
    <w:p w14:paraId="569817BC" w14:textId="77777777" w:rsidR="00476690" w:rsidRDefault="00476690" w:rsidP="00FD5305">
      <w:pPr>
        <w:pStyle w:val="BodyText"/>
        <w:spacing w:line="480" w:lineRule="auto"/>
        <w:rPr>
          <w:szCs w:val="24"/>
        </w:rPr>
      </w:pPr>
    </w:p>
    <w:p w14:paraId="035E5E0F" w14:textId="50EC4C3C" w:rsidR="00476690" w:rsidRPr="00476690" w:rsidRDefault="00476690" w:rsidP="00044D1B">
      <w:pPr>
        <w:pStyle w:val="BodyText"/>
        <w:spacing w:line="480" w:lineRule="auto"/>
        <w:ind w:left="567"/>
        <w:rPr>
          <w:szCs w:val="24"/>
        </w:rPr>
      </w:pPr>
      <w:r>
        <w:rPr>
          <w:szCs w:val="24"/>
        </w:rPr>
        <w:t xml:space="preserve">If you want to see a picture of the soul, observe an intentional scratch on a rock. The </w:t>
      </w:r>
      <w:r w:rsidRPr="00476690">
        <w:rPr>
          <w:color w:val="000000"/>
          <w:szCs w:val="24"/>
        </w:rPr>
        <w:t>é</w:t>
      </w:r>
      <w:r>
        <w:rPr>
          <w:color w:val="000000"/>
          <w:szCs w:val="24"/>
        </w:rPr>
        <w:t xml:space="preserve">lan with which we receive the traces of signs is the origin or </w:t>
      </w:r>
      <w:proofErr w:type="spellStart"/>
      <w:r>
        <w:rPr>
          <w:i/>
          <w:color w:val="000000"/>
          <w:szCs w:val="24"/>
        </w:rPr>
        <w:t>Ursprung</w:t>
      </w:r>
      <w:proofErr w:type="spellEnd"/>
      <w:r>
        <w:rPr>
          <w:color w:val="000000"/>
          <w:szCs w:val="24"/>
        </w:rPr>
        <w:t xml:space="preserve"> of stories that pivot on these radical passages, displacements in space, in time, or in embodiment. Such displaced </w:t>
      </w:r>
      <w:proofErr w:type="spellStart"/>
      <w:r>
        <w:rPr>
          <w:color w:val="000000"/>
          <w:szCs w:val="24"/>
        </w:rPr>
        <w:t>materialities</w:t>
      </w:r>
      <w:proofErr w:type="spellEnd"/>
      <w:r>
        <w:rPr>
          <w:color w:val="000000"/>
          <w:szCs w:val="24"/>
        </w:rPr>
        <w:t xml:space="preserve"> may also occur with shifts in the literal medium of the narrative text – for instance, the leaping back and forth from verbal to visual signifiers – or with metamorphic shifts in the diegetic body depicted by the signifiers of that text. Breaking this back down to the primal trace</w:t>
      </w:r>
      <w:r w:rsidR="00044D1B">
        <w:rPr>
          <w:color w:val="000000"/>
          <w:szCs w:val="24"/>
        </w:rPr>
        <w:t xml:space="preserve">: any one mark, when received as a cue for cognitive operations, has multiple implications already built into it. Bound up in any mark is a potential dynamism, a contingent or </w:t>
      </w:r>
      <w:proofErr w:type="spellStart"/>
      <w:r w:rsidR="00044D1B">
        <w:rPr>
          <w:color w:val="000000"/>
          <w:szCs w:val="24"/>
        </w:rPr>
        <w:t>nonrandom</w:t>
      </w:r>
      <w:proofErr w:type="spellEnd"/>
      <w:r w:rsidR="00044D1B">
        <w:rPr>
          <w:color w:val="000000"/>
          <w:szCs w:val="24"/>
        </w:rPr>
        <w:t xml:space="preserve"> concatenation of signifying events, that is always already on the way to narrative formation.</w:t>
      </w:r>
    </w:p>
    <w:p w14:paraId="5E6184B5" w14:textId="77777777" w:rsidR="00FD5305" w:rsidRDefault="00FD5305" w:rsidP="00FD5305">
      <w:pPr>
        <w:pStyle w:val="BodyText"/>
        <w:spacing w:line="480" w:lineRule="auto"/>
        <w:rPr>
          <w:szCs w:val="24"/>
        </w:rPr>
      </w:pPr>
    </w:p>
    <w:p w14:paraId="0970276D" w14:textId="2A3A3681" w:rsidR="00A35C73" w:rsidRDefault="00044D1B" w:rsidP="00A35C73">
      <w:pPr>
        <w:pStyle w:val="BodyText"/>
        <w:spacing w:line="480" w:lineRule="auto"/>
      </w:pPr>
      <w:r>
        <w:rPr>
          <w:szCs w:val="24"/>
        </w:rPr>
        <w:t>The verbal ac</w:t>
      </w:r>
      <w:r w:rsidR="00A35C73">
        <w:rPr>
          <w:szCs w:val="24"/>
        </w:rPr>
        <w:t xml:space="preserve">robatics of </w:t>
      </w:r>
      <w:proofErr w:type="spellStart"/>
      <w:r w:rsidR="00A35C73">
        <w:rPr>
          <w:szCs w:val="24"/>
        </w:rPr>
        <w:t>poststructuralism</w:t>
      </w:r>
      <w:proofErr w:type="spellEnd"/>
      <w:r w:rsidR="00A35C73">
        <w:rPr>
          <w:szCs w:val="24"/>
        </w:rPr>
        <w:t xml:space="preserve"> are</w:t>
      </w:r>
      <w:r>
        <w:rPr>
          <w:szCs w:val="24"/>
        </w:rPr>
        <w:t xml:space="preserve"> often </w:t>
      </w:r>
      <w:r w:rsidR="00FD5305">
        <w:rPr>
          <w:szCs w:val="24"/>
        </w:rPr>
        <w:t>like a</w:t>
      </w:r>
      <w:r>
        <w:rPr>
          <w:szCs w:val="24"/>
        </w:rPr>
        <w:t xml:space="preserve"> Marx Brothers routine, particularly the </w:t>
      </w:r>
      <w:r w:rsidR="00A35C73">
        <w:rPr>
          <w:szCs w:val="24"/>
        </w:rPr>
        <w:t>discussion of the legal document</w:t>
      </w:r>
      <w:r>
        <w:rPr>
          <w:szCs w:val="24"/>
        </w:rPr>
        <w:t xml:space="preserve"> in </w:t>
      </w:r>
      <w:r>
        <w:rPr>
          <w:i/>
          <w:szCs w:val="24"/>
        </w:rPr>
        <w:t>A Night at the Opera</w:t>
      </w:r>
      <w:r>
        <w:rPr>
          <w:szCs w:val="24"/>
        </w:rPr>
        <w:t xml:space="preserve"> (1935) in which, after much wrangling over “the party in the first part” and “the par</w:t>
      </w:r>
      <w:r w:rsidR="00A35C73">
        <w:rPr>
          <w:szCs w:val="24"/>
        </w:rPr>
        <w:t>ty in the second part”</w:t>
      </w:r>
      <w:r w:rsidR="003B21F2">
        <w:rPr>
          <w:szCs w:val="24"/>
        </w:rPr>
        <w:t xml:space="preserve">, the </w:t>
      </w:r>
      <w:proofErr w:type="spellStart"/>
      <w:r w:rsidR="003B21F2">
        <w:rPr>
          <w:szCs w:val="24"/>
        </w:rPr>
        <w:t>punchline</w:t>
      </w:r>
      <w:proofErr w:type="spellEnd"/>
      <w:r w:rsidR="003B21F2">
        <w:rPr>
          <w:szCs w:val="24"/>
        </w:rPr>
        <w:t xml:space="preserve"> </w:t>
      </w:r>
      <w:r w:rsidR="00120788">
        <w:rPr>
          <w:szCs w:val="24"/>
        </w:rPr>
        <w:t>reveals</w:t>
      </w:r>
      <w:r w:rsidR="00A35C73">
        <w:rPr>
          <w:szCs w:val="24"/>
        </w:rPr>
        <w:t xml:space="preserve"> that “Everybody knows there </w:t>
      </w:r>
      <w:proofErr w:type="spellStart"/>
      <w:r w:rsidR="00A35C73">
        <w:rPr>
          <w:szCs w:val="24"/>
        </w:rPr>
        <w:t>ain’t</w:t>
      </w:r>
      <w:proofErr w:type="spellEnd"/>
      <w:r w:rsidR="00A35C73">
        <w:rPr>
          <w:szCs w:val="24"/>
        </w:rPr>
        <w:t xml:space="preserve"> no sanity clause”. Yet, Clarke has a sound point here: </w:t>
      </w:r>
      <w:r w:rsidR="00A35C73">
        <w:t>signs betray something of their sending and our creative readiness to receive them is the basis of narrative. Signs change in different media and they are ‘</w:t>
      </w:r>
      <w:proofErr w:type="spellStart"/>
      <w:r w:rsidR="00A35C73">
        <w:t>pol</w:t>
      </w:r>
      <w:bookmarkStart w:id="0" w:name="_GoBack"/>
      <w:bookmarkEnd w:id="0"/>
      <w:r w:rsidR="00A35C73">
        <w:t>ysemic</w:t>
      </w:r>
      <w:proofErr w:type="spellEnd"/>
      <w:r w:rsidR="00A35C73">
        <w:t>’. This gives them their potential to contribute to narrative.</w:t>
      </w:r>
    </w:p>
    <w:p w14:paraId="2FB89BFE" w14:textId="77777777" w:rsidR="00A35C73" w:rsidRDefault="00A35C73" w:rsidP="00A35C73">
      <w:pPr>
        <w:pStyle w:val="BodyText"/>
        <w:spacing w:line="480" w:lineRule="auto"/>
      </w:pPr>
    </w:p>
    <w:p w14:paraId="58452C4C" w14:textId="25F48172" w:rsidR="00A35C73" w:rsidRDefault="00A35C73" w:rsidP="00A35C73">
      <w:pPr>
        <w:pStyle w:val="BodyText"/>
        <w:spacing w:line="480" w:lineRule="auto"/>
        <w:rPr>
          <w:color w:val="000000"/>
          <w:szCs w:val="24"/>
        </w:rPr>
      </w:pPr>
      <w:r>
        <w:t xml:space="preserve">Although the first chapter proved a difficult read for me, the subsequent chapters, while </w:t>
      </w:r>
      <w:r w:rsidR="00120788">
        <w:t xml:space="preserve">still </w:t>
      </w:r>
      <w:r>
        <w:t>challeng</w:t>
      </w:r>
      <w:r w:rsidR="00483CFB">
        <w:t>ing, certainly mad</w:t>
      </w:r>
      <w:r w:rsidR="00120788">
        <w:t xml:space="preserve">e up for the opening and develop Clarke’s thesis with the </w:t>
      </w:r>
      <w:r w:rsidR="00120788" w:rsidRPr="00476690">
        <w:rPr>
          <w:color w:val="000000"/>
          <w:szCs w:val="24"/>
        </w:rPr>
        <w:t>é</w:t>
      </w:r>
      <w:r w:rsidR="00120788">
        <w:rPr>
          <w:color w:val="000000"/>
          <w:szCs w:val="24"/>
        </w:rPr>
        <w:t>lan he credits to readers of signs.</w:t>
      </w:r>
      <w:r w:rsidR="00483CFB">
        <w:rPr>
          <w:color w:val="000000"/>
          <w:szCs w:val="24"/>
        </w:rPr>
        <w:t xml:space="preserve"> The second chapter gets down to business with a discussion, ostensibly, of </w:t>
      </w:r>
      <w:proofErr w:type="spellStart"/>
      <w:r w:rsidR="00483CFB">
        <w:rPr>
          <w:color w:val="000000"/>
          <w:szCs w:val="24"/>
        </w:rPr>
        <w:t>Serres</w:t>
      </w:r>
      <w:proofErr w:type="spellEnd"/>
      <w:r w:rsidR="00483CFB">
        <w:rPr>
          <w:color w:val="000000"/>
          <w:szCs w:val="24"/>
        </w:rPr>
        <w:t xml:space="preserve"> and </w:t>
      </w:r>
      <w:proofErr w:type="spellStart"/>
      <w:r w:rsidR="00483CFB">
        <w:rPr>
          <w:color w:val="000000"/>
          <w:szCs w:val="24"/>
        </w:rPr>
        <w:t>Luhmann</w:t>
      </w:r>
      <w:proofErr w:type="spellEnd"/>
      <w:r w:rsidR="00483CFB">
        <w:rPr>
          <w:color w:val="000000"/>
          <w:szCs w:val="24"/>
        </w:rPr>
        <w:t xml:space="preserve">, but is equally concerned with von </w:t>
      </w:r>
      <w:proofErr w:type="spellStart"/>
      <w:r w:rsidR="00483CFB">
        <w:rPr>
          <w:color w:val="000000"/>
          <w:szCs w:val="24"/>
        </w:rPr>
        <w:t>Foerster</w:t>
      </w:r>
      <w:proofErr w:type="spellEnd"/>
      <w:r w:rsidR="003B21F2">
        <w:rPr>
          <w:color w:val="000000"/>
          <w:szCs w:val="24"/>
        </w:rPr>
        <w:t>,</w:t>
      </w:r>
      <w:r w:rsidR="00483CFB">
        <w:rPr>
          <w:color w:val="000000"/>
          <w:szCs w:val="24"/>
        </w:rPr>
        <w:t xml:space="preserve"> whom Clarke references in a particularly cogent critique of the first-order fashion in which </w:t>
      </w:r>
      <w:proofErr w:type="spellStart"/>
      <w:r w:rsidR="00483CFB">
        <w:rPr>
          <w:color w:val="000000"/>
          <w:szCs w:val="24"/>
        </w:rPr>
        <w:t>Serres</w:t>
      </w:r>
      <w:proofErr w:type="spellEnd"/>
      <w:r w:rsidR="00483CFB">
        <w:rPr>
          <w:color w:val="000000"/>
          <w:szCs w:val="24"/>
        </w:rPr>
        <w:t xml:space="preserve"> treats the idea of ‘noise’. Ultimately, </w:t>
      </w:r>
      <w:proofErr w:type="spellStart"/>
      <w:r w:rsidR="00483CFB">
        <w:rPr>
          <w:color w:val="000000"/>
          <w:szCs w:val="24"/>
        </w:rPr>
        <w:t>Serres</w:t>
      </w:r>
      <w:proofErr w:type="spellEnd"/>
      <w:r w:rsidR="00483CFB">
        <w:rPr>
          <w:color w:val="000000"/>
          <w:szCs w:val="24"/>
        </w:rPr>
        <w:t xml:space="preserve"> ‘noise’ is found problematic because it is still moored to the problematic of transmission and reception. Freed from the </w:t>
      </w:r>
      <w:proofErr w:type="spellStart"/>
      <w:r w:rsidR="00483CFB">
        <w:rPr>
          <w:color w:val="000000"/>
          <w:szCs w:val="24"/>
        </w:rPr>
        <w:t>Derridean</w:t>
      </w:r>
      <w:proofErr w:type="spellEnd"/>
      <w:r w:rsidR="00483CFB">
        <w:rPr>
          <w:color w:val="000000"/>
          <w:szCs w:val="24"/>
        </w:rPr>
        <w:t xml:space="preserve"> overtones</w:t>
      </w:r>
      <w:r w:rsidR="003B21F2">
        <w:rPr>
          <w:color w:val="000000"/>
          <w:szCs w:val="24"/>
        </w:rPr>
        <w:t xml:space="preserve"> in this chapter</w:t>
      </w:r>
      <w:r w:rsidR="00483CFB">
        <w:rPr>
          <w:color w:val="000000"/>
          <w:szCs w:val="24"/>
        </w:rPr>
        <w:t>, Clark makes a persuasive case for the “infinite play of forms” as characteristic of the operational closures</w:t>
      </w:r>
      <w:r w:rsidR="006E5B2E">
        <w:rPr>
          <w:color w:val="000000"/>
          <w:szCs w:val="24"/>
        </w:rPr>
        <w:t xml:space="preserve"> of observing systems.</w:t>
      </w:r>
      <w:r w:rsidR="00483CFB">
        <w:rPr>
          <w:color w:val="000000"/>
          <w:szCs w:val="24"/>
        </w:rPr>
        <w:t xml:space="preserve"> </w:t>
      </w:r>
    </w:p>
    <w:p w14:paraId="7C5CE631" w14:textId="77777777" w:rsidR="001D55D1" w:rsidRDefault="001D55D1" w:rsidP="00A35C73">
      <w:pPr>
        <w:pStyle w:val="BodyText"/>
        <w:spacing w:line="480" w:lineRule="auto"/>
        <w:rPr>
          <w:color w:val="000000"/>
          <w:szCs w:val="24"/>
        </w:rPr>
      </w:pPr>
    </w:p>
    <w:p w14:paraId="12F7D7B2" w14:textId="3BE80EF4" w:rsidR="001D55D1" w:rsidRDefault="001D55D1" w:rsidP="00A35C73">
      <w:pPr>
        <w:pStyle w:val="BodyText"/>
        <w:spacing w:line="480" w:lineRule="auto"/>
        <w:rPr>
          <w:color w:val="000000"/>
          <w:szCs w:val="24"/>
        </w:rPr>
      </w:pPr>
      <w:r>
        <w:rPr>
          <w:color w:val="000000"/>
          <w:szCs w:val="24"/>
        </w:rPr>
        <w:t xml:space="preserve">Chapter 3 is pivotal. Putatively analysing two movies, it begins with an incredibly fresh take on ‘feedback’, taking Jimi Hendrix’s trademark sound – which, over four exciting pages, Clarke makes the reader </w:t>
      </w:r>
      <w:r>
        <w:rPr>
          <w:i/>
          <w:color w:val="000000"/>
          <w:szCs w:val="24"/>
        </w:rPr>
        <w:t>feel</w:t>
      </w:r>
      <w:r>
        <w:rPr>
          <w:color w:val="000000"/>
          <w:szCs w:val="24"/>
        </w:rPr>
        <w:t xml:space="preserve"> –</w:t>
      </w:r>
      <w:r w:rsidR="003B21F2">
        <w:rPr>
          <w:color w:val="000000"/>
          <w:szCs w:val="24"/>
        </w:rPr>
        <w:t xml:space="preserve"> and mixing</w:t>
      </w:r>
      <w:r>
        <w:rPr>
          <w:color w:val="000000"/>
          <w:szCs w:val="24"/>
        </w:rPr>
        <w:t xml:space="preserve"> it with observations on Kauffman’s discussion of recursion and the lap games at the 1978 Whole Earth jamboree. The passage is ty</w:t>
      </w:r>
      <w:r w:rsidR="003B21F2">
        <w:rPr>
          <w:color w:val="000000"/>
          <w:szCs w:val="24"/>
        </w:rPr>
        <w:t>pical of the jarring, but illuminat</w:t>
      </w:r>
      <w:r>
        <w:rPr>
          <w:color w:val="000000"/>
          <w:szCs w:val="24"/>
        </w:rPr>
        <w:t>ing, mash-ups that recur throughout the book.</w:t>
      </w:r>
      <w:r w:rsidR="00665B6F">
        <w:rPr>
          <w:color w:val="000000"/>
          <w:szCs w:val="24"/>
        </w:rPr>
        <w:t xml:space="preserve"> On this occasion, it serves a discussion of some ‘traditional’ </w:t>
      </w:r>
      <w:proofErr w:type="spellStart"/>
      <w:r w:rsidR="00665B6F">
        <w:rPr>
          <w:color w:val="000000"/>
          <w:szCs w:val="24"/>
        </w:rPr>
        <w:t>narratological</w:t>
      </w:r>
      <w:proofErr w:type="spellEnd"/>
      <w:r w:rsidR="00665B6F">
        <w:rPr>
          <w:color w:val="000000"/>
          <w:szCs w:val="24"/>
        </w:rPr>
        <w:t xml:space="preserve"> concepts: </w:t>
      </w:r>
      <w:proofErr w:type="spellStart"/>
      <w:r w:rsidR="00665B6F">
        <w:rPr>
          <w:color w:val="000000"/>
          <w:szCs w:val="24"/>
        </w:rPr>
        <w:t>analepsis</w:t>
      </w:r>
      <w:proofErr w:type="spellEnd"/>
      <w:r w:rsidR="00665B6F">
        <w:rPr>
          <w:color w:val="000000"/>
          <w:szCs w:val="24"/>
        </w:rPr>
        <w:t xml:space="preserve"> and prolepsis. The cybernetic ‘body electric’ of Hendrix is impli</w:t>
      </w:r>
      <w:r w:rsidR="00573FF1">
        <w:rPr>
          <w:color w:val="000000"/>
          <w:szCs w:val="24"/>
        </w:rPr>
        <w:t xml:space="preserve">ed to be of a piece with the </w:t>
      </w:r>
      <w:proofErr w:type="spellStart"/>
      <w:r w:rsidR="00573FF1">
        <w:rPr>
          <w:color w:val="000000"/>
          <w:szCs w:val="24"/>
        </w:rPr>
        <w:t>task</w:t>
      </w:r>
      <w:r w:rsidR="00665B6F">
        <w:rPr>
          <w:color w:val="000000"/>
          <w:szCs w:val="24"/>
        </w:rPr>
        <w:t>k</w:t>
      </w:r>
      <w:proofErr w:type="spellEnd"/>
      <w:r w:rsidR="00665B6F">
        <w:rPr>
          <w:color w:val="000000"/>
          <w:szCs w:val="24"/>
        </w:rPr>
        <w:t xml:space="preserve"> of imagining the troublesome ‘virtual </w:t>
      </w:r>
      <w:proofErr w:type="spellStart"/>
      <w:r w:rsidR="00665B6F" w:rsidRPr="00665B6F">
        <w:rPr>
          <w:i/>
          <w:color w:val="000000"/>
          <w:szCs w:val="24"/>
        </w:rPr>
        <w:t>fabula</w:t>
      </w:r>
      <w:proofErr w:type="spellEnd"/>
      <w:r w:rsidR="00665B6F">
        <w:rPr>
          <w:color w:val="000000"/>
          <w:szCs w:val="24"/>
        </w:rPr>
        <w:t xml:space="preserve">’ of films like </w:t>
      </w:r>
      <w:r w:rsidR="00665B6F">
        <w:rPr>
          <w:i/>
          <w:color w:val="000000"/>
          <w:szCs w:val="24"/>
        </w:rPr>
        <w:t>Memento</w:t>
      </w:r>
      <w:r w:rsidR="00665B6F">
        <w:rPr>
          <w:color w:val="000000"/>
          <w:szCs w:val="24"/>
        </w:rPr>
        <w:t>.</w:t>
      </w:r>
    </w:p>
    <w:p w14:paraId="12617AE6" w14:textId="77777777" w:rsidR="00665B6F" w:rsidRDefault="00665B6F" w:rsidP="00A35C73">
      <w:pPr>
        <w:pStyle w:val="BodyText"/>
        <w:spacing w:line="480" w:lineRule="auto"/>
        <w:rPr>
          <w:color w:val="000000"/>
          <w:szCs w:val="24"/>
        </w:rPr>
      </w:pPr>
    </w:p>
    <w:p w14:paraId="5C4E134D" w14:textId="50927251" w:rsidR="00665B6F" w:rsidRDefault="00665B6F" w:rsidP="006C52BD">
      <w:pPr>
        <w:pStyle w:val="BodyText"/>
        <w:spacing w:line="480" w:lineRule="auto"/>
        <w:rPr>
          <w:color w:val="000000"/>
          <w:szCs w:val="24"/>
        </w:rPr>
      </w:pPr>
      <w:r>
        <w:rPr>
          <w:color w:val="000000"/>
          <w:szCs w:val="24"/>
        </w:rPr>
        <w:t xml:space="preserve">It is worth mentioning at this point that Clarke’s work on narrative is completely out of the mainstream of </w:t>
      </w:r>
      <w:r w:rsidR="006002B1">
        <w:rPr>
          <w:color w:val="000000"/>
          <w:szCs w:val="24"/>
        </w:rPr>
        <w:t xml:space="preserve">contemporary </w:t>
      </w:r>
      <w:r>
        <w:rPr>
          <w:color w:val="000000"/>
          <w:szCs w:val="24"/>
        </w:rPr>
        <w:t>narrative theory –</w:t>
      </w:r>
      <w:r w:rsidR="006002B1">
        <w:rPr>
          <w:color w:val="000000"/>
          <w:szCs w:val="24"/>
        </w:rPr>
        <w:t xml:space="preserve"> and a good thing, too. Clarke’s frame of reference</w:t>
      </w:r>
      <w:r>
        <w:rPr>
          <w:color w:val="000000"/>
          <w:szCs w:val="24"/>
        </w:rPr>
        <w:t xml:space="preserve"> would be difficult to assimilate to ‘postclassical </w:t>
      </w:r>
      <w:proofErr w:type="spellStart"/>
      <w:r>
        <w:rPr>
          <w:color w:val="000000"/>
          <w:szCs w:val="24"/>
        </w:rPr>
        <w:t>narratology</w:t>
      </w:r>
      <w:proofErr w:type="spellEnd"/>
      <w:r>
        <w:rPr>
          <w:color w:val="000000"/>
          <w:szCs w:val="24"/>
        </w:rPr>
        <w:t>’ because the reading list of scholars in the latter only very partially overlaps with his.</w:t>
      </w:r>
      <w:r w:rsidR="006C52BD">
        <w:rPr>
          <w:color w:val="000000"/>
          <w:szCs w:val="24"/>
        </w:rPr>
        <w:t xml:space="preserve"> It is for this reason that he is able to articulate some concepts</w:t>
      </w:r>
      <w:r w:rsidR="00E87B99">
        <w:rPr>
          <w:color w:val="000000"/>
          <w:szCs w:val="24"/>
        </w:rPr>
        <w:t xml:space="preserve"> that ‘postclassical </w:t>
      </w:r>
      <w:proofErr w:type="spellStart"/>
      <w:r w:rsidR="00E87B99">
        <w:rPr>
          <w:color w:val="000000"/>
          <w:szCs w:val="24"/>
        </w:rPr>
        <w:t>narratology</w:t>
      </w:r>
      <w:proofErr w:type="spellEnd"/>
      <w:r w:rsidR="00E87B99">
        <w:rPr>
          <w:color w:val="000000"/>
          <w:szCs w:val="24"/>
        </w:rPr>
        <w:t>’ cannot.</w:t>
      </w:r>
      <w:r w:rsidR="006C52BD">
        <w:rPr>
          <w:color w:val="000000"/>
          <w:szCs w:val="24"/>
        </w:rPr>
        <w:t xml:space="preserve"> </w:t>
      </w:r>
      <w:r w:rsidR="00E87B99">
        <w:rPr>
          <w:color w:val="000000"/>
          <w:szCs w:val="24"/>
        </w:rPr>
        <w:t>One of these is</w:t>
      </w:r>
      <w:r w:rsidR="006C52BD">
        <w:rPr>
          <w:color w:val="000000"/>
          <w:szCs w:val="24"/>
        </w:rPr>
        <w:t xml:space="preserve"> the recursive, seemingly disembodied, problematic narrative processes that have been thrown up by complex</w:t>
      </w:r>
      <w:r w:rsidR="00E87B99">
        <w:rPr>
          <w:color w:val="000000"/>
          <w:szCs w:val="24"/>
        </w:rPr>
        <w:t xml:space="preserve"> storytelling and the contemporary puzzle film </w:t>
      </w:r>
      <w:r w:rsidR="006002B1">
        <w:rPr>
          <w:color w:val="000000"/>
          <w:szCs w:val="24"/>
        </w:rPr>
        <w:t>(</w:t>
      </w:r>
      <w:r w:rsidR="00573FF1">
        <w:rPr>
          <w:color w:val="000000"/>
          <w:szCs w:val="24"/>
        </w:rPr>
        <w:t xml:space="preserve">see </w:t>
      </w:r>
      <w:r w:rsidR="006002B1">
        <w:rPr>
          <w:color w:val="000000"/>
          <w:szCs w:val="24"/>
        </w:rPr>
        <w:t xml:space="preserve">Buckland 2014). Another is the sustained consideration of the process of </w:t>
      </w:r>
      <w:proofErr w:type="spellStart"/>
      <w:r w:rsidR="006002B1">
        <w:rPr>
          <w:color w:val="000000"/>
          <w:szCs w:val="24"/>
        </w:rPr>
        <w:t>observership</w:t>
      </w:r>
      <w:proofErr w:type="spellEnd"/>
      <w:r w:rsidR="006002B1">
        <w:rPr>
          <w:color w:val="000000"/>
          <w:szCs w:val="24"/>
        </w:rPr>
        <w:t xml:space="preserve"> in relation to narrative. Discussing </w:t>
      </w:r>
      <w:r w:rsidR="006002B1">
        <w:rPr>
          <w:i/>
          <w:color w:val="000000"/>
          <w:szCs w:val="24"/>
        </w:rPr>
        <w:t xml:space="preserve">Avatar </w:t>
      </w:r>
      <w:r w:rsidR="006002B1">
        <w:rPr>
          <w:color w:val="000000"/>
          <w:szCs w:val="24"/>
        </w:rPr>
        <w:t xml:space="preserve">in Chapter 5, Clarke </w:t>
      </w:r>
      <w:r w:rsidR="006B0307">
        <w:rPr>
          <w:color w:val="000000"/>
          <w:szCs w:val="24"/>
        </w:rPr>
        <w:t xml:space="preserve">(177) </w:t>
      </w:r>
      <w:r w:rsidR="006002B1">
        <w:rPr>
          <w:color w:val="000000"/>
          <w:szCs w:val="24"/>
        </w:rPr>
        <w:t>notes,</w:t>
      </w:r>
    </w:p>
    <w:p w14:paraId="2B9205B6" w14:textId="77777777" w:rsidR="006002B1" w:rsidRDefault="006002B1" w:rsidP="006C52BD">
      <w:pPr>
        <w:pStyle w:val="BodyText"/>
        <w:spacing w:line="480" w:lineRule="auto"/>
        <w:rPr>
          <w:color w:val="000000"/>
          <w:szCs w:val="24"/>
        </w:rPr>
      </w:pPr>
    </w:p>
    <w:p w14:paraId="2BA47974" w14:textId="418C3F3A" w:rsidR="006002B1" w:rsidRDefault="006002B1" w:rsidP="00573FF1">
      <w:pPr>
        <w:pStyle w:val="BodyText"/>
        <w:spacing w:line="480" w:lineRule="auto"/>
        <w:ind w:left="567"/>
        <w:rPr>
          <w:color w:val="000000"/>
          <w:szCs w:val="24"/>
        </w:rPr>
      </w:pPr>
      <w:r>
        <w:rPr>
          <w:color w:val="000000"/>
          <w:szCs w:val="24"/>
        </w:rPr>
        <w:t>Thre</w:t>
      </w:r>
      <w:r w:rsidR="006B0307">
        <w:rPr>
          <w:color w:val="000000"/>
          <w:szCs w:val="24"/>
        </w:rPr>
        <w:t>e of the five narratives [</w:t>
      </w:r>
      <w:r w:rsidR="006B0307">
        <w:rPr>
          <w:i/>
          <w:color w:val="000000"/>
          <w:szCs w:val="24"/>
        </w:rPr>
        <w:t xml:space="preserve">Mind of My Mind, Eternal </w:t>
      </w:r>
      <w:proofErr w:type="gramStart"/>
      <w:r w:rsidR="006B0307">
        <w:rPr>
          <w:i/>
          <w:color w:val="000000"/>
          <w:szCs w:val="24"/>
        </w:rPr>
        <w:t>Sunshine .</w:t>
      </w:r>
      <w:proofErr w:type="gramEnd"/>
      <w:r w:rsidR="006B0307">
        <w:rPr>
          <w:i/>
          <w:color w:val="000000"/>
          <w:szCs w:val="24"/>
        </w:rPr>
        <w:t xml:space="preserve"> . ., Memento, </w:t>
      </w:r>
      <w:proofErr w:type="spellStart"/>
      <w:r w:rsidR="006B0307">
        <w:rPr>
          <w:i/>
          <w:color w:val="000000"/>
          <w:szCs w:val="24"/>
        </w:rPr>
        <w:t>Aramis</w:t>
      </w:r>
      <w:proofErr w:type="spellEnd"/>
      <w:r w:rsidR="006B0307">
        <w:rPr>
          <w:i/>
          <w:color w:val="000000"/>
          <w:szCs w:val="24"/>
        </w:rPr>
        <w:t>, Avatar</w:t>
      </w:r>
      <w:r>
        <w:rPr>
          <w:color w:val="000000"/>
          <w:szCs w:val="24"/>
        </w:rPr>
        <w:t xml:space="preserve">] we have examined stage and mediate a fictional network </w:t>
      </w:r>
      <w:proofErr w:type="spellStart"/>
      <w:r>
        <w:rPr>
          <w:color w:val="000000"/>
          <w:szCs w:val="24"/>
        </w:rPr>
        <w:t>centered</w:t>
      </w:r>
      <w:proofErr w:type="spellEnd"/>
      <w:r>
        <w:rPr>
          <w:color w:val="000000"/>
          <w:szCs w:val="24"/>
        </w:rPr>
        <w:t xml:space="preserve"> on a technological system that, when it</w:t>
      </w:r>
      <w:r w:rsidR="006B0307">
        <w:rPr>
          <w:color w:val="000000"/>
          <w:szCs w:val="24"/>
        </w:rPr>
        <w:t xml:space="preserve"> fails or even when it works all too well, fails to deliver the social goals for which it is designed. In the stories of the characters involved, this lapse is usually a desirable outcome, a fortunate failure. But, in any event, as usual, the fault lies not with our designed systems, but with </w:t>
      </w:r>
      <w:proofErr w:type="gramStart"/>
      <w:r w:rsidR="006B0307">
        <w:rPr>
          <w:color w:val="000000"/>
          <w:szCs w:val="24"/>
        </w:rPr>
        <w:t>ourselves</w:t>
      </w:r>
      <w:proofErr w:type="gramEnd"/>
      <w:r w:rsidR="006B0307">
        <w:rPr>
          <w:color w:val="000000"/>
          <w:szCs w:val="24"/>
        </w:rPr>
        <w:t>, the designers.</w:t>
      </w:r>
    </w:p>
    <w:p w14:paraId="3C6260A6" w14:textId="77777777" w:rsidR="006B0307" w:rsidRDefault="006B0307" w:rsidP="006C52BD">
      <w:pPr>
        <w:pStyle w:val="BodyText"/>
        <w:spacing w:line="480" w:lineRule="auto"/>
        <w:rPr>
          <w:color w:val="000000"/>
          <w:szCs w:val="24"/>
        </w:rPr>
      </w:pPr>
    </w:p>
    <w:p w14:paraId="25228C36" w14:textId="31880208" w:rsidR="006B0307" w:rsidRPr="006002B1" w:rsidRDefault="00525BDB" w:rsidP="006C52BD">
      <w:pPr>
        <w:pStyle w:val="BodyText"/>
        <w:spacing w:line="480" w:lineRule="auto"/>
      </w:pPr>
      <w:r>
        <w:rPr>
          <w:color w:val="000000"/>
          <w:szCs w:val="24"/>
        </w:rPr>
        <w:t xml:space="preserve">Indeed, Clarke argues at the very end of the book, that the vision of Gaia is, effectively, a “renovation of the observer’s relation to its universe in second-order systems theory” (181). In a sense, this </w:t>
      </w:r>
      <w:r w:rsidR="00CE1A92">
        <w:rPr>
          <w:color w:val="000000"/>
          <w:szCs w:val="24"/>
        </w:rPr>
        <w:t xml:space="preserve">addresses the issue that spurred Clarke to write this book: that neither media nor </w:t>
      </w:r>
      <w:proofErr w:type="gramStart"/>
      <w:r w:rsidR="00CE1A92">
        <w:rPr>
          <w:color w:val="000000"/>
          <w:szCs w:val="24"/>
        </w:rPr>
        <w:t>narrative are</w:t>
      </w:r>
      <w:proofErr w:type="gramEnd"/>
      <w:r w:rsidR="00CE1A92">
        <w:rPr>
          <w:color w:val="000000"/>
          <w:szCs w:val="24"/>
        </w:rPr>
        <w:t xml:space="preserve"> capable of cognizing on th</w:t>
      </w:r>
      <w:r w:rsidR="00573FF1">
        <w:rPr>
          <w:color w:val="000000"/>
          <w:szCs w:val="24"/>
        </w:rPr>
        <w:t xml:space="preserve">eir own. </w:t>
      </w:r>
      <w:proofErr w:type="gramStart"/>
      <w:r w:rsidR="00573FF1">
        <w:rPr>
          <w:color w:val="000000"/>
          <w:szCs w:val="24"/>
        </w:rPr>
        <w:t>His account of both amounts</w:t>
      </w:r>
      <w:r w:rsidR="00CE1A92">
        <w:rPr>
          <w:color w:val="000000"/>
          <w:szCs w:val="24"/>
        </w:rPr>
        <w:t xml:space="preserve"> </w:t>
      </w:r>
      <w:r w:rsidR="00573FF1">
        <w:rPr>
          <w:color w:val="000000"/>
          <w:szCs w:val="24"/>
        </w:rPr>
        <w:t xml:space="preserve">to </w:t>
      </w:r>
      <w:r w:rsidR="00CE1A92">
        <w:rPr>
          <w:color w:val="000000"/>
          <w:szCs w:val="24"/>
        </w:rPr>
        <w:t>a superbly provocative attempt to present their meaning proce</w:t>
      </w:r>
      <w:r w:rsidR="00573FF1">
        <w:rPr>
          <w:color w:val="000000"/>
          <w:szCs w:val="24"/>
        </w:rPr>
        <w:t xml:space="preserve">sses in an </w:t>
      </w:r>
      <w:proofErr w:type="spellStart"/>
      <w:r w:rsidR="00573FF1">
        <w:rPr>
          <w:color w:val="000000"/>
          <w:szCs w:val="24"/>
        </w:rPr>
        <w:t>autopoetic</w:t>
      </w:r>
      <w:proofErr w:type="spellEnd"/>
      <w:r w:rsidR="00573FF1">
        <w:rPr>
          <w:color w:val="000000"/>
          <w:szCs w:val="24"/>
        </w:rPr>
        <w:t xml:space="preserve"> frame avoiding</w:t>
      </w:r>
      <w:r w:rsidR="00CE1A92">
        <w:rPr>
          <w:color w:val="000000"/>
          <w:szCs w:val="24"/>
        </w:rPr>
        <w:t xml:space="preserve"> the pitfalls of “subject-</w:t>
      </w:r>
      <w:proofErr w:type="spellStart"/>
      <w:r w:rsidR="00CE1A92">
        <w:rPr>
          <w:color w:val="000000"/>
          <w:szCs w:val="24"/>
        </w:rPr>
        <w:t>centered</w:t>
      </w:r>
      <w:proofErr w:type="spellEnd"/>
      <w:r w:rsidR="00CE1A92">
        <w:rPr>
          <w:color w:val="000000"/>
          <w:szCs w:val="24"/>
        </w:rPr>
        <w:t xml:space="preserve"> and </w:t>
      </w:r>
      <w:proofErr w:type="spellStart"/>
      <w:r w:rsidR="00CE1A92">
        <w:rPr>
          <w:color w:val="000000"/>
          <w:szCs w:val="24"/>
        </w:rPr>
        <w:t>intersubjective</w:t>
      </w:r>
      <w:proofErr w:type="spellEnd"/>
      <w:r w:rsidR="00CE1A92">
        <w:rPr>
          <w:color w:val="000000"/>
          <w:szCs w:val="24"/>
        </w:rPr>
        <w:t xml:space="preserve"> hermeneutics” (xvii).</w:t>
      </w:r>
      <w:proofErr w:type="gramEnd"/>
    </w:p>
    <w:p w14:paraId="00E24102" w14:textId="77777777" w:rsidR="00FD5305" w:rsidRPr="00FD5305" w:rsidRDefault="00FD5305" w:rsidP="00FD5305">
      <w:pPr>
        <w:pStyle w:val="BodyText"/>
        <w:spacing w:line="480" w:lineRule="auto"/>
      </w:pPr>
    </w:p>
    <w:p w14:paraId="02E4ABE4" w14:textId="77777777" w:rsidR="00FD5305" w:rsidRDefault="00FD5305" w:rsidP="00FD5305">
      <w:pPr>
        <w:spacing w:line="480" w:lineRule="auto"/>
        <w:jc w:val="both"/>
        <w:rPr>
          <w:i/>
          <w:sz w:val="24"/>
        </w:rPr>
      </w:pPr>
    </w:p>
    <w:p w14:paraId="19A30C38" w14:textId="77777777" w:rsidR="00FD5305" w:rsidRDefault="00FD5305" w:rsidP="00FD5305">
      <w:pPr>
        <w:pStyle w:val="Heading3"/>
      </w:pPr>
      <w:r>
        <w:t>References</w:t>
      </w:r>
    </w:p>
    <w:p w14:paraId="1F187CC6" w14:textId="77777777" w:rsidR="00FD5305" w:rsidRDefault="00FD5305" w:rsidP="00FD5305">
      <w:pPr>
        <w:spacing w:line="480" w:lineRule="auto"/>
        <w:jc w:val="both"/>
        <w:rPr>
          <w:b/>
          <w:sz w:val="24"/>
        </w:rPr>
      </w:pPr>
    </w:p>
    <w:p w14:paraId="11DD6DA4" w14:textId="0057C748" w:rsidR="004C2940" w:rsidRDefault="004C2940" w:rsidP="00FD5305">
      <w:pPr>
        <w:spacing w:line="480" w:lineRule="auto"/>
        <w:jc w:val="both"/>
        <w:rPr>
          <w:sz w:val="22"/>
          <w:szCs w:val="22"/>
        </w:rPr>
      </w:pPr>
      <w:r w:rsidRPr="00CE5DB0">
        <w:rPr>
          <w:sz w:val="22"/>
          <w:szCs w:val="22"/>
        </w:rPr>
        <w:t>Buckland</w:t>
      </w:r>
      <w:r>
        <w:rPr>
          <w:sz w:val="22"/>
          <w:szCs w:val="22"/>
        </w:rPr>
        <w:t>, W.</w:t>
      </w:r>
      <w:r w:rsidRPr="00CE5DB0">
        <w:rPr>
          <w:sz w:val="22"/>
          <w:szCs w:val="22"/>
        </w:rPr>
        <w:t xml:space="preserve"> (ed.)</w:t>
      </w:r>
      <w:r>
        <w:rPr>
          <w:sz w:val="22"/>
          <w:szCs w:val="22"/>
        </w:rPr>
        <w:t xml:space="preserve"> (2014)</w:t>
      </w:r>
      <w:r w:rsidRPr="00CE5DB0">
        <w:rPr>
          <w:sz w:val="22"/>
          <w:szCs w:val="22"/>
        </w:rPr>
        <w:t xml:space="preserve"> </w:t>
      </w:r>
      <w:r w:rsidRPr="00CE5DB0">
        <w:rPr>
          <w:i/>
          <w:sz w:val="22"/>
          <w:szCs w:val="22"/>
        </w:rPr>
        <w:t>Hollywood Puzzle Film</w:t>
      </w:r>
      <w:r>
        <w:rPr>
          <w:i/>
          <w:sz w:val="22"/>
          <w:szCs w:val="22"/>
        </w:rPr>
        <w:t>s</w:t>
      </w:r>
      <w:r>
        <w:rPr>
          <w:sz w:val="22"/>
          <w:szCs w:val="22"/>
        </w:rPr>
        <w:t xml:space="preserve">: London and New York: </w:t>
      </w:r>
      <w:proofErr w:type="spellStart"/>
      <w:r w:rsidRPr="00CE5DB0">
        <w:rPr>
          <w:sz w:val="22"/>
          <w:szCs w:val="22"/>
        </w:rPr>
        <w:t>Routledge</w:t>
      </w:r>
      <w:proofErr w:type="spellEnd"/>
      <w:r>
        <w:rPr>
          <w:sz w:val="22"/>
          <w:szCs w:val="22"/>
        </w:rPr>
        <w:t>/American Film Institute.</w:t>
      </w:r>
    </w:p>
    <w:p w14:paraId="5011B6C6" w14:textId="77777777" w:rsidR="00573FF1" w:rsidRDefault="00573FF1" w:rsidP="00FD5305">
      <w:pPr>
        <w:spacing w:line="480" w:lineRule="auto"/>
        <w:jc w:val="both"/>
        <w:rPr>
          <w:sz w:val="22"/>
          <w:szCs w:val="22"/>
        </w:rPr>
      </w:pPr>
    </w:p>
    <w:p w14:paraId="529D989B" w14:textId="4C453D20" w:rsidR="00573FF1" w:rsidRPr="00573FF1" w:rsidRDefault="00573FF1" w:rsidP="00FD5305">
      <w:pPr>
        <w:spacing w:line="480" w:lineRule="auto"/>
        <w:jc w:val="both"/>
        <w:rPr>
          <w:sz w:val="22"/>
          <w:szCs w:val="22"/>
        </w:rPr>
      </w:pPr>
      <w:r>
        <w:rPr>
          <w:sz w:val="22"/>
          <w:szCs w:val="22"/>
        </w:rPr>
        <w:t xml:space="preserve">Derrida, J. (2007) ‘Telepathy’ in P. </w:t>
      </w:r>
      <w:proofErr w:type="spellStart"/>
      <w:r>
        <w:rPr>
          <w:sz w:val="22"/>
          <w:szCs w:val="22"/>
        </w:rPr>
        <w:t>Kamuf</w:t>
      </w:r>
      <w:proofErr w:type="spellEnd"/>
      <w:r>
        <w:rPr>
          <w:sz w:val="22"/>
          <w:szCs w:val="22"/>
        </w:rPr>
        <w:t xml:space="preserve"> and E. </w:t>
      </w:r>
      <w:proofErr w:type="spellStart"/>
      <w:r>
        <w:rPr>
          <w:sz w:val="22"/>
          <w:szCs w:val="22"/>
        </w:rPr>
        <w:t>Rottenberg</w:t>
      </w:r>
      <w:proofErr w:type="spellEnd"/>
      <w:r>
        <w:rPr>
          <w:sz w:val="22"/>
          <w:szCs w:val="22"/>
        </w:rPr>
        <w:t xml:space="preserve"> (eds.) </w:t>
      </w:r>
      <w:r>
        <w:rPr>
          <w:i/>
          <w:sz w:val="22"/>
          <w:szCs w:val="22"/>
        </w:rPr>
        <w:t>Psyche: Inventions of the Other</w:t>
      </w:r>
      <w:r>
        <w:rPr>
          <w:sz w:val="22"/>
          <w:szCs w:val="22"/>
        </w:rPr>
        <w:t xml:space="preserve"> Vol. 1. Stanford: Stanford University Press.</w:t>
      </w:r>
    </w:p>
    <w:p w14:paraId="4D3602C1" w14:textId="77777777" w:rsidR="00573FF1" w:rsidRDefault="00573FF1" w:rsidP="00FD5305">
      <w:pPr>
        <w:spacing w:line="480" w:lineRule="auto"/>
        <w:jc w:val="both"/>
        <w:rPr>
          <w:sz w:val="22"/>
          <w:szCs w:val="22"/>
        </w:rPr>
      </w:pPr>
    </w:p>
    <w:p w14:paraId="7520E671" w14:textId="126C5D24" w:rsidR="00FD5305" w:rsidRPr="006F3DA1" w:rsidRDefault="00573FF1" w:rsidP="00FD5305">
      <w:pPr>
        <w:spacing w:line="480" w:lineRule="auto"/>
        <w:jc w:val="both"/>
        <w:rPr>
          <w:sz w:val="22"/>
          <w:szCs w:val="22"/>
        </w:rPr>
      </w:pPr>
      <w:proofErr w:type="gramStart"/>
      <w:r>
        <w:rPr>
          <w:sz w:val="22"/>
          <w:szCs w:val="22"/>
        </w:rPr>
        <w:t xml:space="preserve">Kittler, F. (1999) </w:t>
      </w:r>
      <w:proofErr w:type="spellStart"/>
      <w:r>
        <w:rPr>
          <w:i/>
          <w:sz w:val="22"/>
          <w:szCs w:val="22"/>
        </w:rPr>
        <w:t>Gramaphone</w:t>
      </w:r>
      <w:proofErr w:type="spellEnd"/>
      <w:r>
        <w:rPr>
          <w:i/>
          <w:sz w:val="22"/>
          <w:szCs w:val="22"/>
        </w:rPr>
        <w:t>, Film, Typewriter</w:t>
      </w:r>
      <w:r>
        <w:rPr>
          <w:sz w:val="22"/>
          <w:szCs w:val="22"/>
        </w:rPr>
        <w:t xml:space="preserve">, trans G. Winthrop-Young and M. </w:t>
      </w:r>
      <w:proofErr w:type="spellStart"/>
      <w:r>
        <w:rPr>
          <w:sz w:val="22"/>
          <w:szCs w:val="22"/>
        </w:rPr>
        <w:t>Wutz</w:t>
      </w:r>
      <w:proofErr w:type="spellEnd"/>
      <w:r>
        <w:rPr>
          <w:sz w:val="22"/>
          <w:szCs w:val="22"/>
        </w:rPr>
        <w:t>.</w:t>
      </w:r>
      <w:proofErr w:type="gramEnd"/>
      <w:r>
        <w:rPr>
          <w:sz w:val="22"/>
          <w:szCs w:val="22"/>
        </w:rPr>
        <w:t xml:space="preserve"> Stanford: Stanford University Press.</w:t>
      </w:r>
    </w:p>
    <w:sectPr w:rsidR="00FD5305" w:rsidRPr="006F3DA1" w:rsidSect="0066158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9F6B4" w14:textId="77777777" w:rsidR="003B21F2" w:rsidRDefault="003B21F2" w:rsidP="00FD5305">
      <w:r>
        <w:separator/>
      </w:r>
    </w:p>
  </w:endnote>
  <w:endnote w:type="continuationSeparator" w:id="0">
    <w:p w14:paraId="4699DBB9" w14:textId="77777777" w:rsidR="003B21F2" w:rsidRDefault="003B21F2" w:rsidP="00FD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57E61" w14:textId="77777777" w:rsidR="003B21F2" w:rsidRDefault="003B21F2" w:rsidP="00FD5305">
      <w:r>
        <w:separator/>
      </w:r>
    </w:p>
  </w:footnote>
  <w:footnote w:type="continuationSeparator" w:id="0">
    <w:p w14:paraId="05F1D604" w14:textId="77777777" w:rsidR="003B21F2" w:rsidRDefault="003B21F2" w:rsidP="00FD5305">
      <w:r>
        <w:continuationSeparator/>
      </w:r>
    </w:p>
  </w:footnote>
  <w:footnote w:id="1">
    <w:p w14:paraId="02C0DC25" w14:textId="77777777" w:rsidR="003B21F2" w:rsidRDefault="003B21F2" w:rsidP="00FD5305">
      <w:pPr>
        <w:pStyle w:val="FootnoteText"/>
      </w:pPr>
      <w:r>
        <w:rPr>
          <w:rStyle w:val="FootnoteReference"/>
        </w:rPr>
        <w:footnoteRef/>
      </w:r>
      <w:r>
        <w:t xml:space="preserve"> Bruce Clarke, Minneapolis and London: University of Minnesota Press, 2014.</w:t>
      </w:r>
    </w:p>
  </w:footnote>
  <w:footnote w:id="2">
    <w:p w14:paraId="3BCA2D8A" w14:textId="77777777" w:rsidR="003B21F2" w:rsidRDefault="003B21F2" w:rsidP="00FD5305">
      <w:pPr>
        <w:pStyle w:val="FootnoteText"/>
      </w:pPr>
      <w:r>
        <w:rPr>
          <w:rStyle w:val="FootnoteReference"/>
        </w:rPr>
        <w:footnoteRef/>
      </w:r>
      <w:r>
        <w:t xml:space="preserve"> </w:t>
      </w:r>
      <w:r w:rsidRPr="005D27A8">
        <w:rPr>
          <w:szCs w:val="22"/>
        </w:rPr>
        <w:t>School of Media and Performing Arts, Middlesex University, The Burroughs, Hendon, LONDON, NW4 4BT, UK</w:t>
      </w:r>
      <w:r>
        <w:t xml:space="preserve">. </w:t>
      </w:r>
      <w:proofErr w:type="gramStart"/>
      <w:r>
        <w:t>p</w:t>
      </w:r>
      <w:proofErr w:type="gramEnd"/>
      <w:r>
        <w:t>.cobley@mdx.ac.uk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F13"/>
    <w:rsid w:val="00044D1B"/>
    <w:rsid w:val="00120788"/>
    <w:rsid w:val="001D55D1"/>
    <w:rsid w:val="00317062"/>
    <w:rsid w:val="003B21F2"/>
    <w:rsid w:val="003F530A"/>
    <w:rsid w:val="0041510E"/>
    <w:rsid w:val="00476690"/>
    <w:rsid w:val="00483CFB"/>
    <w:rsid w:val="004C2940"/>
    <w:rsid w:val="00525BDB"/>
    <w:rsid w:val="005510EB"/>
    <w:rsid w:val="00573FF1"/>
    <w:rsid w:val="005D27A8"/>
    <w:rsid w:val="006002B1"/>
    <w:rsid w:val="00661581"/>
    <w:rsid w:val="00665B6F"/>
    <w:rsid w:val="006B0307"/>
    <w:rsid w:val="006C52BD"/>
    <w:rsid w:val="006E5B2E"/>
    <w:rsid w:val="006F3DA1"/>
    <w:rsid w:val="006F7F13"/>
    <w:rsid w:val="007A3A64"/>
    <w:rsid w:val="00A35C73"/>
    <w:rsid w:val="00AA5C97"/>
    <w:rsid w:val="00CE1A92"/>
    <w:rsid w:val="00E30995"/>
    <w:rsid w:val="00E87B99"/>
    <w:rsid w:val="00FD5305"/>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3A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305"/>
    <w:rPr>
      <w:rFonts w:ascii="Times New Roman" w:eastAsia="Times New Roman" w:hAnsi="Times New Roman" w:cs="Times New Roman"/>
      <w:sz w:val="20"/>
      <w:szCs w:val="20"/>
    </w:rPr>
  </w:style>
  <w:style w:type="paragraph" w:styleId="Heading1">
    <w:name w:val="heading 1"/>
    <w:basedOn w:val="Normal"/>
    <w:next w:val="Normal"/>
    <w:link w:val="Heading1Char"/>
    <w:qFormat/>
    <w:rsid w:val="00FD5305"/>
    <w:pPr>
      <w:keepNext/>
      <w:jc w:val="right"/>
      <w:outlineLvl w:val="0"/>
    </w:pPr>
    <w:rPr>
      <w:sz w:val="32"/>
    </w:rPr>
  </w:style>
  <w:style w:type="paragraph" w:styleId="Heading2">
    <w:name w:val="heading 2"/>
    <w:basedOn w:val="Normal"/>
    <w:next w:val="Normal"/>
    <w:link w:val="Heading2Char"/>
    <w:qFormat/>
    <w:rsid w:val="00FD5305"/>
    <w:pPr>
      <w:keepNext/>
      <w:jc w:val="both"/>
      <w:outlineLvl w:val="1"/>
    </w:pPr>
    <w:rPr>
      <w:sz w:val="24"/>
    </w:rPr>
  </w:style>
  <w:style w:type="paragraph" w:styleId="Heading3">
    <w:name w:val="heading 3"/>
    <w:basedOn w:val="Normal"/>
    <w:next w:val="Normal"/>
    <w:link w:val="Heading3Char"/>
    <w:qFormat/>
    <w:rsid w:val="00FD5305"/>
    <w:pPr>
      <w:keepNext/>
      <w:spacing w:line="480" w:lineRule="auto"/>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305"/>
    <w:rPr>
      <w:rFonts w:ascii="Times New Roman" w:eastAsia="Times New Roman" w:hAnsi="Times New Roman" w:cs="Times New Roman"/>
      <w:sz w:val="32"/>
      <w:szCs w:val="20"/>
    </w:rPr>
  </w:style>
  <w:style w:type="character" w:customStyle="1" w:styleId="Heading2Char">
    <w:name w:val="Heading 2 Char"/>
    <w:basedOn w:val="DefaultParagraphFont"/>
    <w:link w:val="Heading2"/>
    <w:rsid w:val="00FD5305"/>
    <w:rPr>
      <w:rFonts w:ascii="Times New Roman" w:eastAsia="Times New Roman" w:hAnsi="Times New Roman" w:cs="Times New Roman"/>
      <w:szCs w:val="20"/>
    </w:rPr>
  </w:style>
  <w:style w:type="character" w:customStyle="1" w:styleId="Heading3Char">
    <w:name w:val="Heading 3 Char"/>
    <w:basedOn w:val="DefaultParagraphFont"/>
    <w:link w:val="Heading3"/>
    <w:rsid w:val="00FD5305"/>
    <w:rPr>
      <w:rFonts w:ascii="Times New Roman" w:eastAsia="Times New Roman" w:hAnsi="Times New Roman" w:cs="Times New Roman"/>
      <w:b/>
      <w:szCs w:val="20"/>
    </w:rPr>
  </w:style>
  <w:style w:type="paragraph" w:styleId="FootnoteText">
    <w:name w:val="footnote text"/>
    <w:basedOn w:val="Normal"/>
    <w:link w:val="FootnoteTextChar"/>
    <w:semiHidden/>
    <w:rsid w:val="00FD5305"/>
  </w:style>
  <w:style w:type="character" w:customStyle="1" w:styleId="FootnoteTextChar">
    <w:name w:val="Footnote Text Char"/>
    <w:basedOn w:val="DefaultParagraphFont"/>
    <w:link w:val="FootnoteText"/>
    <w:semiHidden/>
    <w:rsid w:val="00FD5305"/>
    <w:rPr>
      <w:rFonts w:ascii="Times New Roman" w:eastAsia="Times New Roman" w:hAnsi="Times New Roman" w:cs="Times New Roman"/>
      <w:sz w:val="20"/>
      <w:szCs w:val="20"/>
    </w:rPr>
  </w:style>
  <w:style w:type="character" w:styleId="FootnoteReference">
    <w:name w:val="footnote reference"/>
    <w:basedOn w:val="DefaultParagraphFont"/>
    <w:semiHidden/>
    <w:rsid w:val="00FD5305"/>
    <w:rPr>
      <w:vertAlign w:val="superscript"/>
    </w:rPr>
  </w:style>
  <w:style w:type="paragraph" w:styleId="BodyText">
    <w:name w:val="Body Text"/>
    <w:basedOn w:val="Normal"/>
    <w:link w:val="BodyTextChar"/>
    <w:semiHidden/>
    <w:rsid w:val="00FD5305"/>
    <w:pPr>
      <w:jc w:val="both"/>
    </w:pPr>
    <w:rPr>
      <w:sz w:val="24"/>
    </w:rPr>
  </w:style>
  <w:style w:type="character" w:customStyle="1" w:styleId="BodyTextChar">
    <w:name w:val="Body Text Char"/>
    <w:basedOn w:val="DefaultParagraphFont"/>
    <w:link w:val="BodyText"/>
    <w:semiHidden/>
    <w:rsid w:val="00FD5305"/>
    <w:rPr>
      <w:rFonts w:ascii="Times New Roman" w:eastAsia="Times New Roman" w:hAnsi="Times New Roman" w:cs="Times New Roman"/>
      <w:szCs w:val="20"/>
    </w:rPr>
  </w:style>
  <w:style w:type="paragraph" w:styleId="BodyText2">
    <w:name w:val="Body Text 2"/>
    <w:basedOn w:val="Normal"/>
    <w:link w:val="BodyText2Char"/>
    <w:semiHidden/>
    <w:rsid w:val="00FD5305"/>
    <w:pPr>
      <w:jc w:val="both"/>
    </w:pPr>
    <w:rPr>
      <w:i/>
      <w:sz w:val="24"/>
    </w:rPr>
  </w:style>
  <w:style w:type="character" w:customStyle="1" w:styleId="BodyText2Char">
    <w:name w:val="Body Text 2 Char"/>
    <w:basedOn w:val="DefaultParagraphFont"/>
    <w:link w:val="BodyText2"/>
    <w:semiHidden/>
    <w:rsid w:val="00FD5305"/>
    <w:rPr>
      <w:rFonts w:ascii="Times New Roman" w:eastAsia="Times New Roman" w:hAnsi="Times New Roman" w:cs="Times New Roman"/>
      <w:i/>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305"/>
    <w:rPr>
      <w:rFonts w:ascii="Times New Roman" w:eastAsia="Times New Roman" w:hAnsi="Times New Roman" w:cs="Times New Roman"/>
      <w:sz w:val="20"/>
      <w:szCs w:val="20"/>
    </w:rPr>
  </w:style>
  <w:style w:type="paragraph" w:styleId="Heading1">
    <w:name w:val="heading 1"/>
    <w:basedOn w:val="Normal"/>
    <w:next w:val="Normal"/>
    <w:link w:val="Heading1Char"/>
    <w:qFormat/>
    <w:rsid w:val="00FD5305"/>
    <w:pPr>
      <w:keepNext/>
      <w:jc w:val="right"/>
      <w:outlineLvl w:val="0"/>
    </w:pPr>
    <w:rPr>
      <w:sz w:val="32"/>
    </w:rPr>
  </w:style>
  <w:style w:type="paragraph" w:styleId="Heading2">
    <w:name w:val="heading 2"/>
    <w:basedOn w:val="Normal"/>
    <w:next w:val="Normal"/>
    <w:link w:val="Heading2Char"/>
    <w:qFormat/>
    <w:rsid w:val="00FD5305"/>
    <w:pPr>
      <w:keepNext/>
      <w:jc w:val="both"/>
      <w:outlineLvl w:val="1"/>
    </w:pPr>
    <w:rPr>
      <w:sz w:val="24"/>
    </w:rPr>
  </w:style>
  <w:style w:type="paragraph" w:styleId="Heading3">
    <w:name w:val="heading 3"/>
    <w:basedOn w:val="Normal"/>
    <w:next w:val="Normal"/>
    <w:link w:val="Heading3Char"/>
    <w:qFormat/>
    <w:rsid w:val="00FD5305"/>
    <w:pPr>
      <w:keepNext/>
      <w:spacing w:line="480" w:lineRule="auto"/>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305"/>
    <w:rPr>
      <w:rFonts w:ascii="Times New Roman" w:eastAsia="Times New Roman" w:hAnsi="Times New Roman" w:cs="Times New Roman"/>
      <w:sz w:val="32"/>
      <w:szCs w:val="20"/>
    </w:rPr>
  </w:style>
  <w:style w:type="character" w:customStyle="1" w:styleId="Heading2Char">
    <w:name w:val="Heading 2 Char"/>
    <w:basedOn w:val="DefaultParagraphFont"/>
    <w:link w:val="Heading2"/>
    <w:rsid w:val="00FD5305"/>
    <w:rPr>
      <w:rFonts w:ascii="Times New Roman" w:eastAsia="Times New Roman" w:hAnsi="Times New Roman" w:cs="Times New Roman"/>
      <w:szCs w:val="20"/>
    </w:rPr>
  </w:style>
  <w:style w:type="character" w:customStyle="1" w:styleId="Heading3Char">
    <w:name w:val="Heading 3 Char"/>
    <w:basedOn w:val="DefaultParagraphFont"/>
    <w:link w:val="Heading3"/>
    <w:rsid w:val="00FD5305"/>
    <w:rPr>
      <w:rFonts w:ascii="Times New Roman" w:eastAsia="Times New Roman" w:hAnsi="Times New Roman" w:cs="Times New Roman"/>
      <w:b/>
      <w:szCs w:val="20"/>
    </w:rPr>
  </w:style>
  <w:style w:type="paragraph" w:styleId="FootnoteText">
    <w:name w:val="footnote text"/>
    <w:basedOn w:val="Normal"/>
    <w:link w:val="FootnoteTextChar"/>
    <w:semiHidden/>
    <w:rsid w:val="00FD5305"/>
  </w:style>
  <w:style w:type="character" w:customStyle="1" w:styleId="FootnoteTextChar">
    <w:name w:val="Footnote Text Char"/>
    <w:basedOn w:val="DefaultParagraphFont"/>
    <w:link w:val="FootnoteText"/>
    <w:semiHidden/>
    <w:rsid w:val="00FD5305"/>
    <w:rPr>
      <w:rFonts w:ascii="Times New Roman" w:eastAsia="Times New Roman" w:hAnsi="Times New Roman" w:cs="Times New Roman"/>
      <w:sz w:val="20"/>
      <w:szCs w:val="20"/>
    </w:rPr>
  </w:style>
  <w:style w:type="character" w:styleId="FootnoteReference">
    <w:name w:val="footnote reference"/>
    <w:basedOn w:val="DefaultParagraphFont"/>
    <w:semiHidden/>
    <w:rsid w:val="00FD5305"/>
    <w:rPr>
      <w:vertAlign w:val="superscript"/>
    </w:rPr>
  </w:style>
  <w:style w:type="paragraph" w:styleId="BodyText">
    <w:name w:val="Body Text"/>
    <w:basedOn w:val="Normal"/>
    <w:link w:val="BodyTextChar"/>
    <w:semiHidden/>
    <w:rsid w:val="00FD5305"/>
    <w:pPr>
      <w:jc w:val="both"/>
    </w:pPr>
    <w:rPr>
      <w:sz w:val="24"/>
    </w:rPr>
  </w:style>
  <w:style w:type="character" w:customStyle="1" w:styleId="BodyTextChar">
    <w:name w:val="Body Text Char"/>
    <w:basedOn w:val="DefaultParagraphFont"/>
    <w:link w:val="BodyText"/>
    <w:semiHidden/>
    <w:rsid w:val="00FD5305"/>
    <w:rPr>
      <w:rFonts w:ascii="Times New Roman" w:eastAsia="Times New Roman" w:hAnsi="Times New Roman" w:cs="Times New Roman"/>
      <w:szCs w:val="20"/>
    </w:rPr>
  </w:style>
  <w:style w:type="paragraph" w:styleId="BodyText2">
    <w:name w:val="Body Text 2"/>
    <w:basedOn w:val="Normal"/>
    <w:link w:val="BodyText2Char"/>
    <w:semiHidden/>
    <w:rsid w:val="00FD5305"/>
    <w:pPr>
      <w:jc w:val="both"/>
    </w:pPr>
    <w:rPr>
      <w:i/>
      <w:sz w:val="24"/>
    </w:rPr>
  </w:style>
  <w:style w:type="character" w:customStyle="1" w:styleId="BodyText2Char">
    <w:name w:val="Body Text 2 Char"/>
    <w:basedOn w:val="DefaultParagraphFont"/>
    <w:link w:val="BodyText2"/>
    <w:semiHidden/>
    <w:rsid w:val="00FD5305"/>
    <w:rPr>
      <w:rFonts w:ascii="Times New Roman" w:eastAsia="Times New Roman" w:hAnsi="Times New Roman" w:cs="Times New Roman"/>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907</Words>
  <Characters>6414</Characters>
  <Application>Microsoft Macintosh Word</Application>
  <DocSecurity>0</DocSecurity>
  <Lines>133</Lines>
  <Paragraphs>91</Paragraphs>
  <ScaleCrop>false</ScaleCrop>
  <Company>Middlesex University</Company>
  <LinksUpToDate>false</LinksUpToDate>
  <CharactersWithSpaces>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2015-11-22T05:32:00Z</dcterms:created>
  <dcterms:modified xsi:type="dcterms:W3CDTF">2015-11-22T13:03:00Z</dcterms:modified>
</cp:coreProperties>
</file>