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9752" w14:textId="139B4E38" w:rsidR="007C0BD2" w:rsidRDefault="00F05117" w:rsidP="00E13C6F">
      <w:pPr>
        <w:pStyle w:val="Heading1"/>
      </w:pPr>
      <w:r>
        <w:t xml:space="preserve">Chapter 4 </w:t>
      </w:r>
      <w:r w:rsidR="00635FA0" w:rsidRPr="007D6EDC">
        <w:t xml:space="preserve">Efficacy of Affirmative Action Measures in the United Kingdom and South Africa </w:t>
      </w:r>
    </w:p>
    <w:p w14:paraId="37F93ADF" w14:textId="77777777" w:rsidR="007C0BD2" w:rsidRDefault="007C0BD2" w:rsidP="00E13C6F">
      <w:pPr>
        <w:pStyle w:val="Heading1"/>
      </w:pPr>
    </w:p>
    <w:p w14:paraId="608F90B2" w14:textId="77777777" w:rsidR="007C0BD2" w:rsidRDefault="00F466E3" w:rsidP="00DB373B">
      <w:pPr>
        <w:pStyle w:val="Heading1"/>
      </w:pPr>
      <w:bookmarkStart w:id="0" w:name="_GoBack"/>
      <w:r>
        <w:t>Erica Howard</w:t>
      </w:r>
    </w:p>
    <w:bookmarkEnd w:id="0"/>
    <w:p w14:paraId="6F545D84" w14:textId="77777777" w:rsidR="007C0BD2" w:rsidRDefault="007C0BD2" w:rsidP="00F466E3"/>
    <w:p w14:paraId="249F8B8B" w14:textId="77777777" w:rsidR="007C0BD2" w:rsidRDefault="00F06D1E" w:rsidP="007D3A5E">
      <w:pPr>
        <w:pStyle w:val="Heading2"/>
      </w:pPr>
      <w:r w:rsidRPr="00F06D1E">
        <w:t>Introduction</w:t>
      </w:r>
    </w:p>
    <w:p w14:paraId="12948F5C" w14:textId="77777777" w:rsidR="007C0BD2" w:rsidRDefault="007C0BD2" w:rsidP="007D3A5E">
      <w:pPr>
        <w:pStyle w:val="Heading2"/>
      </w:pPr>
    </w:p>
    <w:p w14:paraId="1D8300CB" w14:textId="77777777" w:rsidR="007C0BD2" w:rsidRDefault="00CF008F" w:rsidP="00260A18">
      <w:r>
        <w:t>This book shows that there is</w:t>
      </w:r>
      <w:r w:rsidR="00836D76">
        <w:t xml:space="preserve"> a grow</w:t>
      </w:r>
      <w:r w:rsidR="0039380E">
        <w:t>ing international agreement on the principle of equality of opportunity for all, a principle which</w:t>
      </w:r>
      <w:r>
        <w:t>, as Kennedy-</w:t>
      </w:r>
      <w:proofErr w:type="spellStart"/>
      <w:r>
        <w:t>Dubourdieu</w:t>
      </w:r>
      <w:proofErr w:type="spellEnd"/>
      <w:r>
        <w:t xml:space="preserve"> writes,</w:t>
      </w:r>
      <w:r w:rsidR="0039380E">
        <w:t xml:space="preserve"> under</w:t>
      </w:r>
      <w:r>
        <w:t>pins a stable and just society</w:t>
      </w:r>
      <w:r w:rsidR="0039380E">
        <w:t>.</w:t>
      </w:r>
      <w:bookmarkStart w:id="1" w:name="_Ref30066714"/>
      <w:r w:rsidR="0039380E">
        <w:rPr>
          <w:rStyle w:val="FootnoteReference"/>
        </w:rPr>
        <w:footnoteReference w:id="1"/>
      </w:r>
      <w:bookmarkEnd w:id="1"/>
      <w:r w:rsidR="0039380E">
        <w:t xml:space="preserve"> She continues that this raises the question how best to achieve equality and that ‘one of the great innovations in social policy in</w:t>
      </w:r>
      <w:r>
        <w:t xml:space="preserve"> recent times has been that of “affirmative action”</w:t>
      </w:r>
      <w:r w:rsidR="0039380E">
        <w:t>, set up in various parts of the world</w:t>
      </w:r>
      <w:r>
        <w:t>’</w:t>
      </w:r>
      <w:r w:rsidR="0039380E">
        <w:t>.</w:t>
      </w:r>
      <w:r>
        <w:rPr>
          <w:rStyle w:val="FootnoteReference"/>
        </w:rPr>
        <w:footnoteReference w:id="2"/>
      </w:r>
      <w:r w:rsidR="0039380E">
        <w:t xml:space="preserve"> Such affirmative action measures in the United Kingdom (UK), the EU and South Africa</w:t>
      </w:r>
      <w:r w:rsidR="00141A6C">
        <w:t xml:space="preserve"> are the focus of this chapter. </w:t>
      </w:r>
      <w:r w:rsidR="00836D76">
        <w:t>It</w:t>
      </w:r>
      <w:r w:rsidR="00635FA0">
        <w:t xml:space="preserve"> begins with a short overview of the origins and evolution of affirmative action in the UK</w:t>
      </w:r>
      <w:r w:rsidR="00260A18">
        <w:t>, Northern I</w:t>
      </w:r>
      <w:r w:rsidR="00880077">
        <w:t>reland, the European Union (EU)</w:t>
      </w:r>
      <w:r w:rsidR="00635FA0">
        <w:t xml:space="preserve"> and South Africa</w:t>
      </w:r>
      <w:r w:rsidR="00836D76">
        <w:t xml:space="preserve"> as </w:t>
      </w:r>
      <w:r w:rsidR="006A0B54">
        <w:t xml:space="preserve">explored </w:t>
      </w:r>
      <w:r w:rsidR="00836D76">
        <w:t xml:space="preserve">in a previous </w:t>
      </w:r>
      <w:r w:rsidR="006A0B54">
        <w:t>publication</w:t>
      </w:r>
      <w:r w:rsidR="00836D76">
        <w:t>.</w:t>
      </w:r>
      <w:bookmarkStart w:id="2" w:name="_Ref34820590"/>
      <w:r w:rsidR="00836D76">
        <w:rPr>
          <w:rStyle w:val="FootnoteReference"/>
        </w:rPr>
        <w:footnoteReference w:id="3"/>
      </w:r>
      <w:bookmarkEnd w:id="2"/>
      <w:r w:rsidR="00836D76">
        <w:t xml:space="preserve"> This paper builds on that </w:t>
      </w:r>
      <w:r w:rsidR="006A0B54">
        <w:t>research</w:t>
      </w:r>
      <w:r w:rsidR="00836D76">
        <w:t xml:space="preserve"> in which it was </w:t>
      </w:r>
      <w:r w:rsidR="00260A18">
        <w:t>explained that affirmative action is, in the UK and the EU, generally referred to as positive action. It explained these measures in Great Britain (England, Scotland and Wales) and Northern Ireland (where the term ‘affirmative action</w:t>
      </w:r>
      <w:r w:rsidR="00880077">
        <w:t>’</w:t>
      </w:r>
      <w:r w:rsidR="00260A18">
        <w:t xml:space="preserve"> is used), which has different provision</w:t>
      </w:r>
      <w:r w:rsidR="00460D53">
        <w:t>s</w:t>
      </w:r>
      <w:r w:rsidR="00260A18">
        <w:t xml:space="preserve"> due to its history. The terms ‘affirmative </w:t>
      </w:r>
      <w:r w:rsidR="00F961D5">
        <w:t>a</w:t>
      </w:r>
      <w:r w:rsidR="00260A18">
        <w:t xml:space="preserve">ction’ and ‘positive action’ </w:t>
      </w:r>
      <w:r w:rsidR="00F961D5">
        <w:t>w</w:t>
      </w:r>
      <w:r w:rsidR="00260A18">
        <w:t xml:space="preserve">ill be used as interchangeable and will be understood as referring to a </w:t>
      </w:r>
      <w:r w:rsidR="00260A18">
        <w:lastRenderedPageBreak/>
        <w:t>concept that ‘involves the use of special measures to assist members of disadvantaged groups in overcoming the obstacles and discrimination they face in contemporary society’.</w:t>
      </w:r>
      <w:bookmarkStart w:id="3" w:name="_Ref523755530"/>
      <w:r w:rsidR="00260A18">
        <w:rPr>
          <w:rStyle w:val="FootnoteReference"/>
        </w:rPr>
        <w:footnoteReference w:id="4"/>
      </w:r>
      <w:bookmarkEnd w:id="3"/>
    </w:p>
    <w:p w14:paraId="684C8061" w14:textId="77777777" w:rsidR="007C0BD2" w:rsidRDefault="007C0BD2" w:rsidP="00260A18"/>
    <w:p w14:paraId="04646FB1" w14:textId="77777777" w:rsidR="007C0BD2" w:rsidRDefault="00DD66EE" w:rsidP="003F6F8E">
      <w:r>
        <w:t>The</w:t>
      </w:r>
      <w:r w:rsidR="00880077" w:rsidRPr="00383AFB">
        <w:t xml:space="preserve"> overview of the legislation is followed by </w:t>
      </w:r>
      <w:r w:rsidR="00383AFB">
        <w:t xml:space="preserve">an assessment of the </w:t>
      </w:r>
      <w:r>
        <w:t>implementation and efficacy of the affirmative action measures</w:t>
      </w:r>
      <w:r w:rsidR="002C52F0">
        <w:t xml:space="preserve">. Then, the obstacles to their </w:t>
      </w:r>
      <w:r>
        <w:t xml:space="preserve">implementation and </w:t>
      </w:r>
      <w:r w:rsidR="002C52F0">
        <w:t xml:space="preserve">their </w:t>
      </w:r>
      <w:r>
        <w:t>contestation</w:t>
      </w:r>
      <w:r w:rsidR="002C52F0">
        <w:t xml:space="preserve"> are examined. The next part</w:t>
      </w:r>
      <w:r>
        <w:t xml:space="preserve"> focuses</w:t>
      </w:r>
      <w:r w:rsidR="002C52F0">
        <w:t xml:space="preserve"> on a specific form of</w:t>
      </w:r>
      <w:r>
        <w:t xml:space="preserve"> </w:t>
      </w:r>
      <w:r w:rsidR="002C52F0">
        <w:t xml:space="preserve">affirmative action for disabled people: </w:t>
      </w:r>
      <w:r>
        <w:t xml:space="preserve">duties of reasonable accommodation. The conclusion </w:t>
      </w:r>
      <w:r w:rsidR="002C52F0">
        <w:t>includes the suggestion of another measure, mainstreaming equality,</w:t>
      </w:r>
      <w:r>
        <w:t xml:space="preserve"> which can complement affirmative action measures in working towa</w:t>
      </w:r>
      <w:r w:rsidR="002C52F0">
        <w:t>rds more equality in practice. Mainstreaming is further analysed in a case study in Part III of this book.</w:t>
      </w:r>
    </w:p>
    <w:p w14:paraId="59E5FFC6" w14:textId="77777777" w:rsidR="007C0BD2" w:rsidRDefault="007C0BD2" w:rsidP="003F6F8E"/>
    <w:p w14:paraId="57AF1515" w14:textId="77777777" w:rsidR="007C0BD2" w:rsidRDefault="00635FA0" w:rsidP="00635FA0">
      <w:pPr>
        <w:pStyle w:val="Heading2"/>
      </w:pPr>
      <w:r w:rsidRPr="00635FA0">
        <w:t xml:space="preserve">Overview </w:t>
      </w:r>
      <w:r w:rsidR="000C0A39">
        <w:t>of the origin and evolution of affirmative a</w:t>
      </w:r>
      <w:r w:rsidRPr="00635FA0">
        <w:t>ction</w:t>
      </w:r>
      <w:r w:rsidR="000C0A39">
        <w:t xml:space="preserve"> measure</w:t>
      </w:r>
      <w:r w:rsidRPr="00635FA0">
        <w:t>s in the UK and South Africa</w:t>
      </w:r>
    </w:p>
    <w:p w14:paraId="67923667" w14:textId="77777777" w:rsidR="007C0BD2" w:rsidRDefault="007C0BD2" w:rsidP="00635FA0">
      <w:pPr>
        <w:pStyle w:val="Heading2"/>
      </w:pPr>
    </w:p>
    <w:p w14:paraId="07DD168D" w14:textId="15C6E262" w:rsidR="007C0BD2" w:rsidRDefault="00BA5327" w:rsidP="007C0BD2">
      <w:pPr>
        <w:pStyle w:val="Heading3"/>
      </w:pPr>
      <w:r>
        <w:t>England, Scotland and Wales</w:t>
      </w:r>
    </w:p>
    <w:p w14:paraId="09E79775" w14:textId="77777777" w:rsidR="007C0BD2" w:rsidRPr="007C0BD2" w:rsidRDefault="007C0BD2" w:rsidP="007C0BD2">
      <w:pPr>
        <w:pStyle w:val="BodyText"/>
      </w:pPr>
    </w:p>
    <w:p w14:paraId="4241342E" w14:textId="1F3A2C6C" w:rsidR="007C0BD2" w:rsidRDefault="00635FA0" w:rsidP="00F961D5">
      <w:r>
        <w:t>In England, Scotland and Wales</w:t>
      </w:r>
      <w:r w:rsidR="00B965B4">
        <w:t>, sections 158 and 159 of the Equality Act 2010</w:t>
      </w:r>
      <w:r w:rsidR="00E512AF">
        <w:t xml:space="preserve"> (EA 2010)</w:t>
      </w:r>
      <w:r w:rsidR="0050478E">
        <w:rPr>
          <w:rStyle w:val="FootnoteReference"/>
        </w:rPr>
        <w:footnoteReference w:id="5"/>
      </w:r>
      <w:r w:rsidR="007A4AED">
        <w:t xml:space="preserve"> on positive action</w:t>
      </w:r>
      <w:r w:rsidR="00B965B4">
        <w:t xml:space="preserve"> apply. Section 158 concerns general provisions and is not applicable to recruitment and promotion. This section allows generally for the taking of affirmative action measures to alleviate disadvantage suffered by people who share one of the protected </w:t>
      </w:r>
      <w:r w:rsidR="00B965B4">
        <w:lastRenderedPageBreak/>
        <w:t>characteristics, or to reduce their underrepresentation or to meet their particular needs. Any measures taken under this section are su</w:t>
      </w:r>
      <w:r w:rsidR="00DB6D4B">
        <w:t>bject to a proportionality test which means that</w:t>
      </w:r>
      <w:r w:rsidR="00B965B4">
        <w:t xml:space="preserve"> the measure must be a proportionate way to achieve one of the legitimate aims mentioned</w:t>
      </w:r>
      <w:r w:rsidR="00DB6D4B">
        <w:t xml:space="preserve"> in the section</w:t>
      </w:r>
      <w:r w:rsidR="00B965B4">
        <w:t xml:space="preserve">. When assessing proportionality, </w:t>
      </w:r>
      <w:r w:rsidR="00B965B4" w:rsidRPr="002441A4">
        <w:t>the seriousness of the relevant disadvantage,</w:t>
      </w:r>
      <w:r w:rsidR="00B965B4">
        <w:t xml:space="preserve"> the extremity of need or under</w:t>
      </w:r>
      <w:r w:rsidR="00B965B4" w:rsidRPr="002441A4">
        <w:t xml:space="preserve">representation and the availability of </w:t>
      </w:r>
      <w:r w:rsidR="00B965B4">
        <w:t>other means of countering them</w:t>
      </w:r>
      <w:r w:rsidR="005F44A9">
        <w:t xml:space="preserve"> are taken into account</w:t>
      </w:r>
      <w:r w:rsidR="00B965B4">
        <w:t xml:space="preserve">. </w:t>
      </w:r>
      <w:r w:rsidR="005F44A9">
        <w:t xml:space="preserve">This means, first, that these measures are time-limited and should finish when the aim is achieved as they will then no longer be proportionate. Second, the </w:t>
      </w:r>
      <w:r w:rsidR="00B965B4">
        <w:t xml:space="preserve">measure will generally not be considered proportionate if there are other, less discriminatory </w:t>
      </w:r>
      <w:r w:rsidR="005F44A9">
        <w:t>ways of achieving the</w:t>
      </w:r>
      <w:r w:rsidR="00B965B4">
        <w:t xml:space="preserve"> aim. </w:t>
      </w:r>
    </w:p>
    <w:p w14:paraId="6F3E07B3" w14:textId="77777777" w:rsidR="007C0BD2" w:rsidRDefault="007C0BD2" w:rsidP="00F961D5"/>
    <w:p w14:paraId="75576552" w14:textId="77777777" w:rsidR="007C0BD2" w:rsidRDefault="004E7E60" w:rsidP="00BA5327">
      <w:r>
        <w:t>Section 159 EA 2010 allows for</w:t>
      </w:r>
      <w:r w:rsidR="00B965B4">
        <w:t xml:space="preserve"> positive action</w:t>
      </w:r>
      <w:r>
        <w:t xml:space="preserve"> measures</w:t>
      </w:r>
      <w:r w:rsidR="00B965B4">
        <w:t xml:space="preserve"> in recruitment and promotion</w:t>
      </w:r>
      <w:r w:rsidR="00000295">
        <w:t>. So an employer can take a protected characteristic into account</w:t>
      </w:r>
      <w:r w:rsidR="00B965B4">
        <w:t xml:space="preserve"> </w:t>
      </w:r>
      <w:r>
        <w:t xml:space="preserve">when </w:t>
      </w:r>
      <w:r w:rsidR="00000295">
        <w:t>deciding who to recruit or who to promote</w:t>
      </w:r>
      <w:r w:rsidR="00000295" w:rsidRPr="008E4075">
        <w:t xml:space="preserve"> where people having the protected characteristic are</w:t>
      </w:r>
      <w:r w:rsidR="00000295">
        <w:t xml:space="preserve"> at a disadvantage or are under</w:t>
      </w:r>
      <w:r w:rsidR="00000295" w:rsidRPr="008E4075">
        <w:t>represented</w:t>
      </w:r>
      <w:r w:rsidR="00000295">
        <w:t>. However, t</w:t>
      </w:r>
      <w:r w:rsidR="00B965B4">
        <w:t xml:space="preserve">he employer </w:t>
      </w:r>
      <w:r w:rsidR="00000295">
        <w:t>can only do so</w:t>
      </w:r>
      <w:r w:rsidR="00B965B4">
        <w:t xml:space="preserve"> where the candidates</w:t>
      </w:r>
      <w:r w:rsidR="00000295">
        <w:t xml:space="preserve"> for recruitment or promotion</w:t>
      </w:r>
      <w:r w:rsidR="00B965B4">
        <w:t xml:space="preserve"> are as qualified as each other</w:t>
      </w:r>
      <w:r w:rsidR="00AC4F86">
        <w:t xml:space="preserve"> – in other words, this can only be done in a so-called </w:t>
      </w:r>
      <w:r w:rsidR="008741D0">
        <w:t>‘</w:t>
      </w:r>
      <w:r w:rsidR="00AC4F86">
        <w:t>tie break</w:t>
      </w:r>
      <w:r w:rsidR="008741D0">
        <w:t>’</w:t>
      </w:r>
      <w:r w:rsidR="00AC4F86">
        <w:t xml:space="preserve"> situation – and the employer cannot</w:t>
      </w:r>
      <w:r w:rsidR="00B965B4">
        <w:t xml:space="preserve"> </w:t>
      </w:r>
      <w:r w:rsidR="00BA5327">
        <w:t>have</w:t>
      </w:r>
      <w:r w:rsidR="00AC4F86">
        <w:t xml:space="preserve"> a policy which automatically treats all persons who share a particular protected characteristic more favourably than others, as the merits and qualifications of each candidate </w:t>
      </w:r>
      <w:r w:rsidR="00DB6D4B">
        <w:t xml:space="preserve">have to </w:t>
      </w:r>
      <w:r w:rsidR="00AC4F86">
        <w:t xml:space="preserve">be </w:t>
      </w:r>
      <w:r w:rsidR="00433E4E">
        <w:t>consider</w:t>
      </w:r>
      <w:r w:rsidR="006C3BCA">
        <w:t>ed</w:t>
      </w:r>
      <w:r w:rsidR="00AC4F86">
        <w:t>. Moreover, the action</w:t>
      </w:r>
      <w:r w:rsidR="00433E4E">
        <w:t>s</w:t>
      </w:r>
      <w:r w:rsidR="00AC4F86">
        <w:t xml:space="preserve"> </w:t>
      </w:r>
      <w:r w:rsidR="00433E4E">
        <w:t xml:space="preserve">adopted </w:t>
      </w:r>
      <w:r w:rsidR="00DB6D4B">
        <w:t xml:space="preserve">under this section </w:t>
      </w:r>
      <w:r w:rsidR="00433E4E">
        <w:t xml:space="preserve">are </w:t>
      </w:r>
      <w:r w:rsidR="00AC4F86">
        <w:t>subject</w:t>
      </w:r>
      <w:r w:rsidR="00433E4E">
        <w:t>ed</w:t>
      </w:r>
      <w:r w:rsidR="00AC4F86">
        <w:t xml:space="preserve"> to </w:t>
      </w:r>
      <w:r w:rsidR="00DB6D4B">
        <w:t xml:space="preserve">the same proportionality test applied to section 158. </w:t>
      </w:r>
    </w:p>
    <w:p w14:paraId="39BA48A7" w14:textId="77777777" w:rsidR="007C0BD2" w:rsidRDefault="007C0BD2" w:rsidP="00BA5327"/>
    <w:p w14:paraId="5A5C5CCA" w14:textId="77777777" w:rsidR="007C0BD2" w:rsidRDefault="00D97A80" w:rsidP="009E5D35">
      <w:r>
        <w:t>S</w:t>
      </w:r>
      <w:r w:rsidR="005B153A">
        <w:t xml:space="preserve">ections 158 and 159 EA 2010 </w:t>
      </w:r>
      <w:r w:rsidR="00702647">
        <w:t>conform to</w:t>
      </w:r>
      <w:r w:rsidR="005B153A">
        <w:t xml:space="preserve"> </w:t>
      </w:r>
      <w:r>
        <w:t xml:space="preserve">European Union (EU) law, where the same </w:t>
      </w:r>
      <w:r w:rsidR="00DB6D4B">
        <w:t>rules were</w:t>
      </w:r>
      <w:r>
        <w:t xml:space="preserve"> established through the case law on positive action in relation to sex discrimination.</w:t>
      </w:r>
      <w:r w:rsidRPr="00BA5327">
        <w:t xml:space="preserve"> </w:t>
      </w:r>
      <w:r w:rsidR="00FE5586">
        <w:t>EU law allows for positive action measure</w:t>
      </w:r>
      <w:r w:rsidR="00433E4E">
        <w:t>s</w:t>
      </w:r>
      <w:r w:rsidR="00FE5586">
        <w:t xml:space="preserve"> in article 157(4) TFEU (Treaty on the Functioning of </w:t>
      </w:r>
      <w:r w:rsidR="00DB6D4B">
        <w:t>the European Union) and in the A</w:t>
      </w:r>
      <w:r w:rsidR="00FE5586">
        <w:t>nti-Discrimination Directives.</w:t>
      </w:r>
      <w:r w:rsidR="00FE5586">
        <w:rPr>
          <w:rStyle w:val="FootnoteReference"/>
        </w:rPr>
        <w:footnoteReference w:id="6"/>
      </w:r>
      <w:r w:rsidR="00FE5586">
        <w:t xml:space="preserve"> </w:t>
      </w:r>
      <w:r w:rsidR="009E5D35">
        <w:t xml:space="preserve">For gender discrimination, this is also laid down in article 23 of the EU Charter of Fundamental Rights, which determines that ‘the principle of equality shall not prevent the maintenance or adoption of measures providing for specific advantages in favour of the under-represented sex’. </w:t>
      </w:r>
      <w:r w:rsidR="00E0766E">
        <w:t>Both the TFEU and the</w:t>
      </w:r>
      <w:r w:rsidR="00DB6D4B">
        <w:t xml:space="preserve"> Directives mention that positive action measure</w:t>
      </w:r>
      <w:r w:rsidR="007D44AC">
        <w:t>s</w:t>
      </w:r>
      <w:r w:rsidR="00DB6D4B">
        <w:t xml:space="preserve"> </w:t>
      </w:r>
      <w:r w:rsidR="006C3BCA">
        <w:t>are allowed</w:t>
      </w:r>
      <w:r w:rsidR="00DB6D4B">
        <w:t xml:space="preserve"> ‘to ensure full equality in practice’. </w:t>
      </w:r>
      <w:r>
        <w:t>The</w:t>
      </w:r>
      <w:r w:rsidRPr="00EC01F0">
        <w:t xml:space="preserve"> C</w:t>
      </w:r>
      <w:r>
        <w:t xml:space="preserve">ourt of Justice of the </w:t>
      </w:r>
      <w:r w:rsidRPr="00EC01F0">
        <w:t>E</w:t>
      </w:r>
      <w:r>
        <w:t>uropean Union (CJEU) has held that the provisions exclude</w:t>
      </w:r>
      <w:r w:rsidRPr="00EC01F0">
        <w:t xml:space="preserve"> programmes which involve automatic preferential treatment at the point of selec</w:t>
      </w:r>
      <w:r>
        <w:t>tion in employment.</w:t>
      </w:r>
      <w:bookmarkStart w:id="4" w:name="_Ref522700808"/>
      <w:r>
        <w:rPr>
          <w:rStyle w:val="FootnoteReference"/>
        </w:rPr>
        <w:footnoteReference w:id="7"/>
      </w:r>
      <w:bookmarkEnd w:id="4"/>
      <w:r>
        <w:t xml:space="preserve"> The CJEU </w:t>
      </w:r>
      <w:r w:rsidRPr="00EC01F0">
        <w:t>allow</w:t>
      </w:r>
      <w:r>
        <w:t>s</w:t>
      </w:r>
      <w:r w:rsidRPr="00EC01F0">
        <w:t xml:space="preserve"> positive</w:t>
      </w:r>
      <w:r>
        <w:t xml:space="preserve"> (affirmative)</w:t>
      </w:r>
      <w:r w:rsidRPr="00EC01F0">
        <w:t xml:space="preserve"> action</w:t>
      </w:r>
      <w:r>
        <w:t xml:space="preserve"> in employment</w:t>
      </w:r>
      <w:r w:rsidRPr="00EC01F0">
        <w:t xml:space="preserve"> where two candidates are equally qualified</w:t>
      </w:r>
      <w:r>
        <w:t>.</w:t>
      </w:r>
      <w:r>
        <w:rPr>
          <w:rStyle w:val="FootnoteReference"/>
        </w:rPr>
        <w:footnoteReference w:id="8"/>
      </w:r>
      <w:r w:rsidR="00E0766E">
        <w:t xml:space="preserve"> </w:t>
      </w:r>
      <w:r w:rsidRPr="004B3F12">
        <w:t>The CJEU has also held that positive measures in relation to gender discrimination must be interpreted strictly because they are a derogation of the principle of equal treatment.</w:t>
      </w:r>
      <w:r w:rsidRPr="004B3F12">
        <w:rPr>
          <w:rStyle w:val="FootnoteReference"/>
        </w:rPr>
        <w:footnoteReference w:id="9"/>
      </w:r>
      <w:r>
        <w:t xml:space="preserve"> Moreover, the CJE</w:t>
      </w:r>
      <w:r w:rsidR="005B153A">
        <w:t>U has</w:t>
      </w:r>
      <w:r>
        <w:t xml:space="preserve"> determined that a proportionality test applies to positive action measures.</w:t>
      </w:r>
      <w:r w:rsidRPr="00D97A80">
        <w:rPr>
          <w:rStyle w:val="FootnoteReference"/>
          <w:iCs/>
        </w:rPr>
        <w:t xml:space="preserve"> </w:t>
      </w:r>
      <w:r w:rsidRPr="00742F4D">
        <w:rPr>
          <w:rStyle w:val="FootnoteReference"/>
          <w:iCs/>
        </w:rPr>
        <w:footnoteReference w:id="10"/>
      </w:r>
      <w:r>
        <w:t xml:space="preserve"> Therefore, such measures should not last beyond the time when “full equality in practice” has been achieved.</w:t>
      </w:r>
    </w:p>
    <w:p w14:paraId="3A81F46D" w14:textId="77777777" w:rsidR="007C0BD2" w:rsidRDefault="007C0BD2" w:rsidP="009E5D35"/>
    <w:p w14:paraId="3E756699" w14:textId="77777777" w:rsidR="007C0BD2" w:rsidRDefault="00D97A80" w:rsidP="00D97A80">
      <w:r>
        <w:t xml:space="preserve">Section 104 EA 2010 </w:t>
      </w:r>
      <w:r w:rsidR="007D44AC">
        <w:t>=</w:t>
      </w:r>
      <w:r>
        <w:t xml:space="preserve"> allows political parties</w:t>
      </w:r>
      <w:r w:rsidR="00FE5586">
        <w:t>, in order to address the underrepresentation of women ,</w:t>
      </w:r>
      <w:r>
        <w:t xml:space="preserve"> to use all women shortlists</w:t>
      </w:r>
      <w:r w:rsidR="00FE5586">
        <w:t xml:space="preserve"> in local and national elections</w:t>
      </w:r>
      <w:r w:rsidR="00E0766E">
        <w:t xml:space="preserve"> </w:t>
      </w:r>
      <w:r w:rsidR="00FE5586">
        <w:t>– in other words, they can have a list with only women, thus guaranteeing that a woman is elected</w:t>
      </w:r>
      <w:r>
        <w:t>. This can be done until 2030.</w:t>
      </w:r>
      <w:r w:rsidR="005B153A">
        <w:t xml:space="preserve"> However, political parties cannot use shortlists with, for example, only ethnic minority candidates, despite the fact that </w:t>
      </w:r>
      <w:r w:rsidR="00B81E4E">
        <w:t xml:space="preserve">this group is </w:t>
      </w:r>
      <w:r w:rsidR="005B153A">
        <w:t>also severely underrepresented in Parliament.</w:t>
      </w:r>
      <w:r w:rsidR="00B81E4E">
        <w:rPr>
          <w:rStyle w:val="FootnoteReference"/>
        </w:rPr>
        <w:footnoteReference w:id="11"/>
      </w:r>
    </w:p>
    <w:p w14:paraId="268AD78F" w14:textId="77777777" w:rsidR="007C0BD2" w:rsidRDefault="007C0BD2" w:rsidP="00D97A80"/>
    <w:p w14:paraId="2BA9C730" w14:textId="77777777" w:rsidR="007C0BD2" w:rsidRDefault="00FE5586" w:rsidP="003500C0">
      <w:pPr>
        <w:rPr>
          <w:i/>
        </w:rPr>
      </w:pPr>
      <w:r>
        <w:t>It</w:t>
      </w:r>
      <w:r w:rsidR="00E0766E">
        <w:t xml:space="preserve"> must be noted that the use of s</w:t>
      </w:r>
      <w:r>
        <w:t>ections 104, 158 and 159 EA 2010 and of positive action measures in the EU is entirely volunta</w:t>
      </w:r>
      <w:r w:rsidR="00F44C29">
        <w:t>ry and t</w:t>
      </w:r>
      <w:r w:rsidR="00B965B4">
        <w:t xml:space="preserve">here is no duty to take </w:t>
      </w:r>
      <w:r w:rsidR="00F44C29">
        <w:t>such</w:t>
      </w:r>
      <w:r w:rsidR="00B965B4">
        <w:t xml:space="preserve"> measures under these provisions. </w:t>
      </w:r>
      <w:r w:rsidR="005B153A">
        <w:t>An individual can</w:t>
      </w:r>
      <w:r w:rsidR="00191AD1">
        <w:t>not</w:t>
      </w:r>
      <w:r w:rsidR="005B153A">
        <w:t>, therefore, claim against their employer for failing to take positive action measures.</w:t>
      </w:r>
    </w:p>
    <w:p w14:paraId="377C5A3F" w14:textId="77777777" w:rsidR="007C0BD2" w:rsidRDefault="007C0BD2" w:rsidP="003500C0">
      <w:pPr>
        <w:rPr>
          <w:i/>
        </w:rPr>
      </w:pPr>
    </w:p>
    <w:p w14:paraId="006D6A62" w14:textId="5AAB1F17" w:rsidR="007C0BD2" w:rsidRDefault="00C74AC0" w:rsidP="007C0BD2">
      <w:pPr>
        <w:pStyle w:val="Heading3"/>
      </w:pPr>
      <w:r>
        <w:t>Northern Ireland</w:t>
      </w:r>
    </w:p>
    <w:p w14:paraId="71D4945D" w14:textId="77777777" w:rsidR="007C0BD2" w:rsidRPr="007C0BD2" w:rsidRDefault="007C0BD2" w:rsidP="007C0BD2">
      <w:pPr>
        <w:pStyle w:val="BodyText"/>
      </w:pPr>
    </w:p>
    <w:p w14:paraId="2CFF176C" w14:textId="14AA0C6B" w:rsidR="007C0BD2" w:rsidRDefault="00D43475" w:rsidP="00C74AC0">
      <w:r>
        <w:t>Northern Ireland’s equality laws have developed in a different way from the legislation in the rest of the UK</w:t>
      </w:r>
      <w:r w:rsidR="0014236F">
        <w:t xml:space="preserve"> due the historical situation there with</w:t>
      </w:r>
      <w:r>
        <w:t xml:space="preserve"> Catholics and P</w:t>
      </w:r>
      <w:r w:rsidR="0014236F">
        <w:t>rotestants</w:t>
      </w:r>
      <w:r>
        <w:t xml:space="preserve"> highly segregated from each other in employment. Catholics were concentrated in particula</w:t>
      </w:r>
      <w:r w:rsidR="0014236F">
        <w:t xml:space="preserve">r sectors of the labour market </w:t>
      </w:r>
      <w:r>
        <w:t>and in particular firms</w:t>
      </w:r>
      <w:r w:rsidR="0014236F">
        <w:t xml:space="preserve"> and they suffered unemployment rates which were two or three times as</w:t>
      </w:r>
      <w:r w:rsidR="001038C8">
        <w:t xml:space="preserve"> high as those for P</w:t>
      </w:r>
      <w:r w:rsidR="0014236F">
        <w:t>rotestants.</w:t>
      </w:r>
      <w:bookmarkStart w:id="5" w:name="_Ref34819767"/>
      <w:r w:rsidR="0014236F">
        <w:rPr>
          <w:rStyle w:val="FootnoteReference"/>
        </w:rPr>
        <w:footnoteReference w:id="12"/>
      </w:r>
      <w:bookmarkEnd w:id="5"/>
      <w:r>
        <w:t xml:space="preserve"> </w:t>
      </w:r>
      <w:r w:rsidR="001038C8">
        <w:t>As</w:t>
      </w:r>
      <w:r w:rsidR="0014236F">
        <w:t xml:space="preserve"> McColgan</w:t>
      </w:r>
      <w:r w:rsidR="001038C8">
        <w:t xml:space="preserve"> writes</w:t>
      </w:r>
      <w:r w:rsidR="0014236F">
        <w:t xml:space="preserve">, </w:t>
      </w:r>
    </w:p>
    <w:p w14:paraId="389EFFCC" w14:textId="77777777" w:rsidR="007C0BD2" w:rsidRDefault="007C0BD2" w:rsidP="00C74AC0"/>
    <w:p w14:paraId="7F054801" w14:textId="77777777" w:rsidR="007C0BD2" w:rsidRDefault="0014236F" w:rsidP="007E223C">
      <w:pPr>
        <w:pStyle w:val="Quote"/>
      </w:pPr>
      <w:r>
        <w:t>in Northern Ireland, having actual or perceived status as Catholic has traditionally been associated with systemic disadvantage and oppression as</w:t>
      </w:r>
      <w:r w:rsidR="001038C8">
        <w:t xml:space="preserve"> a result of the creation of a P</w:t>
      </w:r>
      <w:r>
        <w:t>rotestant state</w:t>
      </w:r>
      <w:r w:rsidR="001038C8">
        <w:t xml:space="preserve"> in the early part of the twentieth century and a robust approach to its maintenance at least until the </w:t>
      </w:r>
      <w:proofErr w:type="spellStart"/>
      <w:r w:rsidR="001038C8">
        <w:t>mid 1970s</w:t>
      </w:r>
      <w:proofErr w:type="spellEnd"/>
      <w:r w:rsidR="001038C8">
        <w:t>.</w:t>
      </w:r>
      <w:r w:rsidR="001038C8">
        <w:rPr>
          <w:rStyle w:val="FootnoteReference"/>
        </w:rPr>
        <w:footnoteReference w:id="13"/>
      </w:r>
      <w:r w:rsidR="001038C8">
        <w:t xml:space="preserve"> </w:t>
      </w:r>
    </w:p>
    <w:p w14:paraId="46C817F1" w14:textId="77777777" w:rsidR="007C0BD2" w:rsidRDefault="007C0BD2" w:rsidP="007E223C">
      <w:pPr>
        <w:pStyle w:val="Quote"/>
      </w:pPr>
    </w:p>
    <w:p w14:paraId="10B10957" w14:textId="77777777" w:rsidR="007C0BD2" w:rsidRDefault="001038C8" w:rsidP="00C74AC0">
      <w:r>
        <w:t>Due to this</w:t>
      </w:r>
      <w:r w:rsidR="008D630C">
        <w:t xml:space="preserve"> historical situation</w:t>
      </w:r>
      <w:r>
        <w:t xml:space="preserve">, discrimination on the grounds of religion or belief has been prohibited in Northern Ireland since 1976, when the </w:t>
      </w:r>
      <w:r w:rsidR="008D630C">
        <w:t xml:space="preserve">first Fair Employment (Northern Ireland) Act was adopted. </w:t>
      </w:r>
      <w:r w:rsidR="007E223C">
        <w:t>However, t</w:t>
      </w:r>
      <w:r w:rsidR="008D630C">
        <w:t>h</w:t>
      </w:r>
      <w:r w:rsidR="00BC6AA1">
        <w:t>at</w:t>
      </w:r>
      <w:r w:rsidR="008D630C">
        <w:t xml:space="preserve"> legislation ‘rejected, the option of positive discrimination in the form of quotas or fixed ratios for Protestants and Catholics in workplaces’.</w:t>
      </w:r>
      <w:bookmarkStart w:id="6" w:name="_Ref34819808"/>
      <w:r w:rsidR="008D630C">
        <w:rPr>
          <w:rStyle w:val="FootnoteReference"/>
        </w:rPr>
        <w:footnoteReference w:id="14"/>
      </w:r>
      <w:bookmarkEnd w:id="6"/>
      <w:r w:rsidR="007E223C">
        <w:t xml:space="preserve"> Thirteen years later, </w:t>
      </w:r>
      <w:r w:rsidR="00C74AC0">
        <w:t xml:space="preserve">the new Fair Employment (Northern Ireland) Act 1989 introduced a duty on both public and private employers to actively practice equality and use affirmative action to achieve </w:t>
      </w:r>
      <w:r w:rsidR="00CE5AE5">
        <w:t>fair employment between Catholics and Protestants</w:t>
      </w:r>
      <w:r w:rsidR="00C74AC0">
        <w:t xml:space="preserve"> where necessary. The curr</w:t>
      </w:r>
      <w:r w:rsidR="00702647">
        <w:t>ent provisions can be found in s</w:t>
      </w:r>
      <w:r w:rsidR="00C74AC0">
        <w:t>ection 4 of the Fair Employment (Northern Ireland) Order 1998 (FETO 1998).</w:t>
      </w:r>
      <w:r w:rsidR="00C74AC0">
        <w:rPr>
          <w:rStyle w:val="FootnoteReference"/>
        </w:rPr>
        <w:footnoteReference w:id="15"/>
      </w:r>
      <w:r w:rsidR="00C74AC0">
        <w:t xml:space="preserve"> The aim of this section is to ensure fair participation, to redress imbalances and underrepresentation. Under the legislation, employers must carry out regular reviews of the composition of their workforce to determine whether there is fair employment and they must take remedial action</w:t>
      </w:r>
      <w:r w:rsidR="00CE5AE5">
        <w:t>, including affirmative action,</w:t>
      </w:r>
      <w:r w:rsidR="00C74AC0">
        <w:t xml:space="preserve"> where this is required. Lawful </w:t>
      </w:r>
      <w:r w:rsidR="00CE5AE5">
        <w:t>affirmative</w:t>
      </w:r>
      <w:r w:rsidR="00C74AC0">
        <w:t xml:space="preserve"> action includes encouraging people to apply for jobs and training opportunities; offering training opportunities and facilities; adopting indirectly discriminatory redundancy selection procedures in order to protect the gains of affirmative action programmes; and</w:t>
      </w:r>
      <w:r w:rsidR="007E223C">
        <w:t>,</w:t>
      </w:r>
      <w:r w:rsidR="00C74AC0">
        <w:t xml:space="preserve"> reserving job vacancies for persons who are unemployed. </w:t>
      </w:r>
    </w:p>
    <w:p w14:paraId="054B426F" w14:textId="77777777" w:rsidR="007C0BD2" w:rsidRDefault="007C0BD2" w:rsidP="00C74AC0"/>
    <w:p w14:paraId="3ABAEF62" w14:textId="77777777" w:rsidR="007C0BD2" w:rsidRDefault="003A159D" w:rsidP="00C74AC0">
      <w:r>
        <w:t>There was, between 2000 and 2011, a special provision for the police service in Northern Ireland, which could be found in section 46 of the Police (Northern Ireland) Act 2000</w:t>
      </w:r>
      <w:r>
        <w:rPr>
          <w:rStyle w:val="FootnoteReference"/>
        </w:rPr>
        <w:footnoteReference w:id="16"/>
      </w:r>
      <w:r>
        <w:t xml:space="preserve">, and which aimed at increasing the number of Catholic police officers and support staff. This section required the appointment of one Catholic person for every person of another religion who was awarded a post (50-50 recruitment). This section would have been incompatible with EU law, and, </w:t>
      </w:r>
      <w:r w:rsidR="00702647">
        <w:t>thus, a</w:t>
      </w:r>
      <w:r>
        <w:t>rticle 15 of Directive 2000/78/EC contained a specific exception for this.</w:t>
      </w:r>
      <w:r>
        <w:rPr>
          <w:rStyle w:val="FootnoteReference"/>
        </w:rPr>
        <w:footnoteReference w:id="17"/>
      </w:r>
      <w:r>
        <w:t xml:space="preserve"> The measure ended on 28 March 2011. </w:t>
      </w:r>
    </w:p>
    <w:p w14:paraId="3340538C" w14:textId="77777777" w:rsidR="007C0BD2" w:rsidRDefault="007C0BD2" w:rsidP="00C74AC0"/>
    <w:p w14:paraId="3B3FDD89" w14:textId="2CB96FAA" w:rsidR="007C0BD2" w:rsidRDefault="003E0E9D" w:rsidP="007C0BD2">
      <w:pPr>
        <w:pStyle w:val="Heading3"/>
      </w:pPr>
      <w:r w:rsidRPr="00FB4D7D">
        <w:t xml:space="preserve">South Africa </w:t>
      </w:r>
    </w:p>
    <w:p w14:paraId="60FD9570" w14:textId="77777777" w:rsidR="007C0BD2" w:rsidRPr="007C0BD2" w:rsidRDefault="007C0BD2" w:rsidP="007C0BD2">
      <w:pPr>
        <w:pStyle w:val="BodyText"/>
      </w:pPr>
    </w:p>
    <w:p w14:paraId="46E60658" w14:textId="034C99EB" w:rsidR="007C0BD2" w:rsidRDefault="003E0E9D" w:rsidP="00F961D5">
      <w:r>
        <w:t>Affirmative action in South Africa has clear links with the history of apartheid. Section 9(2) of the 1996 Constitution of South Africa</w:t>
      </w:r>
      <w:r>
        <w:rPr>
          <w:rStyle w:val="FootnoteReference"/>
        </w:rPr>
        <w:footnoteReference w:id="18"/>
      </w:r>
      <w:r>
        <w:t xml:space="preserve"> explicitly provides for affirmative action measures, </w:t>
      </w:r>
      <w:r w:rsidR="008C426B">
        <w:t xml:space="preserve">defined as </w:t>
      </w:r>
      <w:r>
        <w:t>‘measures designed to protect or advance persons, or categories of persons, disadvantaged by unfair discrimination’. The South African Constitution prohibit</w:t>
      </w:r>
      <w:r w:rsidR="008741D0">
        <w:t xml:space="preserve">s only ‘unfair’ discrimination and this is the same for </w:t>
      </w:r>
      <w:r>
        <w:t>South Africa’s anti-discrimination law, the Promotion of Equality and Prevention of Unfair Discri</w:t>
      </w:r>
      <w:r w:rsidR="008741D0">
        <w:t>mination Act 2000 (PEPUDA 2000).</w:t>
      </w:r>
      <w:r>
        <w:rPr>
          <w:rStyle w:val="FootnoteReference"/>
        </w:rPr>
        <w:footnoteReference w:id="19"/>
      </w:r>
      <w:r w:rsidR="008741D0">
        <w:t xml:space="preserve"> The latter</w:t>
      </w:r>
      <w:r>
        <w:t xml:space="preserve"> builds on the Constitutional provisions</w:t>
      </w:r>
      <w:r w:rsidR="00260A18">
        <w:t xml:space="preserve"> and provides, in</w:t>
      </w:r>
      <w:r>
        <w:t xml:space="preserve"> </w:t>
      </w:r>
      <w:r w:rsidR="00702647">
        <w:t>s</w:t>
      </w:r>
      <w:r w:rsidR="00260A18">
        <w:t xml:space="preserve">ection 14, for affirmative action measures. Moreover, the </w:t>
      </w:r>
      <w:r>
        <w:t>Employment Equity Act 1998 (EEA 1998)</w:t>
      </w:r>
      <w:r>
        <w:rPr>
          <w:rStyle w:val="FootnoteReference"/>
        </w:rPr>
        <w:footnoteReference w:id="20"/>
      </w:r>
      <w:r>
        <w:t xml:space="preserve"> imposes a duty on private employers with more than 50 employees and on public authorities to implement affirmative action measure</w:t>
      </w:r>
      <w:r w:rsidR="00E0766E">
        <w:t>s</w:t>
      </w:r>
      <w:r>
        <w:t xml:space="preserve"> for people from designated group</w:t>
      </w:r>
      <w:r w:rsidR="00536498">
        <w:t>s, namely,</w:t>
      </w:r>
      <w:r w:rsidR="00FC1A04">
        <w:t xml:space="preserve"> </w:t>
      </w:r>
      <w:r>
        <w:t>black people (including black, coloured and Indian people), women and people with disabilities according to section 1</w:t>
      </w:r>
      <w:r w:rsidR="00536498">
        <w:t>,</w:t>
      </w:r>
      <w:r>
        <w:t xml:space="preserve"> in order to achieve workplace equity.</w:t>
      </w:r>
      <w:r w:rsidR="00260A18" w:rsidRPr="00260A18">
        <w:t xml:space="preserve"> </w:t>
      </w:r>
      <w:r w:rsidR="00260A18">
        <w:t>Section 15(3) explains that the affirmative action measures ‘include preferential treatment and numerical goals, but exclude quotas’.</w:t>
      </w:r>
      <w:r>
        <w:t xml:space="preserve"> </w:t>
      </w:r>
      <w:r w:rsidR="00260A18">
        <w:t xml:space="preserve">Section 15(4) EEA 1998 determines that nothing in section 15 requires an employer to take any decision concerning an employment policy or practice that would establish an absolute barrier to the prospective or continued employment or advancement of people who are not from designated groups. </w:t>
      </w:r>
      <w:r>
        <w:t>The Act does not appear to be very clear on what is and what is not permitted. However, the case law suggest</w:t>
      </w:r>
      <w:r w:rsidR="00E0766E">
        <w:t>s</w:t>
      </w:r>
      <w:r>
        <w:t xml:space="preserve"> that the key distinction between quotas, which are not allowed, and numerical targets, which are allowed, turns on the flexibility of the mechanism: an equity plan based on designated groups filling specified percentages of the workforce </w:t>
      </w:r>
      <w:r w:rsidR="00FC1A04">
        <w:t>is allowed as long as it</w:t>
      </w:r>
      <w:r>
        <w:t xml:space="preserve"> allows for deviations</w:t>
      </w:r>
      <w:r w:rsidR="00FC1A04">
        <w:t xml:space="preserve">; in other words, as long as there is no </w:t>
      </w:r>
      <w:r>
        <w:t>absolute bar to present or continued employment or advancement of people who do not fall within the designated group</w:t>
      </w:r>
      <w:r w:rsidR="00FC1A04">
        <w:t xml:space="preserve">. However, </w:t>
      </w:r>
      <w:r>
        <w:t xml:space="preserve">an equity plan that does not cater for deviations would be against </w:t>
      </w:r>
      <w:r w:rsidR="00702647">
        <w:t>section 9(2) of the Constitution and s</w:t>
      </w:r>
      <w:r>
        <w:t>ection 15 EEA 1998.</w:t>
      </w:r>
      <w:r>
        <w:rPr>
          <w:rStyle w:val="FootnoteReference"/>
        </w:rPr>
        <w:footnoteReference w:id="21"/>
      </w:r>
      <w:r>
        <w:t xml:space="preserve"> </w:t>
      </w:r>
    </w:p>
    <w:p w14:paraId="45D1F6AE" w14:textId="77777777" w:rsidR="007C0BD2" w:rsidRDefault="007C0BD2" w:rsidP="00F961D5"/>
    <w:p w14:paraId="5647DAFC" w14:textId="68980F56" w:rsidR="007C0BD2" w:rsidRDefault="008741D0" w:rsidP="007C0BD2">
      <w:pPr>
        <w:pStyle w:val="Heading3"/>
      </w:pPr>
      <w:r>
        <w:t>Comparison</w:t>
      </w:r>
    </w:p>
    <w:p w14:paraId="2C9142AA" w14:textId="77777777" w:rsidR="007C0BD2" w:rsidRPr="007C0BD2" w:rsidRDefault="007C0BD2" w:rsidP="007C0BD2"/>
    <w:p w14:paraId="74C4FAB8" w14:textId="7B5AE1DF" w:rsidR="007C0BD2" w:rsidRDefault="00536498" w:rsidP="003E0E9D">
      <w:r>
        <w:t>After comparing the normative framework regarding affirmative actions</w:t>
      </w:r>
      <w:r w:rsidR="00F961D5">
        <w:t xml:space="preserve"> in the UK and in South Africa</w:t>
      </w:r>
      <w:r w:rsidR="00FC1A04">
        <w:t>,</w:t>
      </w:r>
      <w:r w:rsidR="00FC1A04">
        <w:rPr>
          <w:rStyle w:val="FootnoteReference"/>
        </w:rPr>
        <w:footnoteReference w:id="22"/>
      </w:r>
      <w:r w:rsidR="00F961D5">
        <w:t xml:space="preserve">  </w:t>
      </w:r>
      <w:r>
        <w:t xml:space="preserve">we </w:t>
      </w:r>
      <w:r w:rsidR="00F961D5">
        <w:t xml:space="preserve">concluded that the South African approach was a more substantive equality approach than the approach in the UK and in the EU. </w:t>
      </w:r>
      <w:r w:rsidR="008741D0">
        <w:t>A substantive equality a</w:t>
      </w:r>
      <w:r w:rsidR="00E0766E">
        <w:t>pproach goes beyond formal equality</w:t>
      </w:r>
      <w:r w:rsidR="00FC1A04">
        <w:t>: w</w:t>
      </w:r>
      <w:r w:rsidR="008741D0">
        <w:t xml:space="preserve">hereas formal equality consists of treating everyone in the same way, substantive equality is more sensitive to inequalities caused by past discrimination. </w:t>
      </w:r>
      <w:r w:rsidR="00F961D5">
        <w:t xml:space="preserve">The approach to affirmative action in the UK and the EU </w:t>
      </w:r>
      <w:r w:rsidR="00480829">
        <w:t>goes</w:t>
      </w:r>
      <w:r w:rsidR="008741D0">
        <w:t xml:space="preserve"> beyond mere formal equality, but </w:t>
      </w:r>
      <w:r w:rsidR="00480829">
        <w:t>represents a</w:t>
      </w:r>
      <w:r w:rsidR="00F961D5">
        <w:t xml:space="preserve"> ‘derogation approach’ which regards affirmative action as an exception to the prohibition against discriminatio</w:t>
      </w:r>
      <w:r w:rsidR="008741D0">
        <w:t>n. Such action is thus constru</w:t>
      </w:r>
      <w:r w:rsidR="00F961D5">
        <w:t xml:space="preserve">ed strictly but is legitimate in certain defined circumstances. In contrast, in South Africa, affirmative action is seen as an integral aspect of </w:t>
      </w:r>
      <w:r w:rsidR="007C09F4">
        <w:t xml:space="preserve">the </w:t>
      </w:r>
      <w:r w:rsidR="00F961D5">
        <w:t>equality</w:t>
      </w:r>
      <w:r w:rsidR="007C09F4">
        <w:t xml:space="preserve"> guarantee in the Constitution and thus </w:t>
      </w:r>
      <w:r w:rsidR="00F961D5">
        <w:t>as a legitimate means to fulfil the non-discrimination principle</w:t>
      </w:r>
      <w:r w:rsidR="008741D0">
        <w:t>.</w:t>
      </w:r>
      <w:bookmarkStart w:id="7" w:name="_Ref523732305"/>
      <w:r w:rsidR="007C09F4">
        <w:rPr>
          <w:rStyle w:val="FootnoteReference"/>
        </w:rPr>
        <w:footnoteReference w:id="23"/>
      </w:r>
      <w:bookmarkEnd w:id="7"/>
      <w:r w:rsidR="00C153D5">
        <w:t xml:space="preserve"> </w:t>
      </w:r>
    </w:p>
    <w:p w14:paraId="22F13C5E" w14:textId="77777777" w:rsidR="007C0BD2" w:rsidRDefault="007C0BD2" w:rsidP="003E0E9D"/>
    <w:p w14:paraId="5F017872" w14:textId="77777777" w:rsidR="007C0BD2" w:rsidRDefault="00D1765C" w:rsidP="00510924">
      <w:r>
        <w:t xml:space="preserve">The difference between </w:t>
      </w:r>
      <w:r w:rsidR="003E0E9D">
        <w:t>British and EU law</w:t>
      </w:r>
      <w:r>
        <w:t xml:space="preserve"> on the one hand and South African law on the other is that, whereas the former</w:t>
      </w:r>
      <w:r w:rsidR="003E0E9D">
        <w:t xml:space="preserve"> only allow </w:t>
      </w:r>
      <w:r w:rsidR="00A95C99">
        <w:t>for</w:t>
      </w:r>
      <w:r w:rsidR="003E0E9D">
        <w:t xml:space="preserve"> preferential treatment in a ‘tie-break’ situation, in a situation where the candidates for a job or promotion are equally qualified, the South African provisions allow for preferential treatment as long as the pe</w:t>
      </w:r>
      <w:r>
        <w:t>rson of the designated</w:t>
      </w:r>
      <w:r w:rsidR="003E0E9D">
        <w:t xml:space="preserve"> group is ‘suitably qualified’</w:t>
      </w:r>
      <w:r w:rsidR="00F961D5" w:rsidRPr="00F961D5">
        <w:t xml:space="preserve"> </w:t>
      </w:r>
      <w:r w:rsidR="00F961D5">
        <w:t>even when there is a candidate from a non-designated group who is more qualified</w:t>
      </w:r>
      <w:r w:rsidR="003E0E9D">
        <w:t xml:space="preserve"> (section 15(2)(d)(</w:t>
      </w:r>
      <w:proofErr w:type="spellStart"/>
      <w:r w:rsidR="003E0E9D">
        <w:t>i</w:t>
      </w:r>
      <w:proofErr w:type="spellEnd"/>
      <w:r w:rsidR="003E0E9D">
        <w:t>) EEA 1998).</w:t>
      </w:r>
      <w:r w:rsidR="00A76EEA">
        <w:rPr>
          <w:rStyle w:val="FootnoteReference"/>
        </w:rPr>
        <w:footnoteReference w:id="24"/>
      </w:r>
      <w:r w:rsidR="003E0E9D">
        <w:t xml:space="preserve"> The CJEU has</w:t>
      </w:r>
      <w:r w:rsidR="00A95C99">
        <w:t xml:space="preserve"> clearly</w:t>
      </w:r>
      <w:r w:rsidR="003E0E9D">
        <w:t xml:space="preserve"> rejec</w:t>
      </w:r>
      <w:r w:rsidR="00F961D5">
        <w:t>ted the latter</w:t>
      </w:r>
      <w:r w:rsidR="003E0E9D">
        <w:t>.</w:t>
      </w:r>
      <w:r w:rsidR="003E0E9D">
        <w:rPr>
          <w:rStyle w:val="FootnoteReference"/>
        </w:rPr>
        <w:footnoteReference w:id="25"/>
      </w:r>
      <w:r w:rsidR="003E0E9D">
        <w:t xml:space="preserve"> What none of these frameworks appears to allow for is giving automatic preference without considering the individual qualifications of each candidate or without any provision for deviating from this in certain circumstances. </w:t>
      </w:r>
    </w:p>
    <w:p w14:paraId="1BA59CBF" w14:textId="77777777" w:rsidR="007C0BD2" w:rsidRDefault="007C0BD2" w:rsidP="00510924"/>
    <w:p w14:paraId="59005C65" w14:textId="77777777" w:rsidR="007C0BD2" w:rsidRDefault="008B4F83" w:rsidP="0050478E">
      <w:pPr>
        <w:pStyle w:val="Heading2"/>
      </w:pPr>
      <w:r>
        <w:t>I</w:t>
      </w:r>
      <w:r w:rsidR="0050478E">
        <w:t>mplementation and efficacy</w:t>
      </w:r>
    </w:p>
    <w:p w14:paraId="3B7B0083" w14:textId="77777777" w:rsidR="007C0BD2" w:rsidRDefault="007C0BD2" w:rsidP="0050478E">
      <w:pPr>
        <w:pStyle w:val="Heading2"/>
      </w:pPr>
    </w:p>
    <w:p w14:paraId="7BD0F1BA" w14:textId="77777777" w:rsidR="007C0BD2" w:rsidRDefault="00C702E3" w:rsidP="00DC506E">
      <w:r>
        <w:t>A</w:t>
      </w:r>
      <w:r w:rsidR="008B4F83">
        <w:t xml:space="preserve">ffirmative action is provided for in the legislation of all jurisdictions examined in this Chapter. All these measures are aimed at achieving equality in practice and all take account of the disadvantage that the targeted groups experience because of past and ongoing discrimination. All aim at dealing with the underrepresentation of these groups in employment and in other areas of life. However, are these measures </w:t>
      </w:r>
      <w:r w:rsidR="00460D53">
        <w:t xml:space="preserve">being used and </w:t>
      </w:r>
      <w:r w:rsidR="008B4F83">
        <w:t>achieving these aims</w:t>
      </w:r>
      <w:r w:rsidR="00DC506E">
        <w:t>? This is examined in this part of the Chapter.</w:t>
      </w:r>
    </w:p>
    <w:p w14:paraId="78CF731C" w14:textId="77777777" w:rsidR="007C0BD2" w:rsidRDefault="007C0BD2" w:rsidP="00DC506E"/>
    <w:p w14:paraId="22CAEB3D" w14:textId="24547E3C" w:rsidR="007C0BD2" w:rsidRDefault="00DC506E" w:rsidP="007C0BD2">
      <w:pPr>
        <w:pStyle w:val="Heading3"/>
      </w:pPr>
      <w:r>
        <w:t>England, Scotland and Wales</w:t>
      </w:r>
    </w:p>
    <w:p w14:paraId="587B988A" w14:textId="77777777" w:rsidR="007C0BD2" w:rsidRPr="007C0BD2" w:rsidRDefault="007C0BD2" w:rsidP="007C0BD2">
      <w:pPr>
        <w:pStyle w:val="BodyText"/>
      </w:pPr>
    </w:p>
    <w:p w14:paraId="4BF4B3DD" w14:textId="74CE2AFF" w:rsidR="007C0BD2" w:rsidRDefault="000A60D1" w:rsidP="00CA72F7">
      <w:r>
        <w:t xml:space="preserve">In the Discrimination Law Review </w:t>
      </w:r>
      <w:r w:rsidR="00CA72F7">
        <w:t xml:space="preserve">in </w:t>
      </w:r>
      <w:r>
        <w:t xml:space="preserve">2007, which assessed the then existing anti-discrimination legislation prior to proposing a new Equality Bill, the British Government </w:t>
      </w:r>
      <w:r w:rsidR="00247D2E">
        <w:t>clearly stated that:</w:t>
      </w:r>
    </w:p>
    <w:p w14:paraId="497FEAFD" w14:textId="77777777" w:rsidR="007C0BD2" w:rsidRDefault="007C0BD2" w:rsidP="00CA72F7"/>
    <w:p w14:paraId="19C01AAC" w14:textId="77777777" w:rsidR="007C0BD2" w:rsidRDefault="00247D2E" w:rsidP="00941358">
      <w:pPr>
        <w:pStyle w:val="Quote"/>
      </w:pPr>
      <w:r w:rsidRPr="00247D2E">
        <w:t>There is a very important distincti</w:t>
      </w:r>
      <w:r w:rsidRPr="00247D2E">
        <w:rPr>
          <w:rStyle w:val="QuoteChar"/>
          <w:i/>
        </w:rPr>
        <w:t xml:space="preserve">on between positive action and </w:t>
      </w:r>
      <w:r w:rsidRPr="00247D2E">
        <w:t xml:space="preserve">positive discrimination. Positive </w:t>
      </w:r>
      <w:r w:rsidRPr="00247D2E">
        <w:rPr>
          <w:rStyle w:val="QuoteChar"/>
          <w:i/>
        </w:rPr>
        <w:t xml:space="preserve">action means offering targeted </w:t>
      </w:r>
      <w:r w:rsidRPr="00247D2E">
        <w:t>assistance to people, so that they can ta</w:t>
      </w:r>
      <w:r w:rsidRPr="00247D2E">
        <w:rPr>
          <w:rStyle w:val="QuoteChar"/>
          <w:i/>
        </w:rPr>
        <w:t xml:space="preserve">ke full and equal advantage of </w:t>
      </w:r>
      <w:r w:rsidRPr="00247D2E">
        <w:t xml:space="preserve">particular opportunities. Positive discrimination </w:t>
      </w:r>
      <w:r w:rsidRPr="00247D2E">
        <w:rPr>
          <w:rStyle w:val="QuoteChar"/>
          <w:i/>
        </w:rPr>
        <w:t xml:space="preserve">means explicitly treating </w:t>
      </w:r>
      <w:r w:rsidRPr="00247D2E">
        <w:t xml:space="preserve">people more favourably on the grounds of </w:t>
      </w:r>
      <w:r w:rsidRPr="00247D2E">
        <w:rPr>
          <w:rStyle w:val="QuoteChar"/>
          <w:i/>
        </w:rPr>
        <w:t xml:space="preserve">race, sex, religion or belief, </w:t>
      </w:r>
      <w:r w:rsidRPr="00247D2E">
        <w:t>etc. by, for example, appointing some</w:t>
      </w:r>
      <w:r w:rsidRPr="00247D2E">
        <w:rPr>
          <w:rStyle w:val="QuoteChar"/>
          <w:i/>
        </w:rPr>
        <w:t xml:space="preserve">one to a job just because they </w:t>
      </w:r>
      <w:r w:rsidRPr="00247D2E">
        <w:t>are male o</w:t>
      </w:r>
      <w:r w:rsidRPr="00247D2E">
        <w:rPr>
          <w:rStyle w:val="QuoteChar"/>
          <w:i/>
        </w:rPr>
        <w:t>r just because they are fem</w:t>
      </w:r>
      <w:r w:rsidRPr="00247D2E">
        <w:t>ale, irrespective of merit. Positive discrimination is prohibite</w:t>
      </w:r>
      <w:r>
        <w:t>d under British and European law and we do not believe it provides a solution to addressing disadvantage.</w:t>
      </w:r>
      <w:r>
        <w:rPr>
          <w:rStyle w:val="FootnoteReference"/>
        </w:rPr>
        <w:footnoteReference w:id="26"/>
      </w:r>
      <w:r>
        <w:t xml:space="preserve"> </w:t>
      </w:r>
    </w:p>
    <w:p w14:paraId="4B66C274" w14:textId="77777777" w:rsidR="007C0BD2" w:rsidRDefault="007C0BD2" w:rsidP="00941358">
      <w:pPr>
        <w:pStyle w:val="Quote"/>
      </w:pPr>
    </w:p>
    <w:p w14:paraId="4FDEB426" w14:textId="77777777" w:rsidR="007C0BD2" w:rsidRDefault="008C4A65" w:rsidP="00CA72F7">
      <w:r>
        <w:t xml:space="preserve">The Government then </w:t>
      </w:r>
      <w:r w:rsidR="00247D2E">
        <w:t>explained</w:t>
      </w:r>
      <w:r w:rsidR="00247D2E" w:rsidRPr="00CA72F7">
        <w:t xml:space="preserve"> </w:t>
      </w:r>
      <w:r w:rsidR="00247D2E">
        <w:t>that positive action measures are permitted ‘to compensate for disadvantage or to meet the special needs arising from membership of a protected group’ and that ‘they are designed to create a level playing field so that disadvantaged groups can compete on equal terms for jobs access to services etc.</w:t>
      </w:r>
      <w:r>
        <w:t xml:space="preserve"> or to </w:t>
      </w:r>
      <w:r w:rsidR="00247D2E">
        <w:t>provide services to meet their special needs’.</w:t>
      </w:r>
      <w:r w:rsidR="00247D2E">
        <w:rPr>
          <w:rStyle w:val="FootnoteReference"/>
        </w:rPr>
        <w:footnoteReference w:id="27"/>
      </w:r>
      <w:r w:rsidR="00247D2E">
        <w:t xml:space="preserve"> The Government announced that it was going to propose such measure</w:t>
      </w:r>
      <w:r>
        <w:t>s</w:t>
      </w:r>
      <w:r w:rsidR="00247D2E">
        <w:t xml:space="preserve"> in the new Equality Bill and also stated that it was important to provide clarity about what was and what was not allowed.</w:t>
      </w:r>
      <w:r w:rsidR="00247D2E">
        <w:rPr>
          <w:rStyle w:val="FootnoteReference"/>
        </w:rPr>
        <w:footnoteReference w:id="28"/>
      </w:r>
      <w:r w:rsidR="00247D2E">
        <w:t xml:space="preserve"> </w:t>
      </w:r>
      <w:r w:rsidR="00640E2B">
        <w:t>The explanatory notes to s</w:t>
      </w:r>
      <w:r w:rsidR="008B47DC">
        <w:t xml:space="preserve">ection 159 of the Equality Act 2010 make clear that this is an expansion of what was allowed before, as previous legislation ‘did not allow employers to take any form </w:t>
      </w:r>
      <w:r w:rsidR="008B47DC" w:rsidRPr="008B47DC">
        <w:t>of positive action at the actual point of recruitment or promotion</w:t>
      </w:r>
      <w:r w:rsidR="00640E2B">
        <w:t>’</w:t>
      </w:r>
      <w:r w:rsidR="008B47DC">
        <w:t>.</w:t>
      </w:r>
      <w:bookmarkStart w:id="8" w:name="_Ref523661946"/>
      <w:r w:rsidR="008B47DC">
        <w:rPr>
          <w:rStyle w:val="FootnoteReference"/>
        </w:rPr>
        <w:footnoteReference w:id="29"/>
      </w:r>
      <w:bookmarkEnd w:id="8"/>
      <w:r w:rsidR="008B47DC">
        <w:t xml:space="preserve"> Therefore the provisions in the Equality Act 2010 were meant to expand and clarify the existing positive action measures.</w:t>
      </w:r>
    </w:p>
    <w:p w14:paraId="403EAE1D" w14:textId="77777777" w:rsidR="007C0BD2" w:rsidRDefault="007C0BD2" w:rsidP="00CA72F7"/>
    <w:p w14:paraId="4A72CC91" w14:textId="77777777" w:rsidR="007C0BD2" w:rsidRDefault="008C4A65" w:rsidP="00510924">
      <w:r>
        <w:t xml:space="preserve">However, has the Equality Act brought clarity and made it easier to use positive action measures? </w:t>
      </w:r>
      <w:r w:rsidR="007B6778">
        <w:t xml:space="preserve">Are sections 158 and 159 of the Equality Act 2010 being used more frequently than previous provisions? </w:t>
      </w:r>
      <w:r w:rsidR="00A57997">
        <w:t>As mentioned</w:t>
      </w:r>
      <w:r w:rsidR="00CF008F">
        <w:t>,</w:t>
      </w:r>
      <w:r w:rsidR="00A57997">
        <w:t xml:space="preserve"> the use of </w:t>
      </w:r>
      <w:r w:rsidR="007B6778">
        <w:t>these sections is</w:t>
      </w:r>
      <w:r w:rsidR="00A57997">
        <w:t xml:space="preserve"> entirely voluntary.</w:t>
      </w:r>
      <w:r>
        <w:t xml:space="preserve"> Davies points out that this is likely to limit their impact and their utility very considerably.</w:t>
      </w:r>
      <w:bookmarkStart w:id="9" w:name="_Ref523562647"/>
      <w:r>
        <w:rPr>
          <w:rStyle w:val="FootnoteReference"/>
        </w:rPr>
        <w:footnoteReference w:id="30"/>
      </w:r>
      <w:bookmarkEnd w:id="9"/>
      <w:r w:rsidR="003845F8">
        <w:t xml:space="preserve"> </w:t>
      </w:r>
      <w:r w:rsidR="00A57997">
        <w:t>Evidence suggests that th</w:t>
      </w:r>
      <w:r>
        <w:t>es</w:t>
      </w:r>
      <w:r w:rsidR="00A57997">
        <w:t xml:space="preserve">e sections are </w:t>
      </w:r>
      <w:r>
        <w:t xml:space="preserve">indeed </w:t>
      </w:r>
      <w:r w:rsidR="00A57997">
        <w:t>little used.</w:t>
      </w:r>
      <w:bookmarkStart w:id="10" w:name="_Ref523562578"/>
      <w:r w:rsidR="00A57997">
        <w:rPr>
          <w:rStyle w:val="FootnoteReference"/>
        </w:rPr>
        <w:footnoteReference w:id="31"/>
      </w:r>
      <w:bookmarkEnd w:id="10"/>
      <w:r w:rsidR="00A57997">
        <w:t xml:space="preserve"> </w:t>
      </w:r>
      <w:r>
        <w:t xml:space="preserve">For example, Johns </w:t>
      </w:r>
      <w:r w:rsidRPr="00640E2B">
        <w:rPr>
          <w:i/>
        </w:rPr>
        <w:t>et al</w:t>
      </w:r>
      <w:r>
        <w:t xml:space="preserve"> write that there has been ‘a relatively muted response’.</w:t>
      </w:r>
      <w:r>
        <w:rPr>
          <w:rStyle w:val="FootnoteReference"/>
        </w:rPr>
        <w:footnoteReference w:id="32"/>
      </w:r>
      <w:r>
        <w:t xml:space="preserve"> And, </w:t>
      </w:r>
      <w:r w:rsidR="003845F8">
        <w:t>Davies and Robison</w:t>
      </w:r>
      <w:r w:rsidR="00AC10F7">
        <w:t xml:space="preserve"> write that the indications are ‘that employers prefer to avoid the use of not only these measures in the recruitment and selection procedure, but also positive action measures in general’ and that ‘it appears that these provisions are relied on just as infrequently as the more limited provisions of the antecedent legislation’.</w:t>
      </w:r>
      <w:r w:rsidR="00AC10F7">
        <w:rPr>
          <w:rStyle w:val="FootnoteReference"/>
        </w:rPr>
        <w:footnoteReference w:id="33"/>
      </w:r>
      <w:r w:rsidR="00914D31">
        <w:t xml:space="preserve"> </w:t>
      </w:r>
      <w:r w:rsidR="003845F8">
        <w:t>The lat</w:t>
      </w:r>
      <w:r w:rsidR="00640E2B">
        <w:t>ter authors also point out that</w:t>
      </w:r>
      <w:r w:rsidR="003845F8">
        <w:t xml:space="preserve"> it </w:t>
      </w:r>
      <w:r w:rsidR="00640E2B">
        <w:t>from their research</w:t>
      </w:r>
      <w:r w:rsidR="003845F8">
        <w:t xml:space="preserve"> that employers, who do try to use positive action measures, are more comfortable with measures involving outreach</w:t>
      </w:r>
      <w:r w:rsidR="00141A6C">
        <w:t xml:space="preserve"> and </w:t>
      </w:r>
      <w:r w:rsidR="003845F8">
        <w:t>encouragement</w:t>
      </w:r>
      <w:r w:rsidR="00141A6C">
        <w:t>, which both aim at attracting more applications from the disadvantaged group,</w:t>
      </w:r>
      <w:r w:rsidR="003845F8">
        <w:t xml:space="preserve"> and training than with preferential treatment as allowed by section 159.</w:t>
      </w:r>
      <w:r w:rsidR="007B6778">
        <w:rPr>
          <w:rStyle w:val="FootnoteReference"/>
        </w:rPr>
        <w:footnoteReference w:id="34"/>
      </w:r>
      <w:r w:rsidR="008B47DC">
        <w:t xml:space="preserve"> The reasons for this reluctance are analysed in the next part of this </w:t>
      </w:r>
      <w:r w:rsidR="00A76EEA">
        <w:t>C</w:t>
      </w:r>
      <w:r w:rsidR="008B47DC">
        <w:t>hapter.</w:t>
      </w:r>
    </w:p>
    <w:p w14:paraId="3FAA5D6F" w14:textId="77777777" w:rsidR="007C0BD2" w:rsidRDefault="007C0BD2" w:rsidP="00510924"/>
    <w:p w14:paraId="2D9821FF" w14:textId="77777777" w:rsidR="007C0BD2" w:rsidRDefault="00656AB6" w:rsidP="00510924">
      <w:r>
        <w:t>An exception to this is the changes brought to the selection process for judges by the Judicial Appointments Commission (JAC) by the Crime and Courts Act 2013.</w:t>
      </w:r>
      <w:r>
        <w:rPr>
          <w:rStyle w:val="FootnoteReference"/>
        </w:rPr>
        <w:footnoteReference w:id="35"/>
      </w:r>
      <w:r>
        <w:t xml:space="preserve"> This Act introduced a</w:t>
      </w:r>
      <w:r w:rsidR="00640E2B">
        <w:t xml:space="preserve">n ‘equal merit provision’. </w:t>
      </w:r>
      <w:r>
        <w:t>This means that, where two or more candidates for a position as judge are assessed as being of equal merit, the JAC can select a candidate for the purpose of increasing judicial diversity. This has been applied since 1 July 2014. The JAC stresses that ‘recommendations for appointments continue to be made on merit’.</w:t>
      </w:r>
      <w:r>
        <w:rPr>
          <w:rStyle w:val="FootnoteReference"/>
        </w:rPr>
        <w:footnoteReference w:id="36"/>
      </w:r>
      <w:r w:rsidR="004E2678">
        <w:t xml:space="preserve"> </w:t>
      </w:r>
      <w:r w:rsidR="00553858">
        <w:t>The JAC reports the number of instances where an individual has been selected following application of the policy in its annual Official Statistics bulletins.</w:t>
      </w:r>
      <w:r w:rsidR="00553858">
        <w:rPr>
          <w:rStyle w:val="FootnoteReference"/>
        </w:rPr>
        <w:footnoteReference w:id="37"/>
      </w:r>
      <w:r w:rsidR="0012757E">
        <w:t xml:space="preserve"> </w:t>
      </w:r>
      <w:r w:rsidR="004E2678">
        <w:t xml:space="preserve">The statistics show that </w:t>
      </w:r>
      <w:r w:rsidR="00553858">
        <w:t xml:space="preserve">between 1 April 2014 and 31 March </w:t>
      </w:r>
      <w:r w:rsidR="004E2678">
        <w:t>2015, 11 out of 305 recommendations were made using the equal merit provision</w:t>
      </w:r>
      <w:r w:rsidR="00553858">
        <w:t>.</w:t>
      </w:r>
      <w:r w:rsidR="00553858">
        <w:rPr>
          <w:rStyle w:val="FootnoteReference"/>
        </w:rPr>
        <w:footnoteReference w:id="38"/>
      </w:r>
      <w:r w:rsidR="00553858">
        <w:t xml:space="preserve"> I</w:t>
      </w:r>
      <w:r w:rsidR="004E2678">
        <w:t>n</w:t>
      </w:r>
      <w:r w:rsidR="00553858">
        <w:t xml:space="preserve"> the same period in</w:t>
      </w:r>
      <w:r w:rsidR="004E2678">
        <w:t xml:space="preserve"> 2015-2016</w:t>
      </w:r>
      <w:r w:rsidR="00640E2B">
        <w:t>,</w:t>
      </w:r>
      <w:r w:rsidR="004E2678">
        <w:t xml:space="preserve"> this was 14 out of 308 recommendations</w:t>
      </w:r>
      <w:r w:rsidR="00553858">
        <w:t>.</w:t>
      </w:r>
      <w:r w:rsidR="00553858">
        <w:rPr>
          <w:rStyle w:val="FootnoteReference"/>
        </w:rPr>
        <w:footnoteReference w:id="39"/>
      </w:r>
      <w:r w:rsidR="00553858">
        <w:t xml:space="preserve"> In 2016-2017, 12 recommendations were made using the equal merit provision (10 for women and 2 for </w:t>
      </w:r>
      <w:r w:rsidR="00E423C0">
        <w:t>b</w:t>
      </w:r>
      <w:r w:rsidR="00553858">
        <w:t xml:space="preserve">lack, Asian and </w:t>
      </w:r>
      <w:r w:rsidR="00A76EEA">
        <w:t>m</w:t>
      </w:r>
      <w:r w:rsidR="00553858">
        <w:t xml:space="preserve">inority </w:t>
      </w:r>
      <w:r w:rsidR="00A76EEA">
        <w:t>e</w:t>
      </w:r>
      <w:r w:rsidR="00553858">
        <w:t>thnic candidates). In that period</w:t>
      </w:r>
      <w:r w:rsidR="00CF008F">
        <w:t>,</w:t>
      </w:r>
      <w:r w:rsidR="00553858">
        <w:t xml:space="preserve"> there were also 12 instances where candidates were considered to be of equal merit, but the provision was not applied as all candidates shared the same diversity characteristic, for example, both were women.</w:t>
      </w:r>
      <w:r w:rsidR="00553858">
        <w:rPr>
          <w:rStyle w:val="FootnoteReference"/>
        </w:rPr>
        <w:footnoteReference w:id="40"/>
      </w:r>
      <w:r w:rsidR="00553858">
        <w:t xml:space="preserve"> </w:t>
      </w:r>
      <w:r w:rsidR="004E2678">
        <w:t>Between 1 April 2017 and 31 March 2018, 3 recommendations</w:t>
      </w:r>
      <w:r w:rsidR="0051683A">
        <w:t xml:space="preserve"> (all for women)</w:t>
      </w:r>
      <w:r w:rsidR="004E2678">
        <w:t xml:space="preserve"> were made following the application of the </w:t>
      </w:r>
      <w:r w:rsidR="00553858">
        <w:t>equal merit provision</w:t>
      </w:r>
      <w:r w:rsidR="004E2678">
        <w:t>. In no other instances were candidates considered to be of equal merit for the purpose of this provision, as the recommended candidates were all demonstrably more meritorious than the remaining candidates</w:t>
      </w:r>
      <w:r w:rsidR="00553858">
        <w:t>.</w:t>
      </w:r>
      <w:r w:rsidR="0051683A">
        <w:rPr>
          <w:rStyle w:val="FootnoteReference"/>
        </w:rPr>
        <w:footnoteReference w:id="41"/>
      </w:r>
      <w:r w:rsidR="00553858">
        <w:t xml:space="preserve"> </w:t>
      </w:r>
    </w:p>
    <w:p w14:paraId="05CF4F6F" w14:textId="77777777" w:rsidR="007C0BD2" w:rsidRDefault="007C0BD2" w:rsidP="00510924"/>
    <w:p w14:paraId="4F235519" w14:textId="77777777" w:rsidR="007C0BD2" w:rsidRDefault="0051683A" w:rsidP="004647FE">
      <w:pPr>
        <w:rPr>
          <w:iCs/>
        </w:rPr>
      </w:pPr>
      <w:r>
        <w:t>Section 104 of the Equality Act 2010, allowing for all-women s</w:t>
      </w:r>
      <w:r w:rsidR="004647FE">
        <w:t>hortlists for political parties, has only been used by the Labour party</w:t>
      </w:r>
      <w:r w:rsidR="004647FE">
        <w:rPr>
          <w:iCs/>
        </w:rPr>
        <w:t>. Kelly and White report that the Labour party’s use of all-women shortlists in the 2005, 2010 and 2015 elections have been important in increasing the number of women Members of Parliament (MPs).</w:t>
      </w:r>
      <w:r w:rsidR="004647FE">
        <w:rPr>
          <w:rStyle w:val="FootnoteReference"/>
          <w:iCs/>
        </w:rPr>
        <w:footnoteReference w:id="42"/>
      </w:r>
      <w:r w:rsidR="004647FE">
        <w:rPr>
          <w:iCs/>
        </w:rPr>
        <w:t xml:space="preserve"> </w:t>
      </w:r>
      <w:r w:rsidR="00BC5BFB">
        <w:rPr>
          <w:iCs/>
        </w:rPr>
        <w:t>Other</w:t>
      </w:r>
      <w:r w:rsidR="00BC5BFB" w:rsidRPr="00BC5BFB">
        <w:rPr>
          <w:iCs/>
        </w:rPr>
        <w:t xml:space="preserve"> political parties introduced alternative methods to address the gender imbalance on their benches, for example twinning (constituencies paired and with one man and one woman as candidates) and zipping (men and women alternate on the lists</w:t>
      </w:r>
      <w:r w:rsidR="0088684E">
        <w:rPr>
          <w:iCs/>
        </w:rPr>
        <w:t xml:space="preserve"> of candidates)</w:t>
      </w:r>
      <w:r w:rsidR="008049DF">
        <w:rPr>
          <w:iCs/>
        </w:rPr>
        <w:t>.</w:t>
      </w:r>
      <w:r w:rsidR="00BC5BFB">
        <w:rPr>
          <w:rStyle w:val="FootnoteReference"/>
          <w:iCs/>
        </w:rPr>
        <w:footnoteReference w:id="43"/>
      </w:r>
      <w:r w:rsidR="00BC5BFB">
        <w:rPr>
          <w:iCs/>
        </w:rPr>
        <w:t xml:space="preserve"> </w:t>
      </w:r>
      <w:r w:rsidR="008049DF">
        <w:rPr>
          <w:iCs/>
        </w:rPr>
        <w:t>However, a</w:t>
      </w:r>
      <w:r w:rsidR="00BC5BFB">
        <w:rPr>
          <w:iCs/>
        </w:rPr>
        <w:t xml:space="preserve">fter the </w:t>
      </w:r>
      <w:r w:rsidR="002D67EE">
        <w:rPr>
          <w:iCs/>
        </w:rPr>
        <w:t>201</w:t>
      </w:r>
      <w:r w:rsidR="00DB25F6">
        <w:rPr>
          <w:iCs/>
        </w:rPr>
        <w:t>9</w:t>
      </w:r>
      <w:r w:rsidR="00A76EEA">
        <w:rPr>
          <w:iCs/>
        </w:rPr>
        <w:t xml:space="preserve"> </w:t>
      </w:r>
      <w:r w:rsidR="00BC5BFB">
        <w:rPr>
          <w:iCs/>
        </w:rPr>
        <w:t>General Elections, 3</w:t>
      </w:r>
      <w:r w:rsidR="00DB25F6">
        <w:rPr>
          <w:iCs/>
        </w:rPr>
        <w:t>4</w:t>
      </w:r>
      <w:r w:rsidR="00BC5BFB">
        <w:rPr>
          <w:iCs/>
        </w:rPr>
        <w:t xml:space="preserve">% of Members of </w:t>
      </w:r>
      <w:r w:rsidR="00336D00">
        <w:rPr>
          <w:iCs/>
        </w:rPr>
        <w:t>the House of Commons</w:t>
      </w:r>
      <w:r w:rsidR="00BC5BFB">
        <w:rPr>
          <w:iCs/>
        </w:rPr>
        <w:t xml:space="preserve"> are women (up from 29.4% after the general elections in 2015)</w:t>
      </w:r>
      <w:r w:rsidR="00336D00">
        <w:rPr>
          <w:iCs/>
        </w:rPr>
        <w:t xml:space="preserve"> and 2</w:t>
      </w:r>
      <w:r w:rsidR="00DB25F6">
        <w:rPr>
          <w:iCs/>
        </w:rPr>
        <w:t>7</w:t>
      </w:r>
      <w:r w:rsidR="00336D00">
        <w:rPr>
          <w:iCs/>
        </w:rPr>
        <w:t>% of the House of Lords.</w:t>
      </w:r>
      <w:r w:rsidR="00BC5BFB">
        <w:rPr>
          <w:iCs/>
        </w:rPr>
        <w:t xml:space="preserve"> </w:t>
      </w:r>
      <w:r w:rsidR="00336D00">
        <w:rPr>
          <w:iCs/>
        </w:rPr>
        <w:t>Scotland and Wales do better, as 36% of the Scottish Parliament and 4</w:t>
      </w:r>
      <w:r w:rsidR="00E423C0">
        <w:rPr>
          <w:iCs/>
        </w:rPr>
        <w:t>7</w:t>
      </w:r>
      <w:r w:rsidR="00336D00">
        <w:rPr>
          <w:iCs/>
        </w:rPr>
        <w:t>% of the Welsh Assembly are female</w:t>
      </w:r>
      <w:r w:rsidR="00DB25F6">
        <w:rPr>
          <w:iCs/>
        </w:rPr>
        <w:t>.</w:t>
      </w:r>
      <w:r w:rsidR="00DB25F6">
        <w:rPr>
          <w:rStyle w:val="FootnoteReference"/>
          <w:iCs/>
        </w:rPr>
        <w:footnoteReference w:id="44"/>
      </w:r>
    </w:p>
    <w:p w14:paraId="7D26FC35" w14:textId="77777777" w:rsidR="007C0BD2" w:rsidRDefault="007C0BD2" w:rsidP="004647FE">
      <w:pPr>
        <w:rPr>
          <w:iCs/>
        </w:rPr>
      </w:pPr>
    </w:p>
    <w:p w14:paraId="0775BB6E" w14:textId="77777777" w:rsidR="007C0BD2" w:rsidRDefault="00640E2B" w:rsidP="004647FE">
      <w:pPr>
        <w:rPr>
          <w:iCs/>
        </w:rPr>
      </w:pPr>
      <w:r>
        <w:rPr>
          <w:iCs/>
        </w:rPr>
        <w:t>Therefore, it appears that s</w:t>
      </w:r>
      <w:r w:rsidR="00657D58">
        <w:rPr>
          <w:iCs/>
        </w:rPr>
        <w:t xml:space="preserve">ection 104, but also other measures, have had some success in increasing the number of female Members of Parliament but a 50-50% representation </w:t>
      </w:r>
      <w:r>
        <w:rPr>
          <w:iCs/>
        </w:rPr>
        <w:t>has still not been achieved</w:t>
      </w:r>
      <w:r w:rsidR="00657D58">
        <w:rPr>
          <w:iCs/>
        </w:rPr>
        <w:t>.</w:t>
      </w:r>
    </w:p>
    <w:p w14:paraId="5BA687DF" w14:textId="77777777" w:rsidR="007C0BD2" w:rsidRDefault="007C0BD2" w:rsidP="004647FE">
      <w:pPr>
        <w:rPr>
          <w:iCs/>
        </w:rPr>
      </w:pPr>
    </w:p>
    <w:p w14:paraId="5F396950" w14:textId="24D360AF" w:rsidR="007C0BD2" w:rsidRDefault="00657D58" w:rsidP="007C0BD2">
      <w:pPr>
        <w:pStyle w:val="Heading3"/>
      </w:pPr>
      <w:r>
        <w:t xml:space="preserve">Northern Ireland </w:t>
      </w:r>
    </w:p>
    <w:p w14:paraId="5C30D345" w14:textId="77777777" w:rsidR="007C0BD2" w:rsidRPr="007C0BD2" w:rsidRDefault="007C0BD2" w:rsidP="007C0BD2">
      <w:pPr>
        <w:pStyle w:val="BodyText"/>
      </w:pPr>
    </w:p>
    <w:p w14:paraId="23DD4900" w14:textId="54D259FF" w:rsidR="007C0BD2" w:rsidRDefault="00CE5AE5" w:rsidP="00561ECB">
      <w:r>
        <w:t>The provisions for affirmative action in Northern Ireland have been in place since 1989</w:t>
      </w:r>
      <w:r w:rsidR="00640E2B">
        <w:t xml:space="preserve"> and aimed at </w:t>
      </w:r>
      <w:r>
        <w:t xml:space="preserve">fair participation of </w:t>
      </w:r>
      <w:r w:rsidR="00245343">
        <w:t>Catholics and Protestants in employment</w:t>
      </w:r>
      <w:r w:rsidR="00640E2B">
        <w:t>.</w:t>
      </w:r>
      <w:r>
        <w:t xml:space="preserve"> </w:t>
      </w:r>
      <w:r w:rsidR="00640E2B">
        <w:t xml:space="preserve">Employers must </w:t>
      </w:r>
      <w:r w:rsidR="00245343">
        <w:t xml:space="preserve">carry out regular reviews of the composition of their workforce </w:t>
      </w:r>
      <w:r w:rsidR="00640E2B">
        <w:t>and, if necessary, take remedial action to ensure fair participation</w:t>
      </w:r>
      <w:r w:rsidR="00245343">
        <w:t>. The Equality Co</w:t>
      </w:r>
      <w:r w:rsidR="00640E2B">
        <w:t>mmission Northern Ireland</w:t>
      </w:r>
      <w:r w:rsidR="00245343">
        <w:t xml:space="preserve"> can use the reviews and make voluntary or legally enforceable agreements</w:t>
      </w:r>
      <w:r w:rsidR="00EF1C8C">
        <w:t xml:space="preserve"> with employers when necessary. </w:t>
      </w:r>
      <w:r w:rsidR="00245343">
        <w:t xml:space="preserve">According to </w:t>
      </w:r>
      <w:r>
        <w:t xml:space="preserve">McCrudden </w:t>
      </w:r>
      <w:r>
        <w:rPr>
          <w:i/>
        </w:rPr>
        <w:t>et al</w:t>
      </w:r>
      <w:r w:rsidR="00234A1E">
        <w:rPr>
          <w:i/>
        </w:rPr>
        <w:t xml:space="preserve"> </w:t>
      </w:r>
      <w:r w:rsidR="00234A1E">
        <w:t xml:space="preserve">and </w:t>
      </w:r>
      <w:proofErr w:type="spellStart"/>
      <w:r w:rsidR="00234A1E">
        <w:t>Equinet</w:t>
      </w:r>
      <w:proofErr w:type="spellEnd"/>
      <w:r w:rsidR="00234A1E">
        <w:t xml:space="preserve">, </w:t>
      </w:r>
      <w:r w:rsidR="00245343">
        <w:t xml:space="preserve">these agreements </w:t>
      </w:r>
      <w:r>
        <w:t xml:space="preserve">were successful </w:t>
      </w:r>
      <w:r w:rsidR="00245343">
        <w:t>and resulted in</w:t>
      </w:r>
      <w:r>
        <w:t xml:space="preserve"> improvements in fair employment</w:t>
      </w:r>
      <w:r w:rsidR="00245343">
        <w:t xml:space="preserve"> at all levels, including managerial and professional occupations, with </w:t>
      </w:r>
      <w:r>
        <w:t xml:space="preserve">voluntary agreements </w:t>
      </w:r>
      <w:r w:rsidR="00245343">
        <w:t xml:space="preserve">proving to be </w:t>
      </w:r>
      <w:r>
        <w:t>more effective than legally enforceable ag</w:t>
      </w:r>
      <w:r w:rsidR="00245343">
        <w:t>reements</w:t>
      </w:r>
      <w:r>
        <w:t>.</w:t>
      </w:r>
      <w:r>
        <w:rPr>
          <w:rStyle w:val="FootnoteReference"/>
        </w:rPr>
        <w:footnoteReference w:id="45"/>
      </w:r>
      <w:r>
        <w:t xml:space="preserve"> </w:t>
      </w:r>
      <w:r w:rsidR="00561ECB">
        <w:t xml:space="preserve">Hinds and O’Kelly </w:t>
      </w:r>
      <w:r w:rsidR="00203916">
        <w:t>wrote in 2006</w:t>
      </w:r>
      <w:r w:rsidR="00561ECB">
        <w:t xml:space="preserve"> that </w:t>
      </w:r>
      <w:r w:rsidR="00203916">
        <w:t xml:space="preserve">after the introduction of these measures, </w:t>
      </w:r>
      <w:r w:rsidR="00561ECB">
        <w:t>‘the Catholic employment share rose from 38% in 1990 to 41% in 1999, leading to a fall in the employment gap between Catholics and Protestants from 3% to less than 1% during the 1990s’.</w:t>
      </w:r>
      <w:bookmarkStart w:id="11" w:name="_Ref523911160"/>
      <w:r w:rsidR="00561ECB">
        <w:rPr>
          <w:rStyle w:val="FootnoteReference"/>
        </w:rPr>
        <w:footnoteReference w:id="46"/>
      </w:r>
      <w:bookmarkEnd w:id="11"/>
      <w:r w:rsidR="00203916">
        <w:t xml:space="preserve"> These authors suggest that ‘it does seem that directed affirmative action programmes were having a considerable impact’.</w:t>
      </w:r>
      <w:r w:rsidR="00203916">
        <w:rPr>
          <w:rStyle w:val="FootnoteReference"/>
        </w:rPr>
        <w:footnoteReference w:id="47"/>
      </w:r>
      <w:r w:rsidR="00234A1E">
        <w:t xml:space="preserve"> </w:t>
      </w:r>
      <w:r w:rsidR="00203916">
        <w:t xml:space="preserve">In 2016, the </w:t>
      </w:r>
      <w:r w:rsidR="00532BBD">
        <w:t>employment rate</w:t>
      </w:r>
      <w:r w:rsidR="00203916">
        <w:t xml:space="preserve"> for Protestants was 71%, with a 5% unemployment rate, while that for Catholics was 68% with a 7% unemployment rate.</w:t>
      </w:r>
      <w:r w:rsidR="00532BBD">
        <w:rPr>
          <w:rStyle w:val="FootnoteReference"/>
        </w:rPr>
        <w:footnoteReference w:id="48"/>
      </w:r>
      <w:r w:rsidR="00203916">
        <w:t xml:space="preserve"> </w:t>
      </w:r>
      <w:r w:rsidR="00532BBD">
        <w:t>This does, indeed, suggest that the affirmative action measures in Northern Ireland have been successful in raising the employment rate of Catholics in Northern Ireland</w:t>
      </w:r>
      <w:r w:rsidR="00234A1E">
        <w:t xml:space="preserve"> to almost the same level as that of Protestants</w:t>
      </w:r>
      <w:r w:rsidR="00532BBD">
        <w:t>.</w:t>
      </w:r>
    </w:p>
    <w:p w14:paraId="1EB7515A" w14:textId="77777777" w:rsidR="007C0BD2" w:rsidRDefault="007C0BD2" w:rsidP="00561ECB"/>
    <w:p w14:paraId="0DB93D2F" w14:textId="77777777" w:rsidR="007C0BD2" w:rsidRDefault="002F0D6D" w:rsidP="00561ECB">
      <w:r>
        <w:t>The quota</w:t>
      </w:r>
      <w:r w:rsidR="00234A1E">
        <w:t xml:space="preserve"> introduced by section </w:t>
      </w:r>
      <w:r w:rsidR="00532BBD">
        <w:t>46 of the Police (Northern Ireland) Act 2000</w:t>
      </w:r>
      <w:r>
        <w:t xml:space="preserve"> aimed at a representation between 29 and 34% of Catholics in the police force: both of police officers and of support staff.</w:t>
      </w:r>
      <w:r w:rsidRPr="002F0D6D">
        <w:rPr>
          <w:rStyle w:val="FootnoteReference"/>
        </w:rPr>
        <w:t xml:space="preserve"> </w:t>
      </w:r>
      <w:bookmarkStart w:id="12" w:name="_Ref523656018"/>
      <w:r>
        <w:rPr>
          <w:rStyle w:val="FootnoteReference"/>
        </w:rPr>
        <w:footnoteReference w:id="49"/>
      </w:r>
      <w:bookmarkEnd w:id="12"/>
      <w:r>
        <w:t xml:space="preserve"> At the time this measure was introduced, the police force was over 90% Protestant.</w:t>
      </w:r>
      <w:r>
        <w:rPr>
          <w:rStyle w:val="FootnoteReference"/>
        </w:rPr>
        <w:footnoteReference w:id="50"/>
      </w:r>
      <w:r>
        <w:rPr>
          <w:rStyle w:val="FootnoteReference"/>
        </w:rPr>
        <w:t xml:space="preserve"> </w:t>
      </w:r>
      <w:r>
        <w:t xml:space="preserve">This provision had mixed success: the number of </w:t>
      </w:r>
      <w:r w:rsidR="00CF008F">
        <w:t xml:space="preserve">Catholic </w:t>
      </w:r>
      <w:r>
        <w:t>police officers rose from 8% in 2000 to nearly 30% in 2011</w:t>
      </w:r>
      <w:r w:rsidR="00CF008F">
        <w:t>,</w:t>
      </w:r>
      <w:r>
        <w:t xml:space="preserve"> so the aim of the provision was reached for this group; however, the quota was less successful in relation to police support staff, with number</w:t>
      </w:r>
      <w:r w:rsidR="00234A1E">
        <w:t>s</w:t>
      </w:r>
      <w:r>
        <w:t xml:space="preserve"> rising from 12% in 2000 to only 18% in 2011.</w:t>
      </w:r>
      <w:r>
        <w:rPr>
          <w:rStyle w:val="FootnoteReference"/>
        </w:rPr>
        <w:footnoteReference w:id="51"/>
      </w:r>
      <w:r w:rsidR="00CF008F">
        <w:t xml:space="preserve"> Despite not meeting the number of support staff aimed for</w:t>
      </w:r>
      <w:r w:rsidR="00234A1E">
        <w:t>, the</w:t>
      </w:r>
      <w:r w:rsidR="001320F7">
        <w:t xml:space="preserve"> measure ended in 2011. The Government consulted on the measures</w:t>
      </w:r>
      <w:r w:rsidR="00D928BF">
        <w:t xml:space="preserve"> and this showed </w:t>
      </w:r>
      <w:r w:rsidR="00D928BF" w:rsidRPr="00950801">
        <w:t>that 94% of respondents were in favour of ending the provisions and of letting the recruitment of police officers be based solely on merit</w:t>
      </w:r>
      <w:r w:rsidR="00D928BF" w:rsidRPr="004F6086">
        <w:t>.</w:t>
      </w:r>
      <w:r w:rsidR="00D928BF">
        <w:rPr>
          <w:rStyle w:val="FootnoteReference"/>
        </w:rPr>
        <w:footnoteReference w:id="52"/>
      </w:r>
      <w:r w:rsidR="001320F7">
        <w:t xml:space="preserve"> </w:t>
      </w:r>
      <w:r w:rsidR="00D928BF">
        <w:t xml:space="preserve">The Government </w:t>
      </w:r>
      <w:r w:rsidR="001320F7">
        <w:t>concluded that</w:t>
      </w:r>
      <w:r w:rsidR="00D928BF">
        <w:t>,</w:t>
      </w:r>
      <w:r w:rsidR="001320F7">
        <w:t xml:space="preserve"> </w:t>
      </w:r>
      <w:r w:rsidR="00D928BF">
        <w:t xml:space="preserve">with </w:t>
      </w:r>
      <w:r w:rsidR="001320F7">
        <w:t>the transformation in the Police Service Northern Ireland</w:t>
      </w:r>
      <w:r w:rsidR="00D928BF">
        <w:t>,</w:t>
      </w:r>
      <w:r w:rsidR="001320F7">
        <w:t xml:space="preserve"> </w:t>
      </w:r>
      <w:r w:rsidR="00D928BF">
        <w:t>the use of special measures was no longer justified.</w:t>
      </w:r>
      <w:r w:rsidR="00D928BF">
        <w:rPr>
          <w:rStyle w:val="FootnoteReference"/>
        </w:rPr>
        <w:footnoteReference w:id="53"/>
      </w:r>
      <w:r w:rsidR="00D928BF">
        <w:t xml:space="preserve"> </w:t>
      </w:r>
      <w:r w:rsidR="001320F7">
        <w:t xml:space="preserve"> </w:t>
      </w:r>
    </w:p>
    <w:p w14:paraId="79B8AD47" w14:textId="77777777" w:rsidR="007C0BD2" w:rsidRDefault="007C0BD2" w:rsidP="00561ECB"/>
    <w:p w14:paraId="4CA9A9E0" w14:textId="1EB2AB14" w:rsidR="007C0BD2" w:rsidRDefault="00D928BF" w:rsidP="007C0BD2">
      <w:pPr>
        <w:pStyle w:val="Heading3"/>
      </w:pPr>
      <w:r>
        <w:t>South Africa</w:t>
      </w:r>
    </w:p>
    <w:p w14:paraId="4759E6DF" w14:textId="77777777" w:rsidR="007C0BD2" w:rsidRPr="007C0BD2" w:rsidRDefault="007C0BD2" w:rsidP="007C0BD2">
      <w:pPr>
        <w:pStyle w:val="BodyText"/>
      </w:pPr>
    </w:p>
    <w:p w14:paraId="12E8CDD2" w14:textId="321D076D" w:rsidR="007C0BD2" w:rsidRDefault="00FC4DBE" w:rsidP="0051683A">
      <w:r>
        <w:t>A</w:t>
      </w:r>
      <w:r w:rsidR="00D1417D">
        <w:t xml:space="preserve">ffirmative action is </w:t>
      </w:r>
      <w:r w:rsidR="000E411F">
        <w:t>provided for</w:t>
      </w:r>
      <w:r w:rsidR="00D1417D">
        <w:t xml:space="preserve"> in the South African Constitution and is part of th</w:t>
      </w:r>
      <w:r w:rsidR="000E411F">
        <w:t>e principle of equality</w:t>
      </w:r>
      <w:r w:rsidR="00D1417D">
        <w:t xml:space="preserve">. </w:t>
      </w:r>
      <w:r w:rsidR="003A0F5C">
        <w:t>As Ngcobo writes, t</w:t>
      </w:r>
      <w:r w:rsidR="00E9770D">
        <w:t xml:space="preserve">he guarantee of equality </w:t>
      </w:r>
      <w:r w:rsidR="003A0F5C">
        <w:t>has a twofold purpose</w:t>
      </w:r>
      <w:r w:rsidR="00E9770D">
        <w:t xml:space="preserve">: </w:t>
      </w:r>
      <w:r w:rsidR="00601B8E">
        <w:t>to prohibit discrimination and to remedy the historical disadvantage which was the result of the policy of Apartheid.</w:t>
      </w:r>
      <w:r w:rsidR="00601B8E">
        <w:rPr>
          <w:rStyle w:val="FootnoteReference"/>
        </w:rPr>
        <w:footnoteReference w:id="54"/>
      </w:r>
      <w:r w:rsidR="00E9770D">
        <w:t xml:space="preserve"> </w:t>
      </w:r>
      <w:r w:rsidR="00D1417D">
        <w:t xml:space="preserve">Building on the Constitution, the </w:t>
      </w:r>
      <w:r w:rsidR="00BB63B7">
        <w:t>EEA</w:t>
      </w:r>
      <w:r w:rsidR="00D1417D">
        <w:t xml:space="preserve"> 1998 and the P</w:t>
      </w:r>
      <w:r w:rsidR="00BB63B7">
        <w:t>EPUDA</w:t>
      </w:r>
      <w:r w:rsidR="00D1417D">
        <w:t xml:space="preserve"> 2000 also provide for affirmative action</w:t>
      </w:r>
      <w:r w:rsidR="000E411F">
        <w:t>. T</w:t>
      </w:r>
      <w:r w:rsidR="00601B8E">
        <w:t>hese statutes recognise that ‘systemic inequalities and unfair discrimination remain deeply embedded in social structures, practices and attitudes’ and that this undermines ‘the aspiration of our constitutional democracy’</w:t>
      </w:r>
      <w:r w:rsidR="00D1417D">
        <w:t>.</w:t>
      </w:r>
      <w:r w:rsidR="00601B8E">
        <w:rPr>
          <w:rStyle w:val="FootnoteReference"/>
        </w:rPr>
        <w:footnoteReference w:id="55"/>
      </w:r>
      <w:r w:rsidR="00E9770D">
        <w:t xml:space="preserve"> Have these affirmative action provisions been successful </w:t>
      </w:r>
      <w:r w:rsidR="00601B8E">
        <w:t xml:space="preserve">in dealing with </w:t>
      </w:r>
      <w:r w:rsidR="000E411F">
        <w:t xml:space="preserve">the </w:t>
      </w:r>
      <w:r w:rsidR="00601B8E">
        <w:t>historical disadvantage</w:t>
      </w:r>
      <w:r w:rsidR="000E411F">
        <w:t xml:space="preserve"> in South African society</w:t>
      </w:r>
      <w:r w:rsidR="00601B8E">
        <w:t xml:space="preserve">? </w:t>
      </w:r>
      <w:r w:rsidR="00FC63AA">
        <w:t xml:space="preserve">A mixed picture emerges here. </w:t>
      </w:r>
      <w:proofErr w:type="spellStart"/>
      <w:r w:rsidR="00601B8E">
        <w:t>Ncgobo</w:t>
      </w:r>
      <w:proofErr w:type="spellEnd"/>
      <w:r w:rsidR="00601B8E">
        <w:t xml:space="preserve">, who looks at the advancement of women, writes that, compared to the pre-1994 period, </w:t>
      </w:r>
      <w:r w:rsidR="006B5ABA">
        <w:t>there has been significant progress in relation to the number of women in Parliament, due to affirmative action but also to the Constitutional requirement</w:t>
      </w:r>
      <w:r w:rsidR="003A0F5C">
        <w:t>, in section 195(1)(</w:t>
      </w:r>
      <w:proofErr w:type="spellStart"/>
      <w:r w:rsidR="003A0F5C">
        <w:t>i</w:t>
      </w:r>
      <w:proofErr w:type="spellEnd"/>
      <w:r w:rsidR="003A0F5C">
        <w:t>),</w:t>
      </w:r>
      <w:r w:rsidR="006B5ABA">
        <w:t xml:space="preserve"> that all public institutions must </w:t>
      </w:r>
      <w:r w:rsidR="003A0F5C">
        <w:t>be broadly representative of the South African people.</w:t>
      </w:r>
      <w:r w:rsidR="003A0F5C">
        <w:rPr>
          <w:rStyle w:val="FootnoteReference"/>
        </w:rPr>
        <w:footnoteReference w:id="56"/>
      </w:r>
      <w:r w:rsidR="00BB63B7">
        <w:t xml:space="preserve"> </w:t>
      </w:r>
      <w:proofErr w:type="spellStart"/>
      <w:r w:rsidR="00BB63B7">
        <w:t>Dupper</w:t>
      </w:r>
      <w:proofErr w:type="spellEnd"/>
      <w:r w:rsidR="00BB63B7">
        <w:t xml:space="preserve"> writes that the public service has become broadly reflective of national racial demographics, but that this is, according to many</w:t>
      </w:r>
      <w:r w:rsidR="000E411F">
        <w:t>,</w:t>
      </w:r>
      <w:r w:rsidR="00BB63B7">
        <w:t xml:space="preserve"> because people who were not suitably qualified were appointed.</w:t>
      </w:r>
      <w:r w:rsidR="00BB63B7">
        <w:rPr>
          <w:rStyle w:val="FootnoteReference"/>
        </w:rPr>
        <w:footnoteReference w:id="57"/>
      </w:r>
      <w:r w:rsidR="00BB63B7">
        <w:t xml:space="preserve"> Th</w:t>
      </w:r>
      <w:r w:rsidR="00F049D1">
        <w:t>is</w:t>
      </w:r>
      <w:r w:rsidR="00BB63B7">
        <w:t xml:space="preserve"> will be discussed </w:t>
      </w:r>
      <w:r w:rsidR="00F049D1">
        <w:t>in more detail in the next section of this chapter.</w:t>
      </w:r>
    </w:p>
    <w:p w14:paraId="3CDC76DA" w14:textId="77777777" w:rsidR="007C0BD2" w:rsidRDefault="007C0BD2" w:rsidP="0051683A"/>
    <w:p w14:paraId="2F175A73" w14:textId="77777777" w:rsidR="007C0BD2" w:rsidRDefault="005623FB" w:rsidP="0051683A">
      <w:r>
        <w:t xml:space="preserve">On the other hand, </w:t>
      </w:r>
      <w:proofErr w:type="spellStart"/>
      <w:r w:rsidR="00D65828">
        <w:t>Thaver</w:t>
      </w:r>
      <w:proofErr w:type="spellEnd"/>
      <w:r w:rsidR="00D65828">
        <w:t xml:space="preserve">, who </w:t>
      </w:r>
      <w:r>
        <w:t xml:space="preserve">looked at affirmative action in three sectors: </w:t>
      </w:r>
      <w:r w:rsidR="000E411F">
        <w:t xml:space="preserve">in </w:t>
      </w:r>
      <w:r>
        <w:t>the economy, in public services and in higher education</w:t>
      </w:r>
      <w:r w:rsidR="00D65828">
        <w:t>, concludes that ‘the implementation of affirmative action is rather uneven across the three sect</w:t>
      </w:r>
      <w:r w:rsidR="00234A1E">
        <w:t>ors and somewhat small in scale’</w:t>
      </w:r>
      <w:bookmarkStart w:id="13" w:name="_Ref523741942"/>
      <w:r w:rsidR="00234A1E">
        <w:t>.</w:t>
      </w:r>
      <w:r w:rsidR="00D65828">
        <w:rPr>
          <w:rStyle w:val="FootnoteReference"/>
        </w:rPr>
        <w:footnoteReference w:id="58"/>
      </w:r>
      <w:bookmarkEnd w:id="13"/>
      <w:r w:rsidR="00D65828">
        <w:t xml:space="preserve"> She continues that there is some movement in the public service towards </w:t>
      </w:r>
      <w:r w:rsidR="000E411F">
        <w:t>a more</w:t>
      </w:r>
      <w:r w:rsidR="00D65828">
        <w:t xml:space="preserve"> representative bureaucracy that reflects the demographics of society, but women, and especially black women</w:t>
      </w:r>
      <w:r w:rsidR="000E411F">
        <w:t>,</w:t>
      </w:r>
      <w:r w:rsidR="00D65828">
        <w:t xml:space="preserve"> continue to be under represented.</w:t>
      </w:r>
      <w:r w:rsidR="00D65828">
        <w:rPr>
          <w:rStyle w:val="FootnoteReference"/>
        </w:rPr>
        <w:footnoteReference w:id="59"/>
      </w:r>
      <w:r w:rsidR="00D65828" w:rsidRPr="00D65828">
        <w:t xml:space="preserve"> </w:t>
      </w:r>
      <w:r w:rsidR="00AC172D">
        <w:t>S</w:t>
      </w:r>
      <w:r w:rsidR="000E411F">
        <w:t xml:space="preserve">he also explains that, in public service, </w:t>
      </w:r>
      <w:r w:rsidR="00D65828">
        <w:t>‘there continues to be an over representation of white males in the middle to senior level occupational categories’.</w:t>
      </w:r>
      <w:r w:rsidR="00D65828">
        <w:rPr>
          <w:rStyle w:val="FootnoteReference"/>
        </w:rPr>
        <w:footnoteReference w:id="60"/>
      </w:r>
      <w:r w:rsidR="00D65828">
        <w:t xml:space="preserve"> The </w:t>
      </w:r>
      <w:r w:rsidR="00F049D1">
        <w:t>affirmative action in higher education to address the</w:t>
      </w:r>
      <w:r>
        <w:t xml:space="preserve"> repres</w:t>
      </w:r>
      <w:r w:rsidR="004544A2">
        <w:t>entation of designated groups among</w:t>
      </w:r>
      <w:r>
        <w:t xml:space="preserve"> both</w:t>
      </w:r>
      <w:r w:rsidR="00F049D1">
        <w:t xml:space="preserve"> students and staff had some success in relation to students, but were less successful in relation to staff.</w:t>
      </w:r>
      <w:r>
        <w:rPr>
          <w:rStyle w:val="FootnoteReference"/>
        </w:rPr>
        <w:footnoteReference w:id="61"/>
      </w:r>
      <w:r w:rsidR="00F049D1">
        <w:t xml:space="preserve"> </w:t>
      </w:r>
      <w:proofErr w:type="spellStart"/>
      <w:r w:rsidR="00BD6C3D">
        <w:t>Thaver</w:t>
      </w:r>
      <w:proofErr w:type="spellEnd"/>
      <w:r w:rsidR="00D65828">
        <w:t xml:space="preserve"> points out that affirmative action is taking the form of black advancement that seeks to promote the participation and</w:t>
      </w:r>
      <w:r w:rsidR="00234A1E">
        <w:t xml:space="preserve"> contribution of </w:t>
      </w:r>
      <w:r w:rsidR="00AC172D">
        <w:t>b</w:t>
      </w:r>
      <w:r w:rsidR="00D65828">
        <w:t>lack people in the economy</w:t>
      </w:r>
      <w:r w:rsidR="00CF008F">
        <w:t>,</w:t>
      </w:r>
      <w:r w:rsidR="00D65828">
        <w:t xml:space="preserve"> </w:t>
      </w:r>
      <w:r w:rsidR="00FC63AA">
        <w:t>but that more research is needed to show the scale of the impact in terms of the different sections of society.</w:t>
      </w:r>
      <w:r w:rsidR="00FC63AA">
        <w:rPr>
          <w:rStyle w:val="FootnoteReference"/>
        </w:rPr>
        <w:footnoteReference w:id="62"/>
      </w:r>
      <w:r w:rsidR="00FC63AA">
        <w:t xml:space="preserve"> </w:t>
      </w:r>
      <w:proofErr w:type="spellStart"/>
      <w:r w:rsidR="00FC63AA">
        <w:t>Archibong</w:t>
      </w:r>
      <w:proofErr w:type="spellEnd"/>
      <w:r w:rsidR="00FC63AA">
        <w:t xml:space="preserve"> and </w:t>
      </w:r>
      <w:proofErr w:type="spellStart"/>
      <w:r w:rsidR="00FC63AA">
        <w:t>Adejumo</w:t>
      </w:r>
      <w:proofErr w:type="spellEnd"/>
      <w:r w:rsidR="00FC63AA">
        <w:t xml:space="preserve"> report that perceptions of the impact or even benefit of affirmative action in South Africa seem</w:t>
      </w:r>
      <w:r w:rsidR="009E4335">
        <w:t xml:space="preserve"> to vary from person to person.</w:t>
      </w:r>
      <w:bookmarkStart w:id="14" w:name="_Ref523752422"/>
      <w:r w:rsidR="009E4335">
        <w:rPr>
          <w:rStyle w:val="FootnoteReference"/>
        </w:rPr>
        <w:footnoteReference w:id="63"/>
      </w:r>
      <w:bookmarkEnd w:id="14"/>
      <w:r w:rsidR="009E4335">
        <w:t xml:space="preserve"> Participants in their research believed ‘that affirmative action is effective only in terms of meeting numerical targets as quality has not been emphasized in the implementation’ and saw the attempts by the Government in this area as not effective enough.</w:t>
      </w:r>
      <w:r w:rsidR="009E4335">
        <w:rPr>
          <w:rStyle w:val="FootnoteReference"/>
        </w:rPr>
        <w:footnoteReference w:id="64"/>
      </w:r>
      <w:r w:rsidR="006F0CA1">
        <w:t xml:space="preserve"> Burger and Jafta come to the conclusion that ‘the effect of affirmative action policies in reducing the employment or wage g</w:t>
      </w:r>
      <w:r w:rsidR="00234A1E">
        <w:t xml:space="preserve">aps have been marginal at best’ </w:t>
      </w:r>
      <w:r w:rsidR="006F0CA1">
        <w:t>and point out that improved access to education has been more successful.</w:t>
      </w:r>
      <w:r w:rsidR="006F0CA1" w:rsidRPr="00003B4E">
        <w:rPr>
          <w:rStyle w:val="FootnoteReference"/>
          <w:iCs/>
        </w:rPr>
        <w:footnoteReference w:id="65"/>
      </w:r>
    </w:p>
    <w:p w14:paraId="70C85EFC" w14:textId="77777777" w:rsidR="007C0BD2" w:rsidRDefault="007C0BD2" w:rsidP="0051683A"/>
    <w:p w14:paraId="3690362B" w14:textId="77777777" w:rsidR="007C0BD2" w:rsidRDefault="00874B73" w:rsidP="00874B73">
      <w:r>
        <w:t>The Annual Report for 2017-2018 of</w:t>
      </w:r>
      <w:r w:rsidR="00E033A8">
        <w:t xml:space="preserve"> the Commission for Employment Equity </w:t>
      </w:r>
      <w:r>
        <w:t xml:space="preserve">shows that there is still a long way to go. The conclusions are: first, </w:t>
      </w:r>
      <w:r w:rsidR="00E033A8">
        <w:t>there is a lack of equitable representation at the top and senior management level</w:t>
      </w:r>
      <w:r w:rsidR="00234A1E">
        <w:t>, which means that the work</w:t>
      </w:r>
      <w:r w:rsidR="00E033A8">
        <w:t xml:space="preserve">place continues not to be inclusive and representative of the demographic population groups, especially </w:t>
      </w:r>
      <w:r w:rsidR="00234A1E">
        <w:t xml:space="preserve">in relation to the African and </w:t>
      </w:r>
      <w:r w:rsidR="00AC172D">
        <w:t>c</w:t>
      </w:r>
      <w:r w:rsidR="00E033A8">
        <w:t xml:space="preserve">oloured population groups, and in relation to </w:t>
      </w:r>
      <w:r>
        <w:t>gender and disability. Second, the representation of persons with disabilities remains at 1% of the total workforce and their representation at all occupational levels</w:t>
      </w:r>
      <w:r w:rsidR="00396883" w:rsidRPr="00396883">
        <w:t xml:space="preserve"> </w:t>
      </w:r>
      <w:r w:rsidR="00396883">
        <w:t>remains low</w:t>
      </w:r>
      <w:r>
        <w:t>. Third, at all the critical occupational levels, the government</w:t>
      </w:r>
      <w:r w:rsidR="00AC172D">
        <w:t>al</w:t>
      </w:r>
      <w:r>
        <w:t xml:space="preserve"> sector appears to be more transformed than the private sector, particularly in terms of the representativeness of the designated groups. Fourth, the </w:t>
      </w:r>
      <w:r w:rsidR="00AC172D">
        <w:t>w</w:t>
      </w:r>
      <w:r>
        <w:t xml:space="preserve">hite population group and the Indian population group appear to do well in the private sector, particularly at the upper-four occupational levels. </w:t>
      </w:r>
      <w:r w:rsidR="00BD6C3D">
        <w:t>And, last, t</w:t>
      </w:r>
      <w:r>
        <w:t>he representation of the male group</w:t>
      </w:r>
      <w:r w:rsidR="00BD6C3D">
        <w:t xml:space="preserve"> also remains dominant in the private s</w:t>
      </w:r>
      <w:r>
        <w:t>ector</w:t>
      </w:r>
      <w:r w:rsidR="00BD6C3D">
        <w:t>.</w:t>
      </w:r>
      <w:r w:rsidR="00BD6C3D">
        <w:rPr>
          <w:rStyle w:val="FootnoteReference"/>
        </w:rPr>
        <w:footnoteReference w:id="66"/>
      </w:r>
    </w:p>
    <w:p w14:paraId="51F0E8ED" w14:textId="77777777" w:rsidR="007C0BD2" w:rsidRDefault="007C0BD2" w:rsidP="00874B73"/>
    <w:p w14:paraId="155FCEBB" w14:textId="77777777" w:rsidR="007C0BD2" w:rsidRDefault="005C5437" w:rsidP="002B0631">
      <w:r w:rsidRPr="005C5437">
        <w:t>From th</w:t>
      </w:r>
      <w:r>
        <w:t>e above it is clear that</w:t>
      </w:r>
      <w:r w:rsidR="004544A2">
        <w:t>,</w:t>
      </w:r>
      <w:r>
        <w:t xml:space="preserve"> </w:t>
      </w:r>
      <w:r w:rsidR="004544A2">
        <w:t xml:space="preserve">with the exception of the measures for the police force in Northern Ireland, all affirmative action provisions are still in force and </w:t>
      </w:r>
      <w:r w:rsidR="005A4F73">
        <w:t>none of them have yet achieved</w:t>
      </w:r>
      <w:r w:rsidR="004544A2">
        <w:t xml:space="preserve"> what they set out to do. In fact, it can be concluded that these measures, when they have been used, have had </w:t>
      </w:r>
      <w:r w:rsidR="005A4F73">
        <w:t xml:space="preserve">limited and </w:t>
      </w:r>
      <w:r w:rsidR="004544A2">
        <w:t xml:space="preserve">varied success </w:t>
      </w:r>
      <w:r w:rsidR="000D29E7">
        <w:t xml:space="preserve">in achieving a more equal and equitable society. </w:t>
      </w:r>
      <w:r w:rsidR="004544A2">
        <w:t>A number of reasons have been given for this and these will be examined next.</w:t>
      </w:r>
    </w:p>
    <w:p w14:paraId="22249DD9" w14:textId="77777777" w:rsidR="007C0BD2" w:rsidRDefault="007C0BD2" w:rsidP="002B0631"/>
    <w:p w14:paraId="3D3AEB36" w14:textId="4550F784" w:rsidR="007C0BD2" w:rsidRDefault="004544A2" w:rsidP="004544A2">
      <w:pPr>
        <w:pStyle w:val="Heading2"/>
      </w:pPr>
      <w:r>
        <w:t xml:space="preserve">Obstacles to </w:t>
      </w:r>
      <w:r w:rsidR="002C236F">
        <w:t>i</w:t>
      </w:r>
      <w:r>
        <w:t xml:space="preserve">mplementation: </w:t>
      </w:r>
      <w:r w:rsidR="002C236F">
        <w:t>c</w:t>
      </w:r>
      <w:r w:rsidRPr="0050478E">
        <w:t>ontestation</w:t>
      </w:r>
    </w:p>
    <w:p w14:paraId="71C847D3" w14:textId="77777777" w:rsidR="007C0BD2" w:rsidRDefault="007C0BD2" w:rsidP="004544A2">
      <w:pPr>
        <w:pStyle w:val="Heading2"/>
      </w:pPr>
    </w:p>
    <w:p w14:paraId="6470DE47" w14:textId="77777777" w:rsidR="007C0BD2" w:rsidRDefault="00E839A9" w:rsidP="004544A2">
      <w:r>
        <w:t>A number of reasons for the limited use and/or the ineffectiveness of affirmative action measures have been given. Many of these reasons have been put forward in both the UK and in South Africa, but some are more applicable to one of the</w:t>
      </w:r>
      <w:r w:rsidR="00E3008F">
        <w:t xml:space="preserve"> jurisdictions</w:t>
      </w:r>
      <w:r>
        <w:t xml:space="preserve"> than to the others. Where this is the case, it will be pointed out. </w:t>
      </w:r>
    </w:p>
    <w:p w14:paraId="2B785A1F" w14:textId="77777777" w:rsidR="007C0BD2" w:rsidRDefault="007C0BD2" w:rsidP="004544A2"/>
    <w:p w14:paraId="15C2A0AA" w14:textId="77777777" w:rsidR="007C0BD2" w:rsidRDefault="00E839A9" w:rsidP="002B0631">
      <w:r>
        <w:t xml:space="preserve">One of the reasons given for the limited use of the </w:t>
      </w:r>
      <w:r w:rsidR="00D262AE">
        <w:t xml:space="preserve">positive action </w:t>
      </w:r>
      <w:r>
        <w:t>provisions in the British Equality Act 2010</w:t>
      </w:r>
      <w:r w:rsidR="00D262AE">
        <w:t xml:space="preserve"> is the lack of obligation on employers to take such measures.</w:t>
      </w:r>
      <w:r w:rsidR="002A230A">
        <w:t xml:space="preserve"> It must be noted that the positive action provisions in EU law are also permissive rather than mandatory.</w:t>
      </w:r>
      <w:r w:rsidR="00D262AE">
        <w:t xml:space="preserve"> </w:t>
      </w:r>
      <w:r w:rsidR="002A230A">
        <w:t>The provisions</w:t>
      </w:r>
      <w:r w:rsidR="00D262AE">
        <w:t xml:space="preserve"> are</w:t>
      </w:r>
      <w:r w:rsidR="00396883">
        <w:t xml:space="preserve"> thus</w:t>
      </w:r>
      <w:r w:rsidR="00D262AE">
        <w:t xml:space="preserve"> entirely voluntary and this, coupled with a lack of awareness of the provisions and a lack of understanding about what action can be taken, means that employers</w:t>
      </w:r>
      <w:r w:rsidR="002A230A">
        <w:t xml:space="preserve"> in Britain</w:t>
      </w:r>
      <w:r w:rsidR="00D262AE">
        <w:t xml:space="preserve"> are not using affirmative action</w:t>
      </w:r>
      <w:r w:rsidR="002A230A">
        <w:t xml:space="preserve"> very often</w:t>
      </w:r>
      <w:r w:rsidR="00D262AE">
        <w:t xml:space="preserve">. Davies and Robison found that 25% of the employers in their study were not </w:t>
      </w:r>
      <w:r w:rsidR="00E3008F">
        <w:t xml:space="preserve">even </w:t>
      </w:r>
      <w:r w:rsidR="00D262AE">
        <w:t>aware of sections 158 and 159 of the Equality Act 2010</w:t>
      </w:r>
      <w:r w:rsidR="00B5447E">
        <w:t xml:space="preserve"> and only 30% reported that they had used the provisions</w:t>
      </w:r>
      <w:r w:rsidR="00AB221E">
        <w:t xml:space="preserve"> (all of these were public sector education institutions)</w:t>
      </w:r>
      <w:r w:rsidR="003A67DE">
        <w:t>.</w:t>
      </w:r>
      <w:r w:rsidR="003A67DE" w:rsidRPr="00AB221E">
        <w:rPr>
          <w:rStyle w:val="FootnoteReference"/>
        </w:rPr>
        <w:footnoteReference w:id="67"/>
      </w:r>
      <w:r w:rsidR="00AB221E">
        <w:t xml:space="preserve"> Johns </w:t>
      </w:r>
      <w:r w:rsidR="00AB221E" w:rsidRPr="00076BA6">
        <w:rPr>
          <w:i/>
        </w:rPr>
        <w:t>et al</w:t>
      </w:r>
      <w:r w:rsidR="00AB221E">
        <w:t xml:space="preserve"> </w:t>
      </w:r>
      <w:r w:rsidR="00396883">
        <w:t>point out</w:t>
      </w:r>
      <w:r w:rsidR="00AB221E">
        <w:t xml:space="preserve"> the limited publicity and the limited public discussion which the tie-break provision in section 159 of the Equality Act 2010 has received.</w:t>
      </w:r>
      <w:r w:rsidR="00AB221E">
        <w:rPr>
          <w:rStyle w:val="FootnoteReference"/>
        </w:rPr>
        <w:footnoteReference w:id="68"/>
      </w:r>
      <w:r w:rsidR="00396883">
        <w:t xml:space="preserve"> They also comment on the</w:t>
      </w:r>
      <w:r w:rsidR="00AB221E">
        <w:t xml:space="preserve"> ‘way in which it has been “sold” to the general public</w:t>
      </w:r>
      <w:r w:rsidR="00222C55">
        <w:t xml:space="preserve"> as having a potentially unfair outcome for the rejected candidate’.</w:t>
      </w:r>
      <w:r w:rsidR="00222C55">
        <w:rPr>
          <w:rStyle w:val="FootnoteReference"/>
        </w:rPr>
        <w:footnoteReference w:id="69"/>
      </w:r>
      <w:r w:rsidR="00222C55">
        <w:t xml:space="preserve"> This was echoed for the </w:t>
      </w:r>
      <w:r w:rsidR="00076BA6">
        <w:t xml:space="preserve">EU in a </w:t>
      </w:r>
      <w:r w:rsidR="00222C55">
        <w:t>report</w:t>
      </w:r>
      <w:r w:rsidR="00E3008F">
        <w:t>, which mentioned</w:t>
      </w:r>
      <w:r w:rsidR="00222C55">
        <w:t xml:space="preserve"> that ‘negative attitudes held by mainstream society as well as stereotypes and prejudices perpetuated by the media were thought to problematize positive action and render any positive action outcomes as tokenistic’.</w:t>
      </w:r>
      <w:r w:rsidR="00222C55">
        <w:rPr>
          <w:rStyle w:val="FootnoteReference"/>
        </w:rPr>
        <w:footnoteReference w:id="70"/>
      </w:r>
      <w:r w:rsidR="002A230A">
        <w:t xml:space="preserve"> Therefore, the way these measures were reported on in the </w:t>
      </w:r>
      <w:r w:rsidR="00E3008F">
        <w:t xml:space="preserve">media has been rather negative and often based on stereotypes and prejudice and this has not encouraged employers to use them. </w:t>
      </w:r>
    </w:p>
    <w:p w14:paraId="43262377" w14:textId="77777777" w:rsidR="007C0BD2" w:rsidRDefault="007C0BD2" w:rsidP="002B0631"/>
    <w:p w14:paraId="2EFF5988" w14:textId="77777777" w:rsidR="007C0BD2" w:rsidRDefault="002A230A" w:rsidP="009F21CA">
      <w:r>
        <w:t>Th</w:t>
      </w:r>
      <w:r w:rsidR="00716733">
        <w:t>is ‘potential unfair outcome for the rejected candidate’ leads to a fear among employers of laying themselves open to a legal challenge of discrimination against an unsuccessful candidate.</w:t>
      </w:r>
      <w:r w:rsidR="00E3008F">
        <w:t xml:space="preserve"> </w:t>
      </w:r>
      <w:r w:rsidR="00396883">
        <w:t xml:space="preserve">As </w:t>
      </w:r>
      <w:proofErr w:type="spellStart"/>
      <w:r w:rsidR="00396883">
        <w:t>Fredman</w:t>
      </w:r>
      <w:proofErr w:type="spellEnd"/>
      <w:r w:rsidR="00396883">
        <w:t xml:space="preserve"> writes,</w:t>
      </w:r>
      <w:r w:rsidR="00716733">
        <w:t xml:space="preserve"> ‘the line between invidious discrimination and appropriate steps to achieve equality might not always be clear’.</w:t>
      </w:r>
      <w:r w:rsidR="00716733">
        <w:rPr>
          <w:rStyle w:val="FootnoteReference"/>
        </w:rPr>
        <w:footnoteReference w:id="71"/>
      </w:r>
      <w:r w:rsidR="00716733">
        <w:t xml:space="preserve"> </w:t>
      </w:r>
      <w:r w:rsidR="00A45A87">
        <w:t xml:space="preserve">Because </w:t>
      </w:r>
      <w:r w:rsidR="00E3008F">
        <w:t>of this lack of clarity as to what is and what is not allowed</w:t>
      </w:r>
      <w:r w:rsidR="00A45A87">
        <w:t xml:space="preserve">, employers </w:t>
      </w:r>
      <w:r w:rsidR="00E3008F">
        <w:t>are often</w:t>
      </w:r>
      <w:r w:rsidR="00A45A87">
        <w:t xml:space="preserve"> reluctant to use affirmative action measures. </w:t>
      </w:r>
      <w:r w:rsidR="00CD5336">
        <w:t xml:space="preserve">This is compounded by a dearth of case law or good practice examples. </w:t>
      </w:r>
      <w:r w:rsidR="009F21CA">
        <w:t>Davies and Robison conclude:</w:t>
      </w:r>
    </w:p>
    <w:p w14:paraId="292B5BA8" w14:textId="77777777" w:rsidR="007C0BD2" w:rsidRDefault="007C0BD2" w:rsidP="009F21CA"/>
    <w:p w14:paraId="164D6328" w14:textId="77777777" w:rsidR="007C0BD2" w:rsidRDefault="009F21CA" w:rsidP="00941358">
      <w:pPr>
        <w:pStyle w:val="Quote"/>
      </w:pPr>
      <w:r w:rsidRPr="00941358">
        <w:t>it may be that the lack of clarity provided by section 159 (in particular) is failing to provide employers with the confidence they require. Arguably, it may be more appropriate to provide clearer legislative tools in this regard and more overtly remove the risk of ‘reverse discrimination’.</w:t>
      </w:r>
      <w:r w:rsidR="00076BA6">
        <w:rPr>
          <w:rStyle w:val="FootnoteReference"/>
        </w:rPr>
        <w:footnoteReference w:id="72"/>
      </w:r>
    </w:p>
    <w:p w14:paraId="7F68042F" w14:textId="77777777" w:rsidR="007C0BD2" w:rsidRDefault="007C0BD2" w:rsidP="00941358">
      <w:pPr>
        <w:pStyle w:val="Quote"/>
      </w:pPr>
    </w:p>
    <w:p w14:paraId="7D518580" w14:textId="77777777" w:rsidR="007C0BD2" w:rsidRDefault="00716733" w:rsidP="009F21CA">
      <w:r>
        <w:t>This, in turn, is linked to the fact that affirmative action is often seen as going against the principle of equal treatment and thus as unfair for the group who is n</w:t>
      </w:r>
      <w:r w:rsidR="00076BA6">
        <w:t>ot given preferential treatment</w:t>
      </w:r>
      <w:r w:rsidR="00A45A87">
        <w:t xml:space="preserve">. </w:t>
      </w:r>
      <w:r w:rsidR="00434FDA">
        <w:t>These</w:t>
      </w:r>
      <w:r w:rsidR="00A45A87">
        <w:t xml:space="preserve"> measures mean that some groups are given preferential treatment </w:t>
      </w:r>
      <w:r w:rsidR="00EE430A">
        <w:t xml:space="preserve">over </w:t>
      </w:r>
      <w:r w:rsidR="00A45A87">
        <w:t xml:space="preserve">other groups and are thus treated unequally. </w:t>
      </w:r>
      <w:r w:rsidR="00076BA6">
        <w:t xml:space="preserve">This argument is probably the most widely and universally used argument against affirmative action measures. </w:t>
      </w:r>
      <w:r w:rsidR="009F21CA">
        <w:t>The</w:t>
      </w:r>
      <w:r w:rsidR="00F37E2C">
        <w:t xml:space="preserve"> term ‘reverse discrimination’ is often used</w:t>
      </w:r>
      <w:r w:rsidR="00CE008B">
        <w:t xml:space="preserve"> in</w:t>
      </w:r>
      <w:r w:rsidR="00D320BB">
        <w:t xml:space="preserve"> relation to this</w:t>
      </w:r>
      <w:r w:rsidR="00CE008B">
        <w:t xml:space="preserve"> both the UK and South Africa</w:t>
      </w:r>
      <w:r w:rsidR="00F37E2C">
        <w:t>.</w:t>
      </w:r>
      <w:bookmarkStart w:id="15" w:name="_Ref523755065"/>
      <w:r w:rsidR="00CE008B">
        <w:rPr>
          <w:rStyle w:val="FootnoteReference"/>
        </w:rPr>
        <w:footnoteReference w:id="73"/>
      </w:r>
      <w:bookmarkEnd w:id="15"/>
      <w:r w:rsidR="00F37E2C">
        <w:t xml:space="preserve"> This is </w:t>
      </w:r>
      <w:r w:rsidR="00CE008B">
        <w:t xml:space="preserve">also </w:t>
      </w:r>
      <w:r w:rsidR="00F37E2C">
        <w:t xml:space="preserve">often how the public and the press see affirmative action. </w:t>
      </w:r>
      <w:proofErr w:type="spellStart"/>
      <w:r w:rsidR="00F37E2C">
        <w:t>McHarg</w:t>
      </w:r>
      <w:proofErr w:type="spellEnd"/>
      <w:r w:rsidR="00F37E2C">
        <w:t xml:space="preserve"> and Nicolson write that affirmative action is presumed to create </w:t>
      </w:r>
      <w:r w:rsidR="00743837">
        <w:t>‘</w:t>
      </w:r>
      <w:r w:rsidR="00F37E2C">
        <w:t>innocent victims</w:t>
      </w:r>
      <w:r w:rsidR="00743837">
        <w:t>’</w:t>
      </w:r>
      <w:r w:rsidR="00F37E2C">
        <w:t>.</w:t>
      </w:r>
      <w:r w:rsidR="00F37E2C" w:rsidRPr="00F93179">
        <w:rPr>
          <w:rStyle w:val="FootnoteReference"/>
        </w:rPr>
        <w:footnoteReference w:id="74"/>
      </w:r>
      <w:r w:rsidR="00CE008B">
        <w:t xml:space="preserve"> The groups that cannot benefit from af</w:t>
      </w:r>
      <w:r w:rsidR="00E3008F">
        <w:t xml:space="preserve">firmative action </w:t>
      </w:r>
      <w:r w:rsidR="00076BA6">
        <w:t xml:space="preserve">thus </w:t>
      </w:r>
      <w:r w:rsidR="00E3008F">
        <w:t xml:space="preserve">often see affirmative action </w:t>
      </w:r>
      <w:r w:rsidR="006377F3">
        <w:t>as discriminating against them</w:t>
      </w:r>
      <w:r w:rsidR="00E3008F">
        <w:t>.</w:t>
      </w:r>
      <w:r w:rsidR="006377F3">
        <w:rPr>
          <w:rStyle w:val="FootnoteReference"/>
        </w:rPr>
        <w:footnoteReference w:id="75"/>
      </w:r>
      <w:r w:rsidR="00E3008F">
        <w:t xml:space="preserve"> </w:t>
      </w:r>
    </w:p>
    <w:p w14:paraId="54757C34" w14:textId="77777777" w:rsidR="007C0BD2" w:rsidRDefault="007C0BD2" w:rsidP="009F21CA"/>
    <w:p w14:paraId="5435AC86" w14:textId="77777777" w:rsidR="007C0BD2" w:rsidRDefault="006377F3" w:rsidP="00A51061">
      <w:pPr>
        <w:rPr>
          <w:iCs/>
        </w:rPr>
      </w:pPr>
      <w:r>
        <w:t>Another reason for the unwillingness of employers to use affirmative action is, according to Davies and Robison,</w:t>
      </w:r>
      <w:r>
        <w:rPr>
          <w:iCs/>
        </w:rPr>
        <w:t xml:space="preserve"> </w:t>
      </w:r>
      <w:r w:rsidR="00AB221E">
        <w:rPr>
          <w:iCs/>
        </w:rPr>
        <w:t>‘fear of creating segregation and stigmatisation for those benefiting from the “tie-break” measures’.</w:t>
      </w:r>
      <w:r w:rsidR="00AB221E">
        <w:rPr>
          <w:rStyle w:val="FootnoteReference"/>
          <w:iCs/>
        </w:rPr>
        <w:footnoteReference w:id="76"/>
      </w:r>
      <w:r w:rsidR="00AB221E">
        <w:rPr>
          <w:iCs/>
        </w:rPr>
        <w:t xml:space="preserve"> </w:t>
      </w:r>
      <w:r>
        <w:rPr>
          <w:iCs/>
        </w:rPr>
        <w:t xml:space="preserve">Again, this is an argument used in both the UK and South Africa. </w:t>
      </w:r>
      <w:proofErr w:type="spellStart"/>
      <w:r w:rsidR="007E4344">
        <w:rPr>
          <w:iCs/>
        </w:rPr>
        <w:t>O’Cinneide</w:t>
      </w:r>
      <w:proofErr w:type="spellEnd"/>
      <w:r w:rsidR="007E4344">
        <w:rPr>
          <w:iCs/>
        </w:rPr>
        <w:t xml:space="preserve"> explains the segregation argument in the following way:  the use of special measures to help disadvantaged groups ‘maintains social distinctions between groups and contributes to the fracturing of society along religious, ethnic, racial or social lines’.</w:t>
      </w:r>
      <w:r w:rsidR="007E4344">
        <w:rPr>
          <w:rStyle w:val="FootnoteReference"/>
          <w:iCs/>
        </w:rPr>
        <w:footnoteReference w:id="77"/>
      </w:r>
      <w:r w:rsidR="007E4344">
        <w:rPr>
          <w:iCs/>
        </w:rPr>
        <w:t xml:space="preserve"> </w:t>
      </w:r>
      <w:r w:rsidR="00D320BB">
        <w:rPr>
          <w:iCs/>
        </w:rPr>
        <w:t xml:space="preserve">Moreover, it can also accentuate or create </w:t>
      </w:r>
      <w:r w:rsidR="00C457BD">
        <w:rPr>
          <w:iCs/>
        </w:rPr>
        <w:t xml:space="preserve">resentment and </w:t>
      </w:r>
      <w:r w:rsidR="00D320BB">
        <w:rPr>
          <w:iCs/>
        </w:rPr>
        <w:t xml:space="preserve">hostility between </w:t>
      </w:r>
      <w:r w:rsidR="00FF586D">
        <w:rPr>
          <w:iCs/>
        </w:rPr>
        <w:t>those who are given preferential treatment and those who are not, so it could, for exam</w:t>
      </w:r>
      <w:r w:rsidR="00D06E31">
        <w:rPr>
          <w:iCs/>
        </w:rPr>
        <w:t>ple, lead to racial hostility.</w:t>
      </w:r>
    </w:p>
    <w:p w14:paraId="3A2ABDEB" w14:textId="77777777" w:rsidR="007C0BD2" w:rsidRDefault="007C0BD2" w:rsidP="00A51061">
      <w:pPr>
        <w:rPr>
          <w:iCs/>
        </w:rPr>
      </w:pPr>
    </w:p>
    <w:p w14:paraId="0B19F1EE" w14:textId="77777777" w:rsidR="007C0BD2" w:rsidRDefault="00D320BB" w:rsidP="00A51061">
      <w:pPr>
        <w:rPr>
          <w:iCs/>
        </w:rPr>
      </w:pPr>
      <w:r>
        <w:rPr>
          <w:iCs/>
        </w:rPr>
        <w:t xml:space="preserve">Affirmative action is </w:t>
      </w:r>
      <w:r w:rsidR="00FF586D">
        <w:rPr>
          <w:iCs/>
        </w:rPr>
        <w:t xml:space="preserve">also </w:t>
      </w:r>
      <w:r>
        <w:rPr>
          <w:iCs/>
        </w:rPr>
        <w:t xml:space="preserve">said to </w:t>
      </w:r>
      <w:r w:rsidR="00FF586D">
        <w:rPr>
          <w:iCs/>
        </w:rPr>
        <w:t>contravene the merit principle and thus it lowers standards and stigmatises the people benefitting from the measures</w:t>
      </w:r>
      <w:r w:rsidR="006638CB">
        <w:rPr>
          <w:iCs/>
        </w:rPr>
        <w:t>.</w:t>
      </w:r>
      <w:r w:rsidR="00FF586D">
        <w:rPr>
          <w:iCs/>
        </w:rPr>
        <w:t xml:space="preserve"> </w:t>
      </w:r>
      <w:r w:rsidR="00434FDA">
        <w:rPr>
          <w:iCs/>
        </w:rPr>
        <w:t>A number of interrelated issues are at work here. First, the ‘merit’ principle, the principle that people should be selected for promotion or for a job because of merit and not because they have a certain protected characteristic, is often brought forward against affirmative action measures. The problem with this is that what merit is tends to be subjective and is likely to be measured against conventional norms of society, which tends to be those of the dominant group, like white males.</w:t>
      </w:r>
      <w:r w:rsidR="00714EF9">
        <w:rPr>
          <w:iCs/>
        </w:rPr>
        <w:t xml:space="preserve"> It also ignores that some groups, because of past discrimination, have not been able to ‘obtain’ merit, for example, </w:t>
      </w:r>
      <w:r w:rsidR="00E66683">
        <w:rPr>
          <w:iCs/>
        </w:rPr>
        <w:t xml:space="preserve">they could not get </w:t>
      </w:r>
      <w:r w:rsidR="00714EF9">
        <w:rPr>
          <w:iCs/>
        </w:rPr>
        <w:t>higher educational qualifications.</w:t>
      </w:r>
      <w:r w:rsidR="00434FDA">
        <w:rPr>
          <w:iCs/>
        </w:rPr>
        <w:t xml:space="preserve"> </w:t>
      </w:r>
      <w:r w:rsidR="001F3328">
        <w:rPr>
          <w:iCs/>
        </w:rPr>
        <w:t xml:space="preserve">As </w:t>
      </w:r>
      <w:proofErr w:type="spellStart"/>
      <w:r w:rsidR="001F3328">
        <w:rPr>
          <w:iCs/>
        </w:rPr>
        <w:t>McHarg</w:t>
      </w:r>
      <w:proofErr w:type="spellEnd"/>
      <w:r w:rsidR="001F3328">
        <w:rPr>
          <w:iCs/>
        </w:rPr>
        <w:t xml:space="preserve"> and Nicolson write, ‘supporters of affirmative action are not arguing for the abandonment of merit, but for different means of identifying merit or different criteria of what constitutes merit’.</w:t>
      </w:r>
      <w:r w:rsidR="001F3328">
        <w:rPr>
          <w:rStyle w:val="FootnoteReference"/>
          <w:iCs/>
        </w:rPr>
        <w:footnoteReference w:id="78"/>
      </w:r>
      <w:r w:rsidR="001F3328">
        <w:rPr>
          <w:iCs/>
        </w:rPr>
        <w:t xml:space="preserve"> </w:t>
      </w:r>
      <w:r w:rsidR="00CD5336">
        <w:rPr>
          <w:iCs/>
        </w:rPr>
        <w:t xml:space="preserve">And, of course, affirmative action measures often involve training for those people who did not get the opportunity, through past discrimination, to attain educational qualifications. It is suggested that the importance </w:t>
      </w:r>
      <w:r w:rsidR="00017743">
        <w:rPr>
          <w:iCs/>
        </w:rPr>
        <w:t xml:space="preserve">attached to selection on merit is the reason why both UK and EU law only allow preferential treatment when two candidates for employment or for promotion are equally qualified. </w:t>
      </w:r>
    </w:p>
    <w:p w14:paraId="14C4B0D9" w14:textId="77777777" w:rsidR="007C0BD2" w:rsidRDefault="007C0BD2" w:rsidP="00A51061">
      <w:pPr>
        <w:rPr>
          <w:iCs/>
        </w:rPr>
      </w:pPr>
    </w:p>
    <w:p w14:paraId="03BC74CB" w14:textId="77777777" w:rsidR="007C0BD2" w:rsidRDefault="00434FDA" w:rsidP="00A51061">
      <w:pPr>
        <w:rPr>
          <w:iCs/>
        </w:rPr>
      </w:pPr>
      <w:r>
        <w:rPr>
          <w:iCs/>
        </w:rPr>
        <w:t xml:space="preserve">Second, if </w:t>
      </w:r>
      <w:r w:rsidR="001F3328">
        <w:rPr>
          <w:iCs/>
        </w:rPr>
        <w:t>those</w:t>
      </w:r>
      <w:r>
        <w:rPr>
          <w:iCs/>
        </w:rPr>
        <w:t xml:space="preserve"> </w:t>
      </w:r>
      <w:r w:rsidR="00714EF9">
        <w:rPr>
          <w:iCs/>
        </w:rPr>
        <w:t xml:space="preserve">who are, for example, selected for a job, have inferior qualities but were selected because they have </w:t>
      </w:r>
      <w:r>
        <w:rPr>
          <w:iCs/>
        </w:rPr>
        <w:t>a protected characteristic</w:t>
      </w:r>
      <w:r w:rsidR="00714EF9">
        <w:rPr>
          <w:iCs/>
        </w:rPr>
        <w:t xml:space="preserve">, those selected feel patronised and stigmatised. They </w:t>
      </w:r>
      <w:r w:rsidR="003B04AA">
        <w:rPr>
          <w:iCs/>
        </w:rPr>
        <w:t>are seen as ‘undeserving beneficiaries’</w:t>
      </w:r>
      <w:r w:rsidR="003B04AA">
        <w:rPr>
          <w:rStyle w:val="FootnoteReference"/>
          <w:iCs/>
        </w:rPr>
        <w:footnoteReference w:id="79"/>
      </w:r>
      <w:r w:rsidR="00714EF9">
        <w:rPr>
          <w:iCs/>
        </w:rPr>
        <w:t xml:space="preserve"> and this has an impact on them: they feel they did not succeed on their own merits. They do not want to be selected because of their characteristics, but because they are the </w:t>
      </w:r>
      <w:r w:rsidR="00E66683">
        <w:rPr>
          <w:iCs/>
        </w:rPr>
        <w:t>best</w:t>
      </w:r>
      <w:r w:rsidR="00714EF9">
        <w:rPr>
          <w:iCs/>
        </w:rPr>
        <w:t xml:space="preserve"> person for the job. </w:t>
      </w:r>
      <w:r w:rsidR="004411A1">
        <w:rPr>
          <w:iCs/>
        </w:rPr>
        <w:t xml:space="preserve">For example, </w:t>
      </w:r>
      <w:proofErr w:type="spellStart"/>
      <w:r w:rsidR="004411A1">
        <w:rPr>
          <w:iCs/>
        </w:rPr>
        <w:t>Gani</w:t>
      </w:r>
      <w:proofErr w:type="spellEnd"/>
      <w:r w:rsidR="004411A1">
        <w:rPr>
          <w:iCs/>
        </w:rPr>
        <w:t xml:space="preserve"> reports on the thoughts of a number of female candidates</w:t>
      </w:r>
      <w:r w:rsidR="00017743">
        <w:rPr>
          <w:iCs/>
        </w:rPr>
        <w:t xml:space="preserve"> for parliamentary elections</w:t>
      </w:r>
      <w:r w:rsidR="004411A1">
        <w:rPr>
          <w:iCs/>
        </w:rPr>
        <w:t xml:space="preserve"> in 2014.</w:t>
      </w:r>
      <w:r w:rsidR="00D362B4">
        <w:rPr>
          <w:iCs/>
        </w:rPr>
        <w:t xml:space="preserve"> Candidates said: I don’t want to see women just gifted safe seats on a plate; if you can’t do the job you do a disservice to women in parliament; the women elected on all-women shortlists were not terribly effective;</w:t>
      </w:r>
      <w:r w:rsidR="004411A1">
        <w:rPr>
          <w:iCs/>
        </w:rPr>
        <w:t xml:space="preserve"> </w:t>
      </w:r>
      <w:r w:rsidR="00D362B4">
        <w:rPr>
          <w:iCs/>
        </w:rPr>
        <w:t>I want to be there on my own merits, not because I am a woman; are we picked because we are good enough, or just because it is an all women shortlist?</w:t>
      </w:r>
      <w:r w:rsidR="00D362B4">
        <w:rPr>
          <w:rStyle w:val="FootnoteReference"/>
          <w:iCs/>
        </w:rPr>
        <w:footnoteReference w:id="80"/>
      </w:r>
      <w:r w:rsidR="00C457BD">
        <w:rPr>
          <w:iCs/>
        </w:rPr>
        <w:t xml:space="preserve"> </w:t>
      </w:r>
      <w:proofErr w:type="spellStart"/>
      <w:r w:rsidR="00C457BD">
        <w:rPr>
          <w:iCs/>
        </w:rPr>
        <w:t>Thaver</w:t>
      </w:r>
      <w:proofErr w:type="spellEnd"/>
      <w:r w:rsidR="00C457BD">
        <w:rPr>
          <w:iCs/>
        </w:rPr>
        <w:t xml:space="preserve"> writes that ‘in South Africa, affirmative action practices are fraught with tension regarding the best candidate for the job’. She continues that the appointment of a black candidate is seen as an equity, or affirmative action, appointment, with the denotation of tokenism, while the appointment of a white candidate is viewed to be one of merit with the denotation of excellence.</w:t>
      </w:r>
      <w:r w:rsidR="00C457BD">
        <w:rPr>
          <w:rStyle w:val="FootnoteReference"/>
          <w:iCs/>
        </w:rPr>
        <w:footnoteReference w:id="81"/>
      </w:r>
      <w:r w:rsidR="000108A2">
        <w:rPr>
          <w:iCs/>
        </w:rPr>
        <w:t xml:space="preserve"> Goldschmidt, writing about affirmative action for women in general, confirms that those who are given preferential treatment are stigmatised where she writes that ‘it seems to be quite common that women who have been appointed as a result of preferential treatment are perceived as not really good enough and certainly less qualified than the best male candidate’. She points out that the decision as to who has the best qualifications for the job is often influenced, consciously and intentionally or even unconsciously and unintentionally, by stereotyped perceptions.</w:t>
      </w:r>
      <w:r w:rsidR="00C531DB">
        <w:rPr>
          <w:rStyle w:val="FootnoteReference"/>
          <w:iCs/>
        </w:rPr>
        <w:footnoteReference w:id="82"/>
      </w:r>
      <w:r w:rsidR="000108A2">
        <w:rPr>
          <w:iCs/>
        </w:rPr>
        <w:t xml:space="preserve"> </w:t>
      </w:r>
      <w:r w:rsidR="00017743">
        <w:rPr>
          <w:iCs/>
        </w:rPr>
        <w:t xml:space="preserve">This links back to what was said above about who decides what merit is. </w:t>
      </w:r>
    </w:p>
    <w:p w14:paraId="58C12B74" w14:textId="77777777" w:rsidR="007C0BD2" w:rsidRDefault="007C0BD2" w:rsidP="00A51061">
      <w:pPr>
        <w:rPr>
          <w:iCs/>
        </w:rPr>
      </w:pPr>
    </w:p>
    <w:p w14:paraId="0FE54C16" w14:textId="77777777" w:rsidR="007C0BD2" w:rsidRDefault="000108A2" w:rsidP="00A51061">
      <w:pPr>
        <w:rPr>
          <w:iCs/>
        </w:rPr>
      </w:pPr>
      <w:r>
        <w:rPr>
          <w:iCs/>
        </w:rPr>
        <w:t>Third</w:t>
      </w:r>
      <w:r w:rsidR="00714EF9">
        <w:rPr>
          <w:iCs/>
        </w:rPr>
        <w:t xml:space="preserve"> and </w:t>
      </w:r>
      <w:r w:rsidR="00EB54E0">
        <w:rPr>
          <w:iCs/>
        </w:rPr>
        <w:t xml:space="preserve">clearly </w:t>
      </w:r>
      <w:r w:rsidR="00714EF9">
        <w:rPr>
          <w:iCs/>
        </w:rPr>
        <w:t>connected with the second point, if people with inferior qualities are selected, this could lead to a lowering of standards.</w:t>
      </w:r>
      <w:r w:rsidR="00EB54E0">
        <w:rPr>
          <w:iCs/>
        </w:rPr>
        <w:t xml:space="preserve"> As was mentioned, </w:t>
      </w:r>
      <w:proofErr w:type="spellStart"/>
      <w:r w:rsidR="00EB54E0">
        <w:rPr>
          <w:iCs/>
        </w:rPr>
        <w:t>Dupper</w:t>
      </w:r>
      <w:proofErr w:type="spellEnd"/>
      <w:r w:rsidR="00EB54E0">
        <w:rPr>
          <w:iCs/>
        </w:rPr>
        <w:t xml:space="preserve"> writes that the </w:t>
      </w:r>
      <w:r w:rsidR="00017743">
        <w:rPr>
          <w:iCs/>
        </w:rPr>
        <w:t xml:space="preserve">South African </w:t>
      </w:r>
      <w:r w:rsidR="00EB54E0">
        <w:rPr>
          <w:iCs/>
        </w:rPr>
        <w:t>public service is now broadly reflective of national racia</w:t>
      </w:r>
      <w:r w:rsidR="00017743">
        <w:rPr>
          <w:iCs/>
        </w:rPr>
        <w:t>l demographics but that many have</w:t>
      </w:r>
      <w:r w:rsidR="00EB54E0">
        <w:rPr>
          <w:iCs/>
        </w:rPr>
        <w:t xml:space="preserve"> argued that this ‘accelerated drive to transform the public service has often led to the appointment of people who did not have the qualifications, experience, commitment or culture of service needed to be productive and loyal public servants’, in other words, who were not ‘suitably qualified’. This has been, as even the State admitted, ‘severe and even counter-productive’ as it has ‘led to a skills exodus’</w:t>
      </w:r>
      <w:r w:rsidR="00801DE7">
        <w:rPr>
          <w:iCs/>
        </w:rPr>
        <w:t xml:space="preserve"> – </w:t>
      </w:r>
      <w:proofErr w:type="spellStart"/>
      <w:r w:rsidR="00801DE7">
        <w:rPr>
          <w:iCs/>
        </w:rPr>
        <w:t>Archibong</w:t>
      </w:r>
      <w:proofErr w:type="spellEnd"/>
      <w:r w:rsidR="00801DE7">
        <w:rPr>
          <w:iCs/>
        </w:rPr>
        <w:t xml:space="preserve"> and </w:t>
      </w:r>
      <w:proofErr w:type="spellStart"/>
      <w:r w:rsidR="00801DE7">
        <w:rPr>
          <w:iCs/>
        </w:rPr>
        <w:t>Adejumo</w:t>
      </w:r>
      <w:proofErr w:type="spellEnd"/>
      <w:r w:rsidR="00801DE7">
        <w:rPr>
          <w:iCs/>
        </w:rPr>
        <w:t xml:space="preserve"> refer to a ‘bra</w:t>
      </w:r>
      <w:r w:rsidR="00076BA6">
        <w:rPr>
          <w:iCs/>
        </w:rPr>
        <w:t>i</w:t>
      </w:r>
      <w:r w:rsidR="00801DE7">
        <w:rPr>
          <w:iCs/>
        </w:rPr>
        <w:t>n drain’</w:t>
      </w:r>
      <w:r w:rsidR="00801DE7">
        <w:rPr>
          <w:rStyle w:val="FootnoteReference"/>
          <w:iCs/>
        </w:rPr>
        <w:footnoteReference w:id="83"/>
      </w:r>
      <w:r w:rsidR="00801DE7">
        <w:rPr>
          <w:iCs/>
        </w:rPr>
        <w:t xml:space="preserve"> -</w:t>
      </w:r>
      <w:r w:rsidR="00EB54E0">
        <w:rPr>
          <w:iCs/>
        </w:rPr>
        <w:t xml:space="preserve"> and has’ impeded the State’s ability to spend revenue and deliver effective services, something that impacts most adversely on the poorest and most marginalised of the citizenry’.</w:t>
      </w:r>
      <w:r w:rsidR="00EB54E0">
        <w:rPr>
          <w:rStyle w:val="FootnoteReference"/>
          <w:iCs/>
        </w:rPr>
        <w:footnoteReference w:id="84"/>
      </w:r>
      <w:r w:rsidR="00017743">
        <w:rPr>
          <w:iCs/>
        </w:rPr>
        <w:t xml:space="preserve"> </w:t>
      </w:r>
      <w:proofErr w:type="spellStart"/>
      <w:r w:rsidR="00017743">
        <w:rPr>
          <w:iCs/>
        </w:rPr>
        <w:t>Dupper</w:t>
      </w:r>
      <w:proofErr w:type="spellEnd"/>
      <w:r w:rsidR="00017743">
        <w:rPr>
          <w:iCs/>
        </w:rPr>
        <w:t xml:space="preserve"> points out that, under the South African EEA 1998, employers must require at least a ‘threshold of performance’: a candidate must at least be suitably qualified. Appointing someone who is not ‘</w:t>
      </w:r>
      <w:r w:rsidR="00801DE7">
        <w:rPr>
          <w:iCs/>
        </w:rPr>
        <w:t>may lead to a level of performan</w:t>
      </w:r>
      <w:r w:rsidR="00017743">
        <w:rPr>
          <w:iCs/>
        </w:rPr>
        <w:t>ce below the threshold, and surely reinforce rather than change stereotypical and prejudicial views towards members of the disadvantaged group</w:t>
      </w:r>
      <w:r w:rsidR="00801DE7">
        <w:rPr>
          <w:iCs/>
        </w:rPr>
        <w:t>’.</w:t>
      </w:r>
      <w:r w:rsidR="00801DE7">
        <w:rPr>
          <w:rStyle w:val="FootnoteReference"/>
          <w:iCs/>
        </w:rPr>
        <w:footnoteReference w:id="85"/>
      </w:r>
      <w:r w:rsidR="00801DE7">
        <w:rPr>
          <w:iCs/>
        </w:rPr>
        <w:t xml:space="preserve"> </w:t>
      </w:r>
      <w:proofErr w:type="spellStart"/>
      <w:r w:rsidR="00B56C41">
        <w:rPr>
          <w:iCs/>
        </w:rPr>
        <w:t>Archibong</w:t>
      </w:r>
      <w:proofErr w:type="spellEnd"/>
      <w:r w:rsidR="00B56C41">
        <w:rPr>
          <w:iCs/>
        </w:rPr>
        <w:t xml:space="preserve"> and </w:t>
      </w:r>
      <w:proofErr w:type="spellStart"/>
      <w:r w:rsidR="00B56C41">
        <w:rPr>
          <w:iCs/>
        </w:rPr>
        <w:t>Adejumo</w:t>
      </w:r>
      <w:proofErr w:type="spellEnd"/>
      <w:r w:rsidR="00B56C41">
        <w:rPr>
          <w:iCs/>
        </w:rPr>
        <w:t xml:space="preserve"> report that ‘the process [of affirmative action] allows unqualified people to hold key positions based on gender and race’. </w:t>
      </w:r>
      <w:r w:rsidR="00801DE7">
        <w:rPr>
          <w:iCs/>
        </w:rPr>
        <w:t>It is suggested that</w:t>
      </w:r>
      <w:r w:rsidR="00B56C41">
        <w:rPr>
          <w:iCs/>
        </w:rPr>
        <w:t xml:space="preserve"> this reason lies behind the requirement</w:t>
      </w:r>
      <w:r w:rsidR="00B56C41" w:rsidRPr="00B56C41">
        <w:rPr>
          <w:iCs/>
        </w:rPr>
        <w:t xml:space="preserve"> </w:t>
      </w:r>
      <w:r w:rsidR="00B56C41">
        <w:rPr>
          <w:iCs/>
        </w:rPr>
        <w:t xml:space="preserve">in the legislation in South Africa that a candidate is at least ‘suitably qualified’, and behind the condition in UK and EU law that preferential treatment can only be given where candidates are ‘equally qualified’. </w:t>
      </w:r>
    </w:p>
    <w:p w14:paraId="05ACEAF1" w14:textId="77777777" w:rsidR="007C0BD2" w:rsidRDefault="007C0BD2" w:rsidP="00A51061">
      <w:pPr>
        <w:rPr>
          <w:iCs/>
        </w:rPr>
      </w:pPr>
    </w:p>
    <w:p w14:paraId="65496002" w14:textId="77777777" w:rsidR="007C0BD2" w:rsidRDefault="00E66683" w:rsidP="00A51061">
      <w:pPr>
        <w:rPr>
          <w:iCs/>
        </w:rPr>
      </w:pPr>
      <w:r>
        <w:rPr>
          <w:iCs/>
        </w:rPr>
        <w:t xml:space="preserve">Fourth, there is evidence that the people who benefit most from affirmative action are the more privileged persons within the designated group and, thus, this would not promote equality of the disadvantaged group as a whole. </w:t>
      </w:r>
      <w:r w:rsidR="008577E9">
        <w:rPr>
          <w:iCs/>
        </w:rPr>
        <w:t xml:space="preserve">For example, </w:t>
      </w:r>
      <w:proofErr w:type="spellStart"/>
      <w:r w:rsidR="008577E9">
        <w:rPr>
          <w:iCs/>
        </w:rPr>
        <w:t>Archibong</w:t>
      </w:r>
      <w:proofErr w:type="spellEnd"/>
      <w:r w:rsidR="008577E9">
        <w:rPr>
          <w:iCs/>
        </w:rPr>
        <w:t xml:space="preserve"> and </w:t>
      </w:r>
      <w:proofErr w:type="spellStart"/>
      <w:r w:rsidR="008577E9">
        <w:rPr>
          <w:iCs/>
        </w:rPr>
        <w:t>Adejumo</w:t>
      </w:r>
      <w:proofErr w:type="spellEnd"/>
      <w:r w:rsidR="008577E9">
        <w:rPr>
          <w:iCs/>
        </w:rPr>
        <w:t xml:space="preserve"> write that the application of the Broad Based Black Economic Empowerment Act 2003, which aims to help those previously disadvantaged to commence their own trade or to become part of existing businesses, ‘has been criticized as benefiting the Black elite, while the majority of the </w:t>
      </w:r>
      <w:r w:rsidR="00883A88">
        <w:rPr>
          <w:iCs/>
        </w:rPr>
        <w:t>B</w:t>
      </w:r>
      <w:r w:rsidR="008577E9">
        <w:rPr>
          <w:iCs/>
        </w:rPr>
        <w:t>lack population is yet to tap into and realize the opportunities available’.</w:t>
      </w:r>
      <w:r w:rsidR="008577E9">
        <w:rPr>
          <w:rStyle w:val="FootnoteReference"/>
          <w:iCs/>
        </w:rPr>
        <w:footnoteReference w:id="86"/>
      </w:r>
      <w:r w:rsidR="008577E9">
        <w:rPr>
          <w:iCs/>
        </w:rPr>
        <w:t xml:space="preserve"> </w:t>
      </w:r>
      <w:r w:rsidR="00883A88">
        <w:rPr>
          <w:iCs/>
        </w:rPr>
        <w:t>They also point out that ‘the African population has benefited the most in contrast to other racialized groups categorized as black’;</w:t>
      </w:r>
      <w:r w:rsidR="00883A88">
        <w:rPr>
          <w:rStyle w:val="FootnoteReference"/>
          <w:iCs/>
        </w:rPr>
        <w:footnoteReference w:id="87"/>
      </w:r>
      <w:r w:rsidR="00883A88">
        <w:rPr>
          <w:iCs/>
        </w:rPr>
        <w:t xml:space="preserve"> and, that a number of groups are not benefiting, such as disabled people, LGBT people, religious groups, age groups and low socio-economic groups.</w:t>
      </w:r>
      <w:r w:rsidR="00883A88">
        <w:rPr>
          <w:rStyle w:val="FootnoteReference"/>
          <w:iCs/>
        </w:rPr>
        <w:footnoteReference w:id="88"/>
      </w:r>
    </w:p>
    <w:p w14:paraId="55BDE54F" w14:textId="77777777" w:rsidR="007C0BD2" w:rsidRDefault="007C0BD2" w:rsidP="00A51061">
      <w:pPr>
        <w:rPr>
          <w:iCs/>
        </w:rPr>
      </w:pPr>
    </w:p>
    <w:p w14:paraId="43DE6597" w14:textId="77777777" w:rsidR="007C0BD2" w:rsidRDefault="00E66683" w:rsidP="00A51061">
      <w:pPr>
        <w:rPr>
          <w:iCs/>
        </w:rPr>
      </w:pPr>
      <w:r>
        <w:rPr>
          <w:iCs/>
        </w:rPr>
        <w:t xml:space="preserve">All these issues are aggravated in case of quotas, which prescribe a certain number to be reached within a certain time. For example, a legal obligation on all employers with 50 or more employees to employ at least 5% of disabled people by a given date. </w:t>
      </w:r>
      <w:r w:rsidR="006B1212">
        <w:rPr>
          <w:iCs/>
        </w:rPr>
        <w:t>T</w:t>
      </w:r>
      <w:r w:rsidR="00683D52">
        <w:rPr>
          <w:iCs/>
        </w:rPr>
        <w:t>his</w:t>
      </w:r>
      <w:r w:rsidR="00D06E31">
        <w:rPr>
          <w:iCs/>
        </w:rPr>
        <w:t xml:space="preserve"> raises a number of questions: should an employer, if they cannot create new jobs, make some employees redundant and replace them with disabled employees?</w:t>
      </w:r>
      <w:r w:rsidR="00683D52">
        <w:rPr>
          <w:iCs/>
        </w:rPr>
        <w:t xml:space="preserve"> Would this then not lead to a legal challenge from the employees who are made redundant? </w:t>
      </w:r>
      <w:r w:rsidR="00D06E31">
        <w:rPr>
          <w:iCs/>
        </w:rPr>
        <w:t>What if there are not enough disabled people qualified and suitable to do the jobs required</w:t>
      </w:r>
      <w:r w:rsidR="00683D52">
        <w:rPr>
          <w:iCs/>
        </w:rPr>
        <w:t>, should the employer appoint candidates who are not qualified</w:t>
      </w:r>
      <w:r w:rsidR="00D06E31">
        <w:rPr>
          <w:iCs/>
        </w:rPr>
        <w:t xml:space="preserve">? </w:t>
      </w:r>
      <w:r w:rsidR="00683D52">
        <w:rPr>
          <w:iCs/>
        </w:rPr>
        <w:t xml:space="preserve">This would lead to the disabled people being stigmatised and would create resentment against them from other employees. </w:t>
      </w:r>
      <w:r w:rsidR="00D06E31">
        <w:rPr>
          <w:iCs/>
        </w:rPr>
        <w:t>It is su</w:t>
      </w:r>
      <w:r w:rsidR="00683D52">
        <w:rPr>
          <w:iCs/>
        </w:rPr>
        <w:t>bmitt</w:t>
      </w:r>
      <w:r w:rsidR="00D06E31">
        <w:rPr>
          <w:iCs/>
        </w:rPr>
        <w:t>ed that this is the reason why the legislation in the UK, Northern Ireland, the EU and South Africa, do</w:t>
      </w:r>
      <w:r w:rsidR="00683D52">
        <w:rPr>
          <w:iCs/>
        </w:rPr>
        <w:t>es</w:t>
      </w:r>
      <w:r w:rsidR="00D06E31">
        <w:rPr>
          <w:iCs/>
        </w:rPr>
        <w:t xml:space="preserve"> not </w:t>
      </w:r>
      <w:r w:rsidR="00683D52">
        <w:rPr>
          <w:iCs/>
        </w:rPr>
        <w:t>allow for the setting of quotas.</w:t>
      </w:r>
    </w:p>
    <w:p w14:paraId="7112E5A8" w14:textId="77777777" w:rsidR="007C0BD2" w:rsidRDefault="007C0BD2" w:rsidP="00A51061">
      <w:pPr>
        <w:rPr>
          <w:iCs/>
        </w:rPr>
      </w:pPr>
    </w:p>
    <w:p w14:paraId="08E378DD" w14:textId="77777777" w:rsidR="007C0BD2" w:rsidRDefault="0050478E" w:rsidP="0050478E">
      <w:pPr>
        <w:pStyle w:val="Heading2"/>
        <w:rPr>
          <w:rFonts w:cstheme="minorHAnsi"/>
        </w:rPr>
      </w:pPr>
      <w:r w:rsidRPr="0050478E">
        <w:rPr>
          <w:rFonts w:cstheme="minorHAnsi"/>
        </w:rPr>
        <w:t>Special focus: disability</w:t>
      </w:r>
    </w:p>
    <w:p w14:paraId="7D0155B0" w14:textId="77777777" w:rsidR="007C0BD2" w:rsidRDefault="007C0BD2" w:rsidP="0050478E">
      <w:pPr>
        <w:pStyle w:val="Heading2"/>
        <w:rPr>
          <w:rFonts w:cstheme="minorHAnsi"/>
        </w:rPr>
      </w:pPr>
    </w:p>
    <w:p w14:paraId="3ED3B72F" w14:textId="77777777" w:rsidR="007C0BD2" w:rsidRDefault="006B1212" w:rsidP="00F05588">
      <w:r>
        <w:t>T</w:t>
      </w:r>
      <w:r w:rsidR="005B5013">
        <w:t>his section</w:t>
      </w:r>
      <w:r>
        <w:t xml:space="preserve"> examines</w:t>
      </w:r>
      <w:r w:rsidR="005B5013">
        <w:t xml:space="preserve"> the duty to make reasonable adjustments for disabled people, as laid down in the</w:t>
      </w:r>
      <w:r w:rsidR="00BC6AA1">
        <w:t xml:space="preserve"> British</w:t>
      </w:r>
      <w:r w:rsidR="005B5013">
        <w:t xml:space="preserve"> Equality Act 2010. </w:t>
      </w:r>
      <w:r w:rsidR="005C1802">
        <w:t xml:space="preserve">Section 20 of the Act imposes a duty on both employers and service providers to make reasonable adjustments for disabled persons. </w:t>
      </w:r>
      <w:r w:rsidR="005B5013">
        <w:t xml:space="preserve">This provision can be seen as a form of affirmative action for disabled people. It must be noted that </w:t>
      </w:r>
      <w:r w:rsidR="00557275">
        <w:t xml:space="preserve">section 13(3) </w:t>
      </w:r>
      <w:r w:rsidR="005B5013">
        <w:t xml:space="preserve">of the Act </w:t>
      </w:r>
      <w:r w:rsidR="00557275">
        <w:t>determines that treating a disabled person more favourably than a non-disabled person does not constitute discrimination.</w:t>
      </w:r>
      <w:r w:rsidR="006E6D9F">
        <w:t xml:space="preserve"> Moreover, sections 158 and 159 of the Act</w:t>
      </w:r>
      <w:r w:rsidR="008C1BB1">
        <w:t xml:space="preserve"> </w:t>
      </w:r>
      <w:r w:rsidR="006E6D9F">
        <w:t>on positive action are both applicable to disability</w:t>
      </w:r>
      <w:r w:rsidR="008C1BB1">
        <w:t xml:space="preserve"> as well</w:t>
      </w:r>
      <w:r w:rsidR="006E6D9F">
        <w:t>.</w:t>
      </w:r>
      <w:r w:rsidR="00557275">
        <w:t xml:space="preserve"> In EU law, there is a duty of reasonable accommodation and the latter term is used in many other jurisdictions, e.g. the US and Canada</w:t>
      </w:r>
      <w:r w:rsidR="005B5013">
        <w:t>. Here</w:t>
      </w:r>
      <w:r w:rsidR="003E2E06">
        <w:t>,</w:t>
      </w:r>
      <w:r w:rsidR="005B5013">
        <w:t xml:space="preserve"> these terms will be used as having the same meaning.</w:t>
      </w:r>
      <w:r w:rsidR="00483499">
        <w:t xml:space="preserve"> It must be noted that, contrary to sections 158 and 159 which are entirely voluntary, section 20 imposes a clear duty on employers and service providers to provide reasonable adjustments if </w:t>
      </w:r>
      <w:r w:rsidR="005C1802">
        <w:t xml:space="preserve">certain </w:t>
      </w:r>
      <w:r w:rsidR="00483499">
        <w:t>circumstance</w:t>
      </w:r>
      <w:r w:rsidR="003E2E06">
        <w:t>s</w:t>
      </w:r>
      <w:r w:rsidR="00483499">
        <w:t xml:space="preserve"> are present.</w:t>
      </w:r>
    </w:p>
    <w:p w14:paraId="3741444A" w14:textId="77777777" w:rsidR="007C0BD2" w:rsidRDefault="007C0BD2" w:rsidP="00F05588"/>
    <w:p w14:paraId="7555DF0E" w14:textId="77777777" w:rsidR="007C0BD2" w:rsidRDefault="00F05588" w:rsidP="00A51061">
      <w:r>
        <w:t>This duty to make reasonable</w:t>
      </w:r>
      <w:r w:rsidR="003440AB">
        <w:t xml:space="preserve"> adjustments </w:t>
      </w:r>
      <w:r w:rsidR="005B5013">
        <w:t xml:space="preserve">in section 20 of the Equality Act 2010 </w:t>
      </w:r>
      <w:r w:rsidR="004D423C">
        <w:t>arises where a disabled person is put at a substantial disadvantage compared with a person who is not disabled. Reasonable steps must be taken to avoid this disadvantage in three situations. The first covers changes in the way things are done, for example, providing sign-language interpreters or an induction loop at conferences to ensure that deaf or hearing impaired people can take part; the second covers changes in the built environment, like ramps for wheel chair users. The third is the provision of auxiliary services, for example, providing information in large print or Braille.</w:t>
      </w:r>
      <w:r w:rsidR="004D423C">
        <w:rPr>
          <w:rStyle w:val="FootnoteReference"/>
        </w:rPr>
        <w:footnoteReference w:id="89"/>
      </w:r>
      <w:r w:rsidR="004D423C">
        <w:t xml:space="preserve"> </w:t>
      </w:r>
      <w:r w:rsidR="002D5642">
        <w:t xml:space="preserve">Section 21 of the Equality Act 2010 makes clear that a failure to comply with the duty amounts to discrimination against the disabled person. </w:t>
      </w:r>
    </w:p>
    <w:p w14:paraId="5DE58E64" w14:textId="77777777" w:rsidR="007C0BD2" w:rsidRDefault="007C0BD2" w:rsidP="00A51061"/>
    <w:p w14:paraId="74BF47ED" w14:textId="77777777" w:rsidR="007C0BD2" w:rsidRDefault="004E7890" w:rsidP="00A51061">
      <w:pPr>
        <w:rPr>
          <w:rStyle w:val="QuoteChar"/>
          <w:i/>
        </w:rPr>
      </w:pPr>
      <w:r>
        <w:t>EU law also imposes, in a</w:t>
      </w:r>
      <w:r w:rsidR="009E3B90">
        <w:t xml:space="preserve">rticle 5 of </w:t>
      </w:r>
      <w:r w:rsidR="00F05588">
        <w:t>Directive 2000/78/EC</w:t>
      </w:r>
      <w:r>
        <w:t xml:space="preserve">, </w:t>
      </w:r>
      <w:r w:rsidR="00F05588">
        <w:t>a duty of reasonable accommodation on employers in relation to</w:t>
      </w:r>
      <w:r w:rsidR="000D2E9F">
        <w:t xml:space="preserve"> disabled people</w:t>
      </w:r>
      <w:r w:rsidR="003E2E06">
        <w:t xml:space="preserve"> unless this would impose a ‘disproportionate burden’</w:t>
      </w:r>
      <w:r w:rsidR="005A4F73">
        <w:t>.</w:t>
      </w:r>
      <w:r w:rsidR="003E2E06">
        <w:t xml:space="preserve"> And, a</w:t>
      </w:r>
      <w:r w:rsidR="009E3B90">
        <w:t xml:space="preserve">rticle 5(3) of the Convention on the </w:t>
      </w:r>
      <w:r w:rsidR="00F05588">
        <w:t>R</w:t>
      </w:r>
      <w:r w:rsidR="009E3B90">
        <w:t xml:space="preserve">ights of </w:t>
      </w:r>
      <w:r w:rsidR="00F05588">
        <w:t>P</w:t>
      </w:r>
      <w:r w:rsidR="009E3B90">
        <w:t xml:space="preserve">ersons with </w:t>
      </w:r>
      <w:r w:rsidR="00F05588">
        <w:t>D</w:t>
      </w:r>
      <w:r w:rsidR="009E3B90">
        <w:t>isabilities 2006</w:t>
      </w:r>
      <w:r w:rsidR="00941358">
        <w:t xml:space="preserve"> (CRPD)</w:t>
      </w:r>
      <w:r w:rsidR="009E3B90">
        <w:t xml:space="preserve">, which came into effect in 2008, </w:t>
      </w:r>
      <w:r w:rsidR="00F05588">
        <w:t xml:space="preserve">also </w:t>
      </w:r>
      <w:r w:rsidR="006E6D9F">
        <w:t xml:space="preserve">contains the same </w:t>
      </w:r>
      <w:r w:rsidR="003E2E06">
        <w:t>duty. Article 2 CRPD gives a defin</w:t>
      </w:r>
      <w:r w:rsidR="00702647">
        <w:t>i</w:t>
      </w:r>
      <w:r w:rsidR="003E2E06">
        <w:t>tion</w:t>
      </w:r>
      <w:r w:rsidR="00941358">
        <w:t>:</w:t>
      </w:r>
    </w:p>
    <w:p w14:paraId="4A94856B" w14:textId="77777777" w:rsidR="007C0BD2" w:rsidRDefault="007C0BD2" w:rsidP="00A51061">
      <w:pPr>
        <w:rPr>
          <w:rStyle w:val="QuoteChar"/>
          <w:i/>
        </w:rPr>
      </w:pPr>
    </w:p>
    <w:p w14:paraId="4847DE1E" w14:textId="77777777" w:rsidR="007C0BD2" w:rsidRDefault="00941358" w:rsidP="00941358">
      <w:pPr>
        <w:pStyle w:val="Quote"/>
      </w:pPr>
      <w: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006635D2">
        <w:t>.</w:t>
      </w:r>
    </w:p>
    <w:p w14:paraId="3ECF33B6" w14:textId="77777777" w:rsidR="007C0BD2" w:rsidRDefault="007C0BD2" w:rsidP="00941358">
      <w:pPr>
        <w:pStyle w:val="Quote"/>
      </w:pPr>
    </w:p>
    <w:p w14:paraId="434F4252" w14:textId="77777777" w:rsidR="007C0BD2" w:rsidRDefault="00BA04CE" w:rsidP="00F05588">
      <w:r>
        <w:t>The UK</w:t>
      </w:r>
      <w:r w:rsidR="00E423C0">
        <w:t xml:space="preserve"> and</w:t>
      </w:r>
      <w:r w:rsidR="006635D2">
        <w:t xml:space="preserve"> </w:t>
      </w:r>
      <w:r>
        <w:t>the EU have</w:t>
      </w:r>
      <w:r w:rsidR="006635D2">
        <w:t xml:space="preserve"> both</w:t>
      </w:r>
      <w:r>
        <w:t xml:space="preserve"> signed and ratified this Convention.</w:t>
      </w:r>
      <w:r w:rsidR="00E423C0">
        <w:rPr>
          <w:rStyle w:val="FootnoteReference"/>
        </w:rPr>
        <w:footnoteReference w:id="90"/>
      </w:r>
      <w:r>
        <w:t xml:space="preserve"> </w:t>
      </w:r>
      <w:r w:rsidR="00F05588">
        <w:t>A</w:t>
      </w:r>
      <w:r w:rsidR="00941358">
        <w:t>s with the duty in the Equality Act 2010, failure to make reasonable accommodation under both EU law and the CRPD constitutes discrimination.</w:t>
      </w:r>
    </w:p>
    <w:p w14:paraId="2DFF9ECA" w14:textId="77777777" w:rsidR="007C0BD2" w:rsidRDefault="007C0BD2" w:rsidP="00F05588"/>
    <w:p w14:paraId="4E5C9EE3" w14:textId="77777777" w:rsidR="007C0BD2" w:rsidRDefault="00F05588" w:rsidP="00A51061">
      <w:r>
        <w:t xml:space="preserve">There are two provisions for reasonable adjustments: one in Schedule 2 </w:t>
      </w:r>
      <w:r w:rsidR="00941358">
        <w:t xml:space="preserve">of the </w:t>
      </w:r>
      <w:r>
        <w:t>E</w:t>
      </w:r>
      <w:r w:rsidR="00941358">
        <w:t xml:space="preserve">quality </w:t>
      </w:r>
      <w:r>
        <w:t>A</w:t>
      </w:r>
      <w:r w:rsidR="00941358">
        <w:t>ct</w:t>
      </w:r>
      <w:r>
        <w:t xml:space="preserve"> 2010, covering services and public functions and one in schedule 8</w:t>
      </w:r>
      <w:r w:rsidR="00941358">
        <w:t>, covering work. There is a difference between these two areas; the duty on employers to make reasonable adjustments is a reactive duty: it only arises when there is a disabled employee or job applicant and the employer does not have to anticipate the needs of a potential dis</w:t>
      </w:r>
      <w:r w:rsidR="0025141A">
        <w:t>abled employee or job applicant.</w:t>
      </w:r>
      <w:r w:rsidR="000D2E9F">
        <w:t xml:space="preserve"> The employer </w:t>
      </w:r>
      <w:r w:rsidR="00BD6D69">
        <w:t xml:space="preserve">thus </w:t>
      </w:r>
      <w:r w:rsidR="000D2E9F">
        <w:t>does not need to do anything until the</w:t>
      </w:r>
      <w:r w:rsidR="00BD6D69">
        <w:t>re is a disabled job applicant or employee.</w:t>
      </w:r>
      <w:r w:rsidR="0025141A">
        <w:t xml:space="preserve"> The duty covering services and public functions is, generally, proactive: it requires service providers and persons exercising public functions to take proactive steps to make their services accessible, by, for example, providing ramps, hearing loops or allowing acces</w:t>
      </w:r>
      <w:r w:rsidR="005A4F73">
        <w:t>s for guide dogs. The purpose is</w:t>
      </w:r>
      <w:r w:rsidR="0025141A">
        <w:t xml:space="preserve"> to provide access to a service which is as close as is reasonably possible to achieve the standard normally offered to the public at large.</w:t>
      </w:r>
      <w:r w:rsidR="0025141A">
        <w:rPr>
          <w:rStyle w:val="FootnoteReference"/>
        </w:rPr>
        <w:footnoteReference w:id="91"/>
      </w:r>
      <w:r w:rsidR="0025141A">
        <w:t xml:space="preserve"> </w:t>
      </w:r>
    </w:p>
    <w:p w14:paraId="427B84C6" w14:textId="77777777" w:rsidR="007C0BD2" w:rsidRDefault="007C0BD2" w:rsidP="00A51061"/>
    <w:p w14:paraId="36D8CD5F" w14:textId="77777777" w:rsidR="007C0BD2" w:rsidRDefault="0025141A" w:rsidP="0045244A">
      <w:r>
        <w:t>In relation to reasonable adjustm</w:t>
      </w:r>
      <w:r w:rsidR="003E2E06">
        <w:t>ents at work, there is no duty i</w:t>
      </w:r>
      <w:r>
        <w:t>f the employer does</w:t>
      </w:r>
      <w:r w:rsidR="00F05588">
        <w:t xml:space="preserve"> not know or could not be expected to know of the disability. </w:t>
      </w:r>
      <w:r>
        <w:t xml:space="preserve">The </w:t>
      </w:r>
      <w:r w:rsidR="00A23E76">
        <w:t xml:space="preserve">beneficiaries of this </w:t>
      </w:r>
      <w:r>
        <w:t xml:space="preserve">duty </w:t>
      </w:r>
      <w:r w:rsidR="00A23E76">
        <w:t>are</w:t>
      </w:r>
      <w:r>
        <w:t xml:space="preserve"> job appl</w:t>
      </w:r>
      <w:r w:rsidR="0045244A">
        <w:t xml:space="preserve">icants </w:t>
      </w:r>
      <w:r w:rsidR="003E2E06">
        <w:t>and</w:t>
      </w:r>
      <w:r w:rsidR="0045244A">
        <w:t xml:space="preserve"> employees. </w:t>
      </w:r>
      <w:r w:rsidR="00F05588">
        <w:t>The extent of the adjustments needed is subject to a reasonableness test. A number of factors are taken into account in considering whether an employer has made reasonable adjustments: the operational needs of the employer; the interests of other employees; the extent to which the adjustment would prevent the discriminatory effect; the nature of the employer’s activities; the size of the undertaking; and the financial i</w:t>
      </w:r>
      <w:r w:rsidR="0045244A">
        <w:t>mplications of the adjustments. However, the adjustments must be job related and an employer is not required to provide personal care.</w:t>
      </w:r>
      <w:r w:rsidR="0045244A">
        <w:rPr>
          <w:rStyle w:val="FootnoteReference"/>
        </w:rPr>
        <w:footnoteReference w:id="92"/>
      </w:r>
    </w:p>
    <w:p w14:paraId="17A16E28" w14:textId="77777777" w:rsidR="007C0BD2" w:rsidRDefault="007C0BD2" w:rsidP="0045244A"/>
    <w:p w14:paraId="5E60B9CB" w14:textId="77777777" w:rsidR="007C0BD2" w:rsidRDefault="008C1BB1" w:rsidP="007C386F">
      <w:r>
        <w:t>An employer or service provider must thus make reasonable a</w:t>
      </w:r>
      <w:r w:rsidR="003E2E06">
        <w:t>djustments for disabled persons</w:t>
      </w:r>
      <w:r>
        <w:t>. In both UK and EU law, the duty only exists in relation to disabled persons, in contrast to, for example, Canada, where it extends to cover all prohib</w:t>
      </w:r>
      <w:r w:rsidR="00BA04CE">
        <w:t xml:space="preserve">ited grounds of discrimination. </w:t>
      </w:r>
      <w:r w:rsidR="00BC6AA1">
        <w:t xml:space="preserve">This is the same in </w:t>
      </w:r>
      <w:r w:rsidR="00BA04CE">
        <w:t xml:space="preserve"> South Africa, </w:t>
      </w:r>
      <w:r w:rsidR="00BC6AA1">
        <w:t xml:space="preserve">where </w:t>
      </w:r>
      <w:r w:rsidR="00BA04CE">
        <w:t>section 15(2)(c) of the Employment E</w:t>
      </w:r>
      <w:r w:rsidR="003E2E06">
        <w:t>quity Act 1998 determines that a</w:t>
      </w:r>
      <w:r w:rsidR="00BA04CE">
        <w:t>ffirmative action measures implemented by a designated employer must include ‘making reasonable accommodation for people from the designated groups in order to ensure that they enjoy equal opportunities and are equitably represented in the workforce of a designated employer’. Therefore, the duty covers all desig</w:t>
      </w:r>
      <w:r w:rsidR="003E2E06">
        <w:t>nated groups, not only disabled people</w:t>
      </w:r>
      <w:r w:rsidR="00BA04CE">
        <w:t xml:space="preserve">. </w:t>
      </w:r>
      <w:r w:rsidR="009360A2">
        <w:t xml:space="preserve">But, as </w:t>
      </w:r>
      <w:proofErr w:type="spellStart"/>
      <w:r w:rsidR="009360A2">
        <w:t>Archibong</w:t>
      </w:r>
      <w:proofErr w:type="spellEnd"/>
      <w:r w:rsidR="009360A2">
        <w:t xml:space="preserve"> and </w:t>
      </w:r>
      <w:proofErr w:type="spellStart"/>
      <w:r w:rsidR="009360A2">
        <w:t>Adejumo</w:t>
      </w:r>
      <w:proofErr w:type="spellEnd"/>
      <w:r w:rsidR="009360A2">
        <w:t xml:space="preserve"> write, people with disabilities are not benefitting from affirmative action measures, they are still underrepresented in the South African working population and ‘people living with disabilities are heavily marginalised’.</w:t>
      </w:r>
      <w:r w:rsidR="009360A2">
        <w:rPr>
          <w:rStyle w:val="FootnoteReference"/>
        </w:rPr>
        <w:footnoteReference w:id="93"/>
      </w:r>
    </w:p>
    <w:p w14:paraId="270BC049" w14:textId="77777777" w:rsidR="007C0BD2" w:rsidRDefault="007C0BD2" w:rsidP="007C386F"/>
    <w:p w14:paraId="7752CA1C" w14:textId="77777777" w:rsidR="007C0BD2" w:rsidRDefault="00374D83" w:rsidP="007C386F">
      <w:r>
        <w:t xml:space="preserve">Despite these provisions, there is still a </w:t>
      </w:r>
      <w:r w:rsidR="007E66F8">
        <w:t xml:space="preserve">large </w:t>
      </w:r>
      <w:r>
        <w:t>‘disability employment gap’</w:t>
      </w:r>
      <w:r w:rsidR="00702647">
        <w:t xml:space="preserve"> in the UK as well</w:t>
      </w:r>
      <w:r>
        <w:t>.</w:t>
      </w:r>
      <w:r w:rsidRPr="00374D83">
        <w:t xml:space="preserve"> </w:t>
      </w:r>
      <w:r>
        <w:t>In 201</w:t>
      </w:r>
      <w:r w:rsidR="00320498">
        <w:t>9</w:t>
      </w:r>
      <w:r>
        <w:t>, p</w:t>
      </w:r>
      <w:r w:rsidRPr="00374D83">
        <w:t xml:space="preserve">eople with disabilities had an employment rate </w:t>
      </w:r>
      <w:r w:rsidR="00320498">
        <w:t xml:space="preserve">which </w:t>
      </w:r>
      <w:r>
        <w:t xml:space="preserve">h was </w:t>
      </w:r>
      <w:r w:rsidR="00320498">
        <w:t>28.6</w:t>
      </w:r>
      <w:r w:rsidRPr="00374D83">
        <w:t xml:space="preserve"> percentage points lower than people w</w:t>
      </w:r>
      <w:r>
        <w:t>ithout disabilities</w:t>
      </w:r>
      <w:r w:rsidRPr="00374D83">
        <w:t>.</w:t>
      </w:r>
      <w:r>
        <w:rPr>
          <w:rStyle w:val="FootnoteReference"/>
        </w:rPr>
        <w:footnoteReference w:id="94"/>
      </w:r>
      <w:r>
        <w:t xml:space="preserve"> </w:t>
      </w:r>
      <w:r w:rsidR="004319BB">
        <w:t>In 2017, the Conservative Party</w:t>
      </w:r>
      <w:r w:rsidR="00320498">
        <w:t xml:space="preserve">’s election manifesto </w:t>
      </w:r>
      <w:r w:rsidR="004319BB">
        <w:t xml:space="preserve">pledged to get </w:t>
      </w:r>
      <w:r w:rsidR="004319BB" w:rsidRPr="007C386F">
        <w:t>‘1 million more people with disabilities into employment over the next ten years’.</w:t>
      </w:r>
      <w:r w:rsidR="00320498">
        <w:t xml:space="preserve"> To meet this target, 285.000 more disabled people should be in employment by the end of these 10 years, an increase which would represent growth of 7% on current levels.</w:t>
      </w:r>
      <w:r w:rsidR="00320498">
        <w:rPr>
          <w:rStyle w:val="FootnoteReference"/>
        </w:rPr>
        <w:footnoteReference w:id="95"/>
      </w:r>
      <w:r w:rsidR="00BC6AA1">
        <w:t xml:space="preserve"> Between 2013 and 2019, the</w:t>
      </w:r>
      <w:r w:rsidR="004319BB" w:rsidRPr="007C386F">
        <w:t xml:space="preserve"> disability employment gap has </w:t>
      </w:r>
      <w:r w:rsidR="00940AAC">
        <w:t xml:space="preserve">been </w:t>
      </w:r>
      <w:r w:rsidR="004319BB" w:rsidRPr="007C386F">
        <w:t xml:space="preserve">reduced by </w:t>
      </w:r>
      <w:r w:rsidR="00BC6AA1">
        <w:t>5.6</w:t>
      </w:r>
      <w:r w:rsidR="004319BB" w:rsidRPr="007C386F">
        <w:t xml:space="preserve"> percentage points,</w:t>
      </w:r>
      <w:r w:rsidR="00047EDE">
        <w:rPr>
          <w:rStyle w:val="FootnoteReference"/>
        </w:rPr>
        <w:footnoteReference w:id="96"/>
      </w:r>
      <w:r w:rsidR="004319BB" w:rsidRPr="007C386F">
        <w:t xml:space="preserve"> but it is not clear how much the duty to make reasonable adjustments has contributed to get disabled people into jobs.</w:t>
      </w:r>
    </w:p>
    <w:p w14:paraId="08DC7C80" w14:textId="77777777" w:rsidR="007C0BD2" w:rsidRDefault="007C0BD2" w:rsidP="007C386F"/>
    <w:p w14:paraId="688267D4" w14:textId="77777777" w:rsidR="007C0BD2" w:rsidRDefault="0050478E" w:rsidP="009360A2">
      <w:pPr>
        <w:pStyle w:val="Heading2"/>
        <w:rPr>
          <w:rFonts w:cstheme="minorHAnsi"/>
        </w:rPr>
      </w:pPr>
      <w:r w:rsidRPr="0050478E">
        <w:rPr>
          <w:rFonts w:cstheme="minorHAnsi"/>
        </w:rPr>
        <w:t xml:space="preserve">Conclusions: possible alternative models to </w:t>
      </w:r>
      <w:r w:rsidR="00E814C1">
        <w:rPr>
          <w:rFonts w:cstheme="minorHAnsi"/>
        </w:rPr>
        <w:t>reach substantive equality</w:t>
      </w:r>
    </w:p>
    <w:p w14:paraId="0DA0F506" w14:textId="77777777" w:rsidR="007C0BD2" w:rsidRDefault="007C0BD2" w:rsidP="009360A2">
      <w:pPr>
        <w:pStyle w:val="Heading2"/>
        <w:rPr>
          <w:rFonts w:cstheme="minorHAnsi"/>
        </w:rPr>
      </w:pPr>
    </w:p>
    <w:p w14:paraId="3C9763BF" w14:textId="77777777" w:rsidR="007C0BD2" w:rsidRDefault="009360A2" w:rsidP="009360A2">
      <w:r>
        <w:rPr>
          <w:rFonts w:cstheme="minorHAnsi"/>
        </w:rPr>
        <w:t xml:space="preserve"> Of the jurisdictions examined in this chapter</w:t>
      </w:r>
      <w:r w:rsidR="00702647">
        <w:rPr>
          <w:rFonts w:cstheme="minorHAnsi"/>
        </w:rPr>
        <w:t xml:space="preserve"> - </w:t>
      </w:r>
      <w:r w:rsidR="00FF1278">
        <w:rPr>
          <w:rFonts w:cstheme="minorHAnsi"/>
        </w:rPr>
        <w:t>Great Britain, Northern Ireland and South Africa</w:t>
      </w:r>
      <w:r w:rsidR="00702647">
        <w:rPr>
          <w:rFonts w:cstheme="minorHAnsi"/>
        </w:rPr>
        <w:t xml:space="preserve"> -</w:t>
      </w:r>
      <w:r>
        <w:rPr>
          <w:rFonts w:cstheme="minorHAnsi"/>
        </w:rPr>
        <w:t xml:space="preserve"> a </w:t>
      </w:r>
      <w:r w:rsidR="00FF1278">
        <w:rPr>
          <w:rFonts w:cstheme="minorHAnsi"/>
        </w:rPr>
        <w:t>rather mixed</w:t>
      </w:r>
      <w:r>
        <w:rPr>
          <w:rFonts w:cstheme="minorHAnsi"/>
        </w:rPr>
        <w:t xml:space="preserve"> picture emerges as to the efficacy of the affirmative action measures which are provided for in national law</w:t>
      </w:r>
      <w:r w:rsidR="00227A03">
        <w:rPr>
          <w:rFonts w:cstheme="minorHAnsi"/>
        </w:rPr>
        <w:t>s</w:t>
      </w:r>
      <w:r w:rsidR="00FF1278">
        <w:rPr>
          <w:rFonts w:cstheme="minorHAnsi"/>
        </w:rPr>
        <w:t xml:space="preserve">. With the exception of section 46 of the Police (Northern Ireland) Act 2000, all provisions are still in force. It is suggested that despite the difference in approach to affirmative action between the UK and South Africa, the aims of affirmative action, to make a more equitable and representative work force and society, has not </w:t>
      </w:r>
      <w:r w:rsidR="005A4F73">
        <w:rPr>
          <w:rFonts w:cstheme="minorHAnsi"/>
        </w:rPr>
        <w:t>been</w:t>
      </w:r>
      <w:r w:rsidR="00FF1278">
        <w:rPr>
          <w:rFonts w:cstheme="minorHAnsi"/>
        </w:rPr>
        <w:t xml:space="preserve"> achieved yet in either country. </w:t>
      </w:r>
      <w:r w:rsidR="00E814C1">
        <w:rPr>
          <w:rFonts w:cstheme="minorHAnsi"/>
        </w:rPr>
        <w:t xml:space="preserve">The reasons for this mixed picture were analysed and it became clear that similar reasons were brought forward in the UK, in the EU and in South Africa. The importance attached </w:t>
      </w:r>
      <w:r w:rsidR="00702647">
        <w:rPr>
          <w:rFonts w:cstheme="minorHAnsi"/>
        </w:rPr>
        <w:t>generally</w:t>
      </w:r>
      <w:r w:rsidR="00E814C1">
        <w:rPr>
          <w:rFonts w:cstheme="minorHAnsi"/>
        </w:rPr>
        <w:t xml:space="preserve"> to the merit principle played a role in many of these reasons. </w:t>
      </w:r>
      <w:r w:rsidR="00FF1278">
        <w:rPr>
          <w:rFonts w:cstheme="minorHAnsi"/>
        </w:rPr>
        <w:t xml:space="preserve">The most successful affirmative action measures appear to be those in Northern Ireland: the </w:t>
      </w:r>
      <w:r w:rsidR="00E25FB8">
        <w:rPr>
          <w:rFonts w:cstheme="minorHAnsi"/>
        </w:rPr>
        <w:t xml:space="preserve">employment rate of Catholics is now almost as high as that of Protestants; and, the </w:t>
      </w:r>
      <w:r w:rsidR="00FF1278">
        <w:rPr>
          <w:rFonts w:cstheme="minorHAnsi"/>
        </w:rPr>
        <w:t xml:space="preserve">number of </w:t>
      </w:r>
      <w:r w:rsidR="00E25FB8">
        <w:rPr>
          <w:rFonts w:cstheme="minorHAnsi"/>
        </w:rPr>
        <w:t>Catholic</w:t>
      </w:r>
      <w:r w:rsidR="00FF1278">
        <w:rPr>
          <w:rFonts w:cstheme="minorHAnsi"/>
        </w:rPr>
        <w:t xml:space="preserve"> police officers has </w:t>
      </w:r>
      <w:r w:rsidR="00E25FB8">
        <w:rPr>
          <w:rFonts w:cstheme="minorHAnsi"/>
        </w:rPr>
        <w:t>reached the level aimed for. However,</w:t>
      </w:r>
      <w:r w:rsidR="00227A03">
        <w:rPr>
          <w:rFonts w:cstheme="minorHAnsi"/>
        </w:rPr>
        <w:t xml:space="preserve"> </w:t>
      </w:r>
      <w:r w:rsidR="00E25FB8">
        <w:rPr>
          <w:rFonts w:cstheme="minorHAnsi"/>
        </w:rPr>
        <w:t>section 46 has been less successful in relation to police support staff.</w:t>
      </w:r>
      <w:r w:rsidR="00227A03">
        <w:rPr>
          <w:rFonts w:cstheme="minorHAnsi"/>
        </w:rPr>
        <w:t xml:space="preserve"> </w:t>
      </w:r>
      <w:r w:rsidR="00E25FB8">
        <w:rPr>
          <w:rFonts w:cstheme="minorHAnsi"/>
        </w:rPr>
        <w:t>It is suggested that s</w:t>
      </w:r>
      <w:r w:rsidR="00E25FB8">
        <w:t xml:space="preserve">ection 4 of the Fair Employment (Northern Ireland) Order 1998 could be seen as an example of good practice, but a caveat needs to be added. The affirmative action measures in Northern Ireland were very much based on the specific situation </w:t>
      </w:r>
      <w:r w:rsidR="00227A03">
        <w:t>there</w:t>
      </w:r>
      <w:r w:rsidR="00E25FB8">
        <w:t xml:space="preserve"> and targeted only two distinct religious communities. This indicates that </w:t>
      </w:r>
      <w:r w:rsidR="00227A03">
        <w:t xml:space="preserve">such </w:t>
      </w:r>
      <w:r w:rsidR="00E25FB8">
        <w:t xml:space="preserve">measures are often very </w:t>
      </w:r>
      <w:r w:rsidR="00E814C1">
        <w:t xml:space="preserve">situation specific and it might, therefore, not </w:t>
      </w:r>
      <w:r w:rsidR="00702647">
        <w:t xml:space="preserve">be </w:t>
      </w:r>
      <w:r w:rsidR="00E814C1">
        <w:t>quite so easy to transplant the Northern Ireland pro</w:t>
      </w:r>
      <w:r w:rsidR="001832BA">
        <w:t>visions to other countries</w:t>
      </w:r>
      <w:r w:rsidR="00227A03">
        <w:t xml:space="preserve">. However, </w:t>
      </w:r>
      <w:r w:rsidR="001832BA">
        <w:t xml:space="preserve">with this in mind, </w:t>
      </w:r>
      <w:r w:rsidR="00227A03">
        <w:t xml:space="preserve">a closer inspection of these provisions would be warranted. </w:t>
      </w:r>
    </w:p>
    <w:p w14:paraId="72E49555" w14:textId="77777777" w:rsidR="007C0BD2" w:rsidRDefault="007C0BD2" w:rsidP="009360A2"/>
    <w:p w14:paraId="2C2EBDF2" w14:textId="77777777" w:rsidR="007C0BD2" w:rsidRDefault="00702647" w:rsidP="00FE1487">
      <w:r>
        <w:t>Another measure</w:t>
      </w:r>
      <w:r w:rsidR="00FE1487">
        <w:t xml:space="preserve"> that would warrant closer examination is a duty to mainstream equality as it exists in the EU and in the British Equality Act 2010. Mainstreaming equality means that an authority or organisation must take equality into account in everything they do, including decision making, service delivery and employment. It means that they need to consider the impact of their actions on equality and on the groups protected by anti-discrimination laws. It is suggested that such a duty would provide an alternative but complementary way of achieving substantive equality. For example, </w:t>
      </w:r>
      <w:r w:rsidR="00FE1487">
        <w:rPr>
          <w:iCs/>
        </w:rPr>
        <w:t>s</w:t>
      </w:r>
      <w:r w:rsidR="00A50184">
        <w:rPr>
          <w:iCs/>
        </w:rPr>
        <w:t>ection</w:t>
      </w:r>
      <w:r w:rsidR="00A50184" w:rsidRPr="00A50184">
        <w:rPr>
          <w:iCs/>
        </w:rPr>
        <w:t xml:space="preserve"> 149 </w:t>
      </w:r>
      <w:r w:rsidR="00A50184">
        <w:rPr>
          <w:iCs/>
        </w:rPr>
        <w:t xml:space="preserve">of the </w:t>
      </w:r>
      <w:r w:rsidR="00A50184" w:rsidRPr="00A50184">
        <w:rPr>
          <w:iCs/>
        </w:rPr>
        <w:t>Equality Act 2010 determines that</w:t>
      </w:r>
      <w:r w:rsidR="00A50184">
        <w:rPr>
          <w:iCs/>
        </w:rPr>
        <w:t xml:space="preserve"> a public authority must, in the exercise of its functions</w:t>
      </w:r>
      <w:r w:rsidR="00227A03">
        <w:rPr>
          <w:iCs/>
        </w:rPr>
        <w:t>,</w:t>
      </w:r>
      <w:r w:rsidR="00A50184">
        <w:rPr>
          <w:iCs/>
        </w:rPr>
        <w:t xml:space="preserve"> have due regard to the need to eliminate discrimination and oth</w:t>
      </w:r>
      <w:r w:rsidR="00FE1487">
        <w:rPr>
          <w:iCs/>
        </w:rPr>
        <w:t>er prohibited conduct</w:t>
      </w:r>
      <w:r w:rsidR="00A50184">
        <w:rPr>
          <w:iCs/>
        </w:rPr>
        <w:t xml:space="preserve">; </w:t>
      </w:r>
      <w:r w:rsidR="00227A03">
        <w:rPr>
          <w:iCs/>
        </w:rPr>
        <w:t xml:space="preserve">to </w:t>
      </w:r>
      <w:r w:rsidR="00A50184">
        <w:rPr>
          <w:iCs/>
        </w:rPr>
        <w:t>advance equality of opportunity between</w:t>
      </w:r>
      <w:r w:rsidR="00A50184" w:rsidRPr="00A50184">
        <w:rPr>
          <w:iCs/>
        </w:rPr>
        <w:t xml:space="preserve"> persons who share a relevant protected characteristic and persons who do not share it;</w:t>
      </w:r>
      <w:r w:rsidR="00A50184">
        <w:rPr>
          <w:iCs/>
        </w:rPr>
        <w:t xml:space="preserve"> and, </w:t>
      </w:r>
      <w:r w:rsidR="00227A03">
        <w:rPr>
          <w:iCs/>
        </w:rPr>
        <w:t xml:space="preserve">to </w:t>
      </w:r>
      <w:r w:rsidR="00A50184">
        <w:rPr>
          <w:iCs/>
        </w:rPr>
        <w:t>foster good relations between these groups.</w:t>
      </w:r>
      <w:r w:rsidR="001F40F8">
        <w:rPr>
          <w:iCs/>
        </w:rPr>
        <w:t xml:space="preserve"> </w:t>
      </w:r>
      <w:r w:rsidR="00FE1487">
        <w:rPr>
          <w:iCs/>
        </w:rPr>
        <w:t xml:space="preserve">This could involve </w:t>
      </w:r>
      <w:r w:rsidR="00A50184">
        <w:t>treating some perso</w:t>
      </w:r>
      <w:r w:rsidR="00FE1487">
        <w:t>ns more favourably than others.</w:t>
      </w:r>
    </w:p>
    <w:p w14:paraId="4641D9E3" w14:textId="77777777" w:rsidR="007C0BD2" w:rsidRDefault="007C0BD2" w:rsidP="00FE1487"/>
    <w:p w14:paraId="05D70B72" w14:textId="77777777" w:rsidR="007C0BD2" w:rsidRDefault="00A10296" w:rsidP="00A51061">
      <w:r>
        <w:t xml:space="preserve">Hinds and O’Kelly write that equality mainstreaming refers to </w:t>
      </w:r>
      <w:r w:rsidR="00AE7EA7">
        <w:t>‘</w:t>
      </w:r>
      <w:r>
        <w:t>equality programmes that aim towards the development of a more equal society in general</w:t>
      </w:r>
      <w:r w:rsidR="00AE7EA7">
        <w:t>,</w:t>
      </w:r>
      <w:r>
        <w:t xml:space="preserve"> t</w:t>
      </w:r>
      <w:r w:rsidR="00AE7EA7">
        <w:t>h</w:t>
      </w:r>
      <w:r>
        <w:t xml:space="preserve">rough the mainstreaming of equality in service outcomes </w:t>
      </w:r>
      <w:r w:rsidR="003E4AFF">
        <w:t>of public sector and public</w:t>
      </w:r>
      <w:r w:rsidR="00AE7EA7">
        <w:t>ly</w:t>
      </w:r>
      <w:r w:rsidR="003E4AFF">
        <w:t xml:space="preserve"> funded bodies’ and that affirmative action and equality mainstreaming </w:t>
      </w:r>
      <w:r w:rsidR="00AE7EA7">
        <w:t>‘</w:t>
      </w:r>
      <w:r w:rsidR="003E4AFF">
        <w:t>are nei</w:t>
      </w:r>
      <w:r w:rsidR="00AE7EA7">
        <w:t>ther opposed to each other, nor</w:t>
      </w:r>
      <w:r w:rsidR="003E4AFF">
        <w:t xml:space="preserve"> entirely discrete’ but that they ‘lie in a continuous relationship to each other, differing in emphasis and degree rather than being categorically distinctive’.</w:t>
      </w:r>
      <w:r w:rsidR="003E4AFF">
        <w:rPr>
          <w:rStyle w:val="FootnoteReference"/>
        </w:rPr>
        <w:footnoteReference w:id="97"/>
      </w:r>
      <w:r w:rsidR="003E4AFF">
        <w:t xml:space="preserve"> </w:t>
      </w:r>
      <w:r w:rsidR="00FE1487">
        <w:t>Equality mainstreaming is</w:t>
      </w:r>
      <w:r w:rsidR="00227A03">
        <w:t xml:space="preserve">, therefore, a useful addition to affirmative action measures in the quest for substantive equality. It can be argued that a duty to mainstream equality is part of the equality guarantee in </w:t>
      </w:r>
      <w:r w:rsidR="00624A67">
        <w:t xml:space="preserve">article 9 </w:t>
      </w:r>
      <w:r w:rsidR="00227A03">
        <w:t>the South African Constitution</w:t>
      </w:r>
      <w:r w:rsidR="00624A67">
        <w:t>, which states that equality includes the full and equal enjoyment of all rights and freedoms.</w:t>
      </w:r>
    </w:p>
    <w:p w14:paraId="6750A49E" w14:textId="77777777" w:rsidR="007C0BD2" w:rsidRDefault="007C0BD2" w:rsidP="00A51061"/>
    <w:p w14:paraId="6D6555FB" w14:textId="77777777" w:rsidR="007C0BD2" w:rsidRDefault="00624A67" w:rsidP="007D3A5E">
      <w:pPr>
        <w:rPr>
          <w:iCs/>
        </w:rPr>
      </w:pPr>
      <w:r>
        <w:rPr>
          <w:iCs/>
        </w:rPr>
        <w:t>Affirmative action measures and equality mainstreaming duties laid down in law can both contribute towards realising equality in practice for all people. However, as the section on efficacy of the former shows, they need to be used more widely.</w:t>
      </w:r>
      <w:r w:rsidR="002D18D3">
        <w:rPr>
          <w:iCs/>
        </w:rPr>
        <w:t xml:space="preserve"> In designing and developing such measure</w:t>
      </w:r>
      <w:r w:rsidR="005A4F73">
        <w:rPr>
          <w:iCs/>
        </w:rPr>
        <w:t>s,</w:t>
      </w:r>
      <w:r w:rsidR="002D18D3">
        <w:rPr>
          <w:iCs/>
        </w:rPr>
        <w:t xml:space="preserve"> the obstacles and contestation discussed above must be kept in mind. Moreover, these measures </w:t>
      </w:r>
      <w:r>
        <w:rPr>
          <w:iCs/>
        </w:rPr>
        <w:t xml:space="preserve">are also only a part of the quest for greater equality and must be </w:t>
      </w:r>
      <w:r w:rsidR="002D18D3">
        <w:rPr>
          <w:iCs/>
        </w:rPr>
        <w:t xml:space="preserve">combined with and supported by </w:t>
      </w:r>
      <w:r>
        <w:rPr>
          <w:iCs/>
        </w:rPr>
        <w:t>economi</w:t>
      </w:r>
      <w:r w:rsidR="002D18D3">
        <w:rPr>
          <w:iCs/>
        </w:rPr>
        <w:t xml:space="preserve">c and social </w:t>
      </w:r>
      <w:r>
        <w:rPr>
          <w:iCs/>
        </w:rPr>
        <w:t>policies</w:t>
      </w:r>
      <w:r w:rsidR="002D18D3">
        <w:rPr>
          <w:iCs/>
        </w:rPr>
        <w:t xml:space="preserve"> as well as measures in the field of education and awareness-raising campaigns. We may never reach ‘full equality in practice’ but that does not mean we should give up trying. </w:t>
      </w:r>
    </w:p>
    <w:p w14:paraId="226276CE" w14:textId="50751D7E" w:rsidR="00F06D1E" w:rsidRPr="00702647" w:rsidRDefault="00F06D1E" w:rsidP="007D3A5E">
      <w:pPr>
        <w:rPr>
          <w:iCs/>
        </w:rPr>
      </w:pPr>
    </w:p>
    <w:sectPr w:rsidR="00F06D1E" w:rsidRPr="0070264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515CA" w14:textId="77777777" w:rsidR="007E223C" w:rsidRDefault="007E223C" w:rsidP="007D3A5E">
      <w:r>
        <w:separator/>
      </w:r>
    </w:p>
  </w:endnote>
  <w:endnote w:type="continuationSeparator" w:id="0">
    <w:p w14:paraId="1D060FE9" w14:textId="77777777" w:rsidR="007E223C" w:rsidRDefault="007E223C" w:rsidP="007D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244359"/>
      <w:docPartObj>
        <w:docPartGallery w:val="Page Numbers (Bottom of Page)"/>
        <w:docPartUnique/>
      </w:docPartObj>
    </w:sdtPr>
    <w:sdtEndPr>
      <w:rPr>
        <w:noProof/>
      </w:rPr>
    </w:sdtEndPr>
    <w:sdtContent>
      <w:p w14:paraId="7FC54923" w14:textId="6DA7F977" w:rsidR="007E223C" w:rsidRDefault="007E223C">
        <w:pPr>
          <w:pStyle w:val="Footer"/>
          <w:jc w:val="center"/>
        </w:pPr>
        <w:r>
          <w:fldChar w:fldCharType="begin"/>
        </w:r>
        <w:r>
          <w:instrText xml:space="preserve"> PAGE   \* MERGEFORMAT </w:instrText>
        </w:r>
        <w:r>
          <w:fldChar w:fldCharType="separate"/>
        </w:r>
        <w:r w:rsidR="00E13C6F">
          <w:rPr>
            <w:noProof/>
          </w:rPr>
          <w:t>30</w:t>
        </w:r>
        <w:r>
          <w:rPr>
            <w:noProof/>
          </w:rPr>
          <w:fldChar w:fldCharType="end"/>
        </w:r>
      </w:p>
    </w:sdtContent>
  </w:sdt>
  <w:p w14:paraId="4E93B2E8" w14:textId="77777777" w:rsidR="007E223C" w:rsidRDefault="007E2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A9ACB" w14:textId="77777777" w:rsidR="007E223C" w:rsidRDefault="007E223C" w:rsidP="007D3A5E">
      <w:r>
        <w:separator/>
      </w:r>
    </w:p>
  </w:footnote>
  <w:footnote w:type="continuationSeparator" w:id="0">
    <w:p w14:paraId="575AA472" w14:textId="77777777" w:rsidR="007E223C" w:rsidRDefault="007E223C" w:rsidP="007D3A5E">
      <w:r>
        <w:continuationSeparator/>
      </w:r>
    </w:p>
  </w:footnote>
  <w:footnote w:id="1">
    <w:p w14:paraId="62258929" w14:textId="18A75BB3" w:rsidR="007E223C" w:rsidRPr="0039380E" w:rsidRDefault="007E223C" w:rsidP="003F6F8E">
      <w:pPr>
        <w:pStyle w:val="footnote"/>
      </w:pPr>
      <w:r>
        <w:rPr>
          <w:rStyle w:val="FootnoteReference"/>
        </w:rPr>
        <w:footnoteRef/>
      </w:r>
      <w:r>
        <w:t xml:space="preserve"> Kennedy-</w:t>
      </w:r>
      <w:proofErr w:type="spellStart"/>
      <w:r>
        <w:t>Dubourdieu</w:t>
      </w:r>
      <w:proofErr w:type="spellEnd"/>
      <w:r>
        <w:t>, E. Introduction. In: Kennedy-</w:t>
      </w:r>
      <w:proofErr w:type="spellStart"/>
      <w:r>
        <w:t>Dubourdieu</w:t>
      </w:r>
      <w:proofErr w:type="spellEnd"/>
      <w:r>
        <w:t xml:space="preserve">, E. (Ed.) </w:t>
      </w:r>
      <w:r>
        <w:rPr>
          <w:i/>
        </w:rPr>
        <w:t xml:space="preserve">Race and inequality. </w:t>
      </w:r>
      <w:r>
        <w:t>London/New York: Routledge/Taylor &amp; Francis Group, 2006. P. 1.</w:t>
      </w:r>
    </w:p>
  </w:footnote>
  <w:footnote w:id="2">
    <w:p w14:paraId="550BD5CA" w14:textId="77777777" w:rsidR="007E223C" w:rsidRDefault="007E223C" w:rsidP="003F6F8E">
      <w:pPr>
        <w:pStyle w:val="footnote"/>
      </w:pPr>
      <w:r>
        <w:rPr>
          <w:rStyle w:val="FootnoteReference"/>
        </w:rPr>
        <w:footnoteRef/>
      </w:r>
      <w:r>
        <w:t xml:space="preserve"> Ibid.</w:t>
      </w:r>
    </w:p>
  </w:footnote>
  <w:footnote w:id="3">
    <w:p w14:paraId="421595CD" w14:textId="7DA943A4" w:rsidR="007E223C" w:rsidRDefault="007E223C" w:rsidP="003F6F8E">
      <w:pPr>
        <w:pStyle w:val="footnote"/>
      </w:pPr>
      <w:r>
        <w:rPr>
          <w:rStyle w:val="FootnoteReference"/>
        </w:rPr>
        <w:footnoteRef/>
      </w:r>
      <w:r>
        <w:t xml:space="preserve"> Howard, E. Affirmative a</w:t>
      </w:r>
      <w:r w:rsidRPr="00836D76">
        <w:t>ction</w:t>
      </w:r>
      <w:r>
        <w:t xml:space="preserve"> in the UK and in South Africa. </w:t>
      </w:r>
      <w:r w:rsidRPr="006A0B54">
        <w:rPr>
          <w:lang w:val="es-ES"/>
        </w:rPr>
        <w:t xml:space="preserve">In: </w:t>
      </w:r>
      <w:proofErr w:type="spellStart"/>
      <w:r w:rsidRPr="006A0B54">
        <w:rPr>
          <w:lang w:val="es-ES"/>
        </w:rPr>
        <w:t>Baez</w:t>
      </w:r>
      <w:proofErr w:type="spellEnd"/>
      <w:r w:rsidRPr="006A0B54">
        <w:rPr>
          <w:lang w:val="es-ES"/>
        </w:rPr>
        <w:t xml:space="preserve">, N; </w:t>
      </w:r>
      <w:proofErr w:type="spellStart"/>
      <w:r w:rsidRPr="006A0B54">
        <w:rPr>
          <w:lang w:val="es-ES"/>
        </w:rPr>
        <w:t>Dominguez</w:t>
      </w:r>
      <w:proofErr w:type="spellEnd"/>
      <w:r w:rsidRPr="006A0B54">
        <w:rPr>
          <w:lang w:val="es-ES"/>
        </w:rPr>
        <w:t xml:space="preserve"> Redondo, E. (Eds.) </w:t>
      </w:r>
      <w:r>
        <w:rPr>
          <w:i/>
        </w:rPr>
        <w:t>The e</w:t>
      </w:r>
      <w:r w:rsidRPr="00836D76">
        <w:rPr>
          <w:i/>
        </w:rPr>
        <w:t xml:space="preserve">xistence and </w:t>
      </w:r>
      <w:r>
        <w:rPr>
          <w:i/>
        </w:rPr>
        <w:t>efficacy of affirmative action m</w:t>
      </w:r>
      <w:r w:rsidRPr="00836D76">
        <w:rPr>
          <w:i/>
        </w:rPr>
        <w:t>easures in UK, South Africa, India, China, Latin America and Brazil</w:t>
      </w:r>
      <w:r>
        <w:t xml:space="preserve">. </w:t>
      </w:r>
      <w:proofErr w:type="spellStart"/>
      <w:r>
        <w:t>Joacaba</w:t>
      </w:r>
      <w:proofErr w:type="spellEnd"/>
      <w:r>
        <w:t>:</w:t>
      </w:r>
      <w:r w:rsidRPr="00836D76">
        <w:t xml:space="preserve"> </w:t>
      </w:r>
      <w:proofErr w:type="spellStart"/>
      <w:r w:rsidRPr="00836D76">
        <w:t>Editora</w:t>
      </w:r>
      <w:proofErr w:type="spellEnd"/>
      <w:r w:rsidRPr="00836D76">
        <w:t xml:space="preserve"> UNOESC</w:t>
      </w:r>
      <w:r>
        <w:t>, 2018. P. 185-214.</w:t>
      </w:r>
    </w:p>
  </w:footnote>
  <w:footnote w:id="4">
    <w:p w14:paraId="5120B722" w14:textId="20AF0CFB" w:rsidR="007E223C" w:rsidRDefault="007E223C" w:rsidP="003F6F8E">
      <w:pPr>
        <w:pStyle w:val="footnote"/>
      </w:pPr>
      <w:r>
        <w:rPr>
          <w:rStyle w:val="FootnoteReference"/>
        </w:rPr>
        <w:footnoteRef/>
      </w:r>
      <w:r>
        <w:t xml:space="preserve"> </w:t>
      </w:r>
      <w:proofErr w:type="spellStart"/>
      <w:r>
        <w:t>O’Cinneide</w:t>
      </w:r>
      <w:proofErr w:type="spellEnd"/>
      <w:r>
        <w:t xml:space="preserve">, C. (2012) </w:t>
      </w:r>
      <w:r>
        <w:rPr>
          <w:i/>
        </w:rPr>
        <w:t>Positive a</w:t>
      </w:r>
      <w:r w:rsidRPr="00170C33">
        <w:rPr>
          <w:i/>
        </w:rPr>
        <w:t>ction</w:t>
      </w:r>
      <w:r>
        <w:rPr>
          <w:i/>
        </w:rPr>
        <w:t>.</w:t>
      </w:r>
      <w:r>
        <w:t xml:space="preserve"> </w:t>
      </w:r>
      <w:r w:rsidRPr="00455F5E">
        <w:t>ERA</w:t>
      </w:r>
      <w:r>
        <w:t xml:space="preserve">, 2012. P. 1: </w:t>
      </w:r>
      <w:hyperlink r:id="rId1" w:history="1">
        <w:r w:rsidRPr="004C5802">
          <w:rPr>
            <w:rStyle w:val="Hyperlink"/>
          </w:rPr>
          <w:t>http://www.era-comm.eu/oldoku/SNLLaw/04_Positive_action/2012_Cinneide_EN.pdf</w:t>
        </w:r>
      </w:hyperlink>
      <w:r>
        <w:rPr>
          <w:rStyle w:val="Hyperlink"/>
        </w:rPr>
        <w:t xml:space="preserve"> </w:t>
      </w:r>
      <w:r w:rsidRPr="003500C0">
        <w:t>(</w:t>
      </w:r>
      <w:r>
        <w:t xml:space="preserve">all websites </w:t>
      </w:r>
      <w:r w:rsidRPr="003500C0">
        <w:t xml:space="preserve">accessed </w:t>
      </w:r>
      <w:r>
        <w:t>16 January 2020</w:t>
      </w:r>
      <w:r w:rsidR="00AA40C4">
        <w:t xml:space="preserve"> unless otherwise stated</w:t>
      </w:r>
      <w:r w:rsidRPr="003500C0">
        <w:t>).</w:t>
      </w:r>
    </w:p>
  </w:footnote>
  <w:footnote w:id="5">
    <w:p w14:paraId="6F1E6F23" w14:textId="33D97678" w:rsidR="007E223C" w:rsidRDefault="007E223C">
      <w:pPr>
        <w:pStyle w:val="FootnoteText"/>
      </w:pPr>
      <w:r>
        <w:rPr>
          <w:rStyle w:val="FootnoteReference"/>
        </w:rPr>
        <w:footnoteRef/>
      </w:r>
      <w:r>
        <w:t xml:space="preserve"> Equality Act 2010: </w:t>
      </w:r>
      <w:hyperlink r:id="rId2" w:history="1">
        <w:r w:rsidRPr="00DD1EA1">
          <w:rPr>
            <w:rStyle w:val="Hyperlink"/>
          </w:rPr>
          <w:t>https://www.legislation.gov.uk/ukpga/2010/15/contents</w:t>
        </w:r>
      </w:hyperlink>
      <w:r>
        <w:t xml:space="preserve"> </w:t>
      </w:r>
    </w:p>
  </w:footnote>
  <w:footnote w:id="6">
    <w:p w14:paraId="7D9A7F1B" w14:textId="6365DBAD" w:rsidR="007E223C" w:rsidRDefault="007E223C" w:rsidP="003500C0">
      <w:pPr>
        <w:pStyle w:val="footnote"/>
      </w:pPr>
      <w:r>
        <w:rPr>
          <w:rStyle w:val="FootnoteReference"/>
        </w:rPr>
        <w:footnoteRef/>
      </w:r>
      <w:r>
        <w:t xml:space="preserve"> A</w:t>
      </w:r>
      <w:r w:rsidRPr="00F44C29">
        <w:t xml:space="preserve">rticle 5 Council Directive 2000/43/EC of 29 June 2000 </w:t>
      </w:r>
      <w:r>
        <w:rPr>
          <w:i/>
        </w:rPr>
        <w:t>implementing the principle of equal treatment between persons irrespective of racial or ethnic o</w:t>
      </w:r>
      <w:r w:rsidRPr="00A84631">
        <w:rPr>
          <w:i/>
        </w:rPr>
        <w:t>rigin</w:t>
      </w:r>
      <w:r w:rsidRPr="00F44C29">
        <w:t xml:space="preserve"> [2000] OJ L 180/22; article 7 </w:t>
      </w:r>
      <w:r w:rsidRPr="008F19F2">
        <w:t>Council Directive</w:t>
      </w:r>
      <w:r>
        <w:t xml:space="preserve"> 2000/78/EC of 27 November</w:t>
      </w:r>
      <w:r w:rsidRPr="008F19F2">
        <w:t xml:space="preserve"> 2000 </w:t>
      </w:r>
      <w:r>
        <w:rPr>
          <w:i/>
        </w:rPr>
        <w:t xml:space="preserve"> </w:t>
      </w:r>
      <w:r>
        <w:t xml:space="preserve"> [2000] OJ L 303/16; a</w:t>
      </w:r>
      <w:r w:rsidRPr="00F44C29">
        <w:t xml:space="preserve">rticle 6 </w:t>
      </w:r>
      <w:r>
        <w:t xml:space="preserve">Council Directive 2004/113/EC </w:t>
      </w:r>
      <w:r>
        <w:rPr>
          <w:i/>
        </w:rPr>
        <w:t>implementing the principle of equal treatment between men and women in the access to and supply of goods and s</w:t>
      </w:r>
      <w:r w:rsidRPr="00A84631">
        <w:rPr>
          <w:i/>
        </w:rPr>
        <w:t>ervices</w:t>
      </w:r>
      <w:r>
        <w:t xml:space="preserve"> [2004] OJ L 373/37</w:t>
      </w:r>
      <w:r w:rsidRPr="00F44C29">
        <w:t xml:space="preserve">; article 3 Council Directive 2006/54/EC on the </w:t>
      </w:r>
      <w:r>
        <w:rPr>
          <w:i/>
        </w:rPr>
        <w:t>implementation of the p</w:t>
      </w:r>
      <w:r w:rsidRPr="00A84631">
        <w:rPr>
          <w:i/>
        </w:rPr>
        <w:t>rinciple</w:t>
      </w:r>
      <w:r>
        <w:rPr>
          <w:i/>
        </w:rPr>
        <w:t xml:space="preserve"> of equal opportunities and equal treatment of men and women in matters of employment and occupation (r</w:t>
      </w:r>
      <w:r w:rsidRPr="00A84631">
        <w:rPr>
          <w:i/>
        </w:rPr>
        <w:t>ecast)</w:t>
      </w:r>
      <w:r>
        <w:t xml:space="preserve"> [2006] OJ L 204/23</w:t>
      </w:r>
      <w:r w:rsidRPr="008F19F2">
        <w:t>.</w:t>
      </w:r>
    </w:p>
  </w:footnote>
  <w:footnote w:id="7">
    <w:p w14:paraId="2B0B3681" w14:textId="17F664B9" w:rsidR="007E223C" w:rsidRPr="00494630" w:rsidRDefault="007E223C" w:rsidP="003500C0">
      <w:pPr>
        <w:pStyle w:val="footnote"/>
      </w:pPr>
      <w:r>
        <w:rPr>
          <w:rStyle w:val="FootnoteReference"/>
        </w:rPr>
        <w:footnoteRef/>
      </w:r>
      <w:r>
        <w:t xml:space="preserve"> See, for example, the following cases: </w:t>
      </w:r>
      <w:r w:rsidRPr="00EC01F0">
        <w:t xml:space="preserve">C-450/93 </w:t>
      </w:r>
      <w:proofErr w:type="spellStart"/>
      <w:r w:rsidRPr="00EC01F0">
        <w:rPr>
          <w:i/>
        </w:rPr>
        <w:t>Kalanke</w:t>
      </w:r>
      <w:proofErr w:type="spellEnd"/>
      <w:r w:rsidRPr="00EC01F0">
        <w:rPr>
          <w:i/>
        </w:rPr>
        <w:t xml:space="preserve"> v </w:t>
      </w:r>
      <w:proofErr w:type="spellStart"/>
      <w:r w:rsidRPr="00EC01F0">
        <w:rPr>
          <w:i/>
        </w:rPr>
        <w:t>Freie</w:t>
      </w:r>
      <w:proofErr w:type="spellEnd"/>
      <w:r w:rsidRPr="00EC01F0">
        <w:rPr>
          <w:i/>
        </w:rPr>
        <w:t xml:space="preserve"> </w:t>
      </w:r>
      <w:proofErr w:type="spellStart"/>
      <w:r w:rsidRPr="00EC01F0">
        <w:rPr>
          <w:i/>
        </w:rPr>
        <w:t>Hansestadt</w:t>
      </w:r>
      <w:proofErr w:type="spellEnd"/>
      <w:r w:rsidRPr="00EC01F0">
        <w:rPr>
          <w:i/>
        </w:rPr>
        <w:t xml:space="preserve"> Bremen</w:t>
      </w:r>
      <w:r w:rsidRPr="00EC01F0">
        <w:t xml:space="preserve">, ECLI:EU:C:1995:322; C-409/95 </w:t>
      </w:r>
      <w:proofErr w:type="spellStart"/>
      <w:r w:rsidRPr="00EC01F0">
        <w:rPr>
          <w:i/>
        </w:rPr>
        <w:t>Marschall</w:t>
      </w:r>
      <w:proofErr w:type="spellEnd"/>
      <w:r w:rsidRPr="00EC01F0">
        <w:rPr>
          <w:i/>
        </w:rPr>
        <w:t xml:space="preserve"> v Land Nordrhein-Westfalen</w:t>
      </w:r>
      <w:r>
        <w:t>, ECLI:EU:C:1997:533; C-</w:t>
      </w:r>
      <w:r w:rsidRPr="00EC01F0">
        <w:t xml:space="preserve">158/97 </w:t>
      </w:r>
      <w:proofErr w:type="spellStart"/>
      <w:r w:rsidRPr="00EC01F0">
        <w:rPr>
          <w:i/>
        </w:rPr>
        <w:t>Badeck’s</w:t>
      </w:r>
      <w:proofErr w:type="spellEnd"/>
      <w:r w:rsidRPr="00EC01F0">
        <w:rPr>
          <w:i/>
        </w:rPr>
        <w:t xml:space="preserve"> Application</w:t>
      </w:r>
      <w:r>
        <w:t xml:space="preserve">, ECLI:EU:C:2000:163; </w:t>
      </w:r>
      <w:r w:rsidRPr="00EC01F0">
        <w:t xml:space="preserve">C-407/98 </w:t>
      </w:r>
      <w:proofErr w:type="spellStart"/>
      <w:r w:rsidRPr="00EC01F0">
        <w:rPr>
          <w:i/>
        </w:rPr>
        <w:t>Abrahamsson</w:t>
      </w:r>
      <w:proofErr w:type="spellEnd"/>
      <w:r w:rsidRPr="00EC01F0">
        <w:rPr>
          <w:i/>
        </w:rPr>
        <w:t xml:space="preserve"> and Anderson v </w:t>
      </w:r>
      <w:proofErr w:type="spellStart"/>
      <w:r w:rsidRPr="00EC01F0">
        <w:rPr>
          <w:i/>
        </w:rPr>
        <w:t>Fogelqvist</w:t>
      </w:r>
      <w:proofErr w:type="spellEnd"/>
      <w:r w:rsidRPr="00EC01F0">
        <w:t>, ECLI:EU:C:2000:367</w:t>
      </w:r>
      <w:r>
        <w:t xml:space="preserve">; C-319/03 </w:t>
      </w:r>
      <w:r w:rsidRPr="00494630">
        <w:rPr>
          <w:i/>
        </w:rPr>
        <w:t xml:space="preserve">Serge </w:t>
      </w:r>
      <w:proofErr w:type="spellStart"/>
      <w:r w:rsidRPr="00494630">
        <w:rPr>
          <w:i/>
        </w:rPr>
        <w:t>Briheche</w:t>
      </w:r>
      <w:proofErr w:type="spellEnd"/>
      <w:r w:rsidRPr="00494630">
        <w:rPr>
          <w:i/>
        </w:rPr>
        <w:t xml:space="preserve"> v </w:t>
      </w:r>
      <w:proofErr w:type="spellStart"/>
      <w:r w:rsidRPr="00494630">
        <w:rPr>
          <w:i/>
        </w:rPr>
        <w:t>Ministre</w:t>
      </w:r>
      <w:proofErr w:type="spellEnd"/>
      <w:r w:rsidRPr="00494630">
        <w:rPr>
          <w:i/>
        </w:rPr>
        <w:t xml:space="preserve"> de </w:t>
      </w:r>
      <w:proofErr w:type="spellStart"/>
      <w:r w:rsidRPr="00494630">
        <w:rPr>
          <w:i/>
        </w:rPr>
        <w:t>l'Inté</w:t>
      </w:r>
      <w:r>
        <w:rPr>
          <w:i/>
        </w:rPr>
        <w:t>rieur</w:t>
      </w:r>
      <w:proofErr w:type="spellEnd"/>
      <w:r>
        <w:rPr>
          <w:i/>
        </w:rPr>
        <w:t xml:space="preserve">, </w:t>
      </w:r>
      <w:proofErr w:type="spellStart"/>
      <w:r>
        <w:rPr>
          <w:i/>
        </w:rPr>
        <w:t>Ministre</w:t>
      </w:r>
      <w:proofErr w:type="spellEnd"/>
      <w:r>
        <w:rPr>
          <w:i/>
        </w:rPr>
        <w:t xml:space="preserve"> de </w:t>
      </w:r>
      <w:proofErr w:type="spellStart"/>
      <w:r>
        <w:rPr>
          <w:i/>
        </w:rPr>
        <w:t>l'Éducation</w:t>
      </w:r>
      <w:proofErr w:type="spellEnd"/>
      <w:r>
        <w:rPr>
          <w:i/>
        </w:rPr>
        <w:t xml:space="preserve"> </w:t>
      </w:r>
      <w:proofErr w:type="spellStart"/>
      <w:r>
        <w:rPr>
          <w:i/>
        </w:rPr>
        <w:t>N</w:t>
      </w:r>
      <w:r w:rsidRPr="00494630">
        <w:rPr>
          <w:i/>
        </w:rPr>
        <w:t>ationale</w:t>
      </w:r>
      <w:proofErr w:type="spellEnd"/>
      <w:r w:rsidRPr="00494630">
        <w:rPr>
          <w:i/>
        </w:rPr>
        <w:t xml:space="preserve"> and </w:t>
      </w:r>
      <w:proofErr w:type="spellStart"/>
      <w:r w:rsidRPr="00494630">
        <w:rPr>
          <w:i/>
        </w:rPr>
        <w:t>Ministre</w:t>
      </w:r>
      <w:proofErr w:type="spellEnd"/>
      <w:r w:rsidRPr="00494630">
        <w:rPr>
          <w:i/>
        </w:rPr>
        <w:t xml:space="preserve"> de la Justice</w:t>
      </w:r>
      <w:r>
        <w:t xml:space="preserve">, ECLI:EU:C:2004:574. Para. 23 of the latter case sums this up. For all judgments of the CJEU: </w:t>
      </w:r>
      <w:hyperlink r:id="rId3" w:history="1">
        <w:r w:rsidRPr="00FD2692">
          <w:rPr>
            <w:rStyle w:val="Hyperlink"/>
          </w:rPr>
          <w:t>http://curia.europa.eu/juris/recherche.jsf?language=en</w:t>
        </w:r>
      </w:hyperlink>
      <w:r>
        <w:t xml:space="preserve"> For a more extensive discussion of the development of positive action in EU law see: Ellis, E; Watson, P. </w:t>
      </w:r>
      <w:r>
        <w:rPr>
          <w:i/>
        </w:rPr>
        <w:t>EU anti-discrimination l</w:t>
      </w:r>
      <w:r w:rsidRPr="00743837">
        <w:rPr>
          <w:i/>
        </w:rPr>
        <w:t>aw</w:t>
      </w:r>
      <w:r>
        <w:t>. 2</w:t>
      </w:r>
      <w:r w:rsidRPr="003500C0">
        <w:rPr>
          <w:vertAlign w:val="superscript"/>
        </w:rPr>
        <w:t>nd</w:t>
      </w:r>
      <w:r>
        <w:t xml:space="preserve"> ed. Oxford: Oxford University Press, 2012. P. 420-437.</w:t>
      </w:r>
    </w:p>
  </w:footnote>
  <w:footnote w:id="8">
    <w:p w14:paraId="6836CAE7" w14:textId="77777777" w:rsidR="007E223C" w:rsidRDefault="007E223C" w:rsidP="003500C0">
      <w:pPr>
        <w:pStyle w:val="footnote"/>
      </w:pPr>
      <w:r>
        <w:rPr>
          <w:rStyle w:val="FootnoteReference"/>
        </w:rPr>
        <w:footnoteRef/>
      </w:r>
      <w:r>
        <w:t xml:space="preserve"> See the cases in the previous footnote.</w:t>
      </w:r>
    </w:p>
  </w:footnote>
  <w:footnote w:id="9">
    <w:p w14:paraId="1912EA2B" w14:textId="77777777" w:rsidR="007E223C" w:rsidRPr="00DB5582" w:rsidRDefault="007E223C" w:rsidP="003500C0">
      <w:pPr>
        <w:pStyle w:val="footnote"/>
        <w:rPr>
          <w:lang w:val="fr-FR"/>
        </w:rPr>
      </w:pPr>
      <w:r>
        <w:rPr>
          <w:rStyle w:val="FootnoteReference"/>
        </w:rPr>
        <w:footnoteRef/>
      </w:r>
      <w:r>
        <w:t xml:space="preserve"> </w:t>
      </w:r>
      <w:r w:rsidRPr="00E65CDC">
        <w:t xml:space="preserve">See </w:t>
      </w:r>
      <w:proofErr w:type="spellStart"/>
      <w:r w:rsidRPr="00E65CDC">
        <w:rPr>
          <w:i/>
        </w:rPr>
        <w:t>Kalanke</w:t>
      </w:r>
      <w:proofErr w:type="spellEnd"/>
      <w:r>
        <w:rPr>
          <w:i/>
        </w:rPr>
        <w:t xml:space="preserve"> v</w:t>
      </w:r>
      <w:r w:rsidRPr="00E65CDC">
        <w:rPr>
          <w:i/>
        </w:rPr>
        <w:t xml:space="preserve"> </w:t>
      </w:r>
      <w:proofErr w:type="spellStart"/>
      <w:r w:rsidRPr="00EC01F0">
        <w:rPr>
          <w:i/>
        </w:rPr>
        <w:t>Freie</w:t>
      </w:r>
      <w:proofErr w:type="spellEnd"/>
      <w:r w:rsidRPr="00EC01F0">
        <w:rPr>
          <w:i/>
        </w:rPr>
        <w:t xml:space="preserve"> </w:t>
      </w:r>
      <w:proofErr w:type="spellStart"/>
      <w:r w:rsidRPr="00EC01F0">
        <w:rPr>
          <w:i/>
        </w:rPr>
        <w:t>Hansestadt</w:t>
      </w:r>
      <w:proofErr w:type="spellEnd"/>
      <w:r w:rsidRPr="00EC01F0">
        <w:rPr>
          <w:i/>
        </w:rPr>
        <w:t xml:space="preserve"> Bremen</w:t>
      </w:r>
      <w:r>
        <w:t>,</w:t>
      </w:r>
      <w:r w:rsidRPr="00E65CDC">
        <w:t xml:space="preserve"> para</w:t>
      </w:r>
      <w:r>
        <w:t>. 21;</w:t>
      </w:r>
      <w:r w:rsidRPr="00E65CDC">
        <w:t xml:space="preserve"> </w:t>
      </w:r>
      <w:proofErr w:type="spellStart"/>
      <w:r w:rsidRPr="00EC01F0">
        <w:rPr>
          <w:i/>
        </w:rPr>
        <w:t>Marschall</w:t>
      </w:r>
      <w:proofErr w:type="spellEnd"/>
      <w:r w:rsidRPr="00EC01F0">
        <w:rPr>
          <w:i/>
        </w:rPr>
        <w:t xml:space="preserve"> v Land Nordrhein-Westfalen</w:t>
      </w:r>
      <w:r>
        <w:t xml:space="preserve">, para. </w:t>
      </w:r>
      <w:r w:rsidRPr="00DB5582">
        <w:rPr>
          <w:lang w:val="fr-FR"/>
        </w:rPr>
        <w:t>32. (</w:t>
      </w:r>
      <w:proofErr w:type="spellStart"/>
      <w:r w:rsidRPr="00DB5582">
        <w:rPr>
          <w:lang w:val="fr-FR"/>
        </w:rPr>
        <w:t>both</w:t>
      </w:r>
      <w:proofErr w:type="spellEnd"/>
      <w:r w:rsidRPr="00DB5582">
        <w:rPr>
          <w:lang w:val="fr-FR"/>
        </w:rPr>
        <w:t xml:space="preserve">: supra note </w:t>
      </w:r>
      <w:r>
        <w:fldChar w:fldCharType="begin"/>
      </w:r>
      <w:r w:rsidRPr="00DB5582">
        <w:rPr>
          <w:lang w:val="fr-FR"/>
        </w:rPr>
        <w:instrText xml:space="preserve"> NOTEREF _Ref522700808 \h  \* MERGEFORMAT </w:instrText>
      </w:r>
      <w:r>
        <w:fldChar w:fldCharType="separate"/>
      </w:r>
      <w:r w:rsidR="00BB509E">
        <w:rPr>
          <w:lang w:val="fr-FR"/>
        </w:rPr>
        <w:t>7</w:t>
      </w:r>
      <w:r>
        <w:fldChar w:fldCharType="end"/>
      </w:r>
      <w:r w:rsidRPr="00DB5582">
        <w:rPr>
          <w:lang w:val="fr-FR"/>
        </w:rPr>
        <w:t>).</w:t>
      </w:r>
    </w:p>
  </w:footnote>
  <w:footnote w:id="10">
    <w:p w14:paraId="05AE3CD4" w14:textId="77777777" w:rsidR="007E223C" w:rsidRDefault="007E223C" w:rsidP="003500C0">
      <w:pPr>
        <w:pStyle w:val="footnote"/>
      </w:pPr>
      <w:r>
        <w:rPr>
          <w:rStyle w:val="FootnoteReference"/>
        </w:rPr>
        <w:footnoteRef/>
      </w:r>
      <w:r w:rsidRPr="00DB5582">
        <w:rPr>
          <w:lang w:val="fr-FR"/>
        </w:rPr>
        <w:t xml:space="preserve"> Case C-476/99 </w:t>
      </w:r>
      <w:proofErr w:type="spellStart"/>
      <w:r w:rsidRPr="00DB5582">
        <w:rPr>
          <w:i/>
          <w:iCs/>
          <w:lang w:val="fr-FR"/>
        </w:rPr>
        <w:t>Lommers</w:t>
      </w:r>
      <w:proofErr w:type="spellEnd"/>
      <w:r w:rsidRPr="00DB5582">
        <w:rPr>
          <w:i/>
          <w:iCs/>
          <w:lang w:val="fr-FR"/>
        </w:rPr>
        <w:t xml:space="preserve"> v </w:t>
      </w:r>
      <w:proofErr w:type="spellStart"/>
      <w:r w:rsidRPr="00DB5582">
        <w:rPr>
          <w:i/>
          <w:iCs/>
          <w:lang w:val="fr-FR"/>
        </w:rPr>
        <w:t>Minister</w:t>
      </w:r>
      <w:proofErr w:type="spellEnd"/>
      <w:r w:rsidRPr="00DB5582">
        <w:rPr>
          <w:i/>
          <w:iCs/>
          <w:lang w:val="fr-FR"/>
        </w:rPr>
        <w:t xml:space="preserve"> van </w:t>
      </w:r>
      <w:proofErr w:type="spellStart"/>
      <w:r w:rsidRPr="00DB5582">
        <w:rPr>
          <w:i/>
          <w:iCs/>
          <w:lang w:val="fr-FR"/>
        </w:rPr>
        <w:t>Landbouw</w:t>
      </w:r>
      <w:proofErr w:type="spellEnd"/>
      <w:r w:rsidRPr="00DB5582">
        <w:rPr>
          <w:i/>
          <w:iCs/>
          <w:lang w:val="fr-FR"/>
        </w:rPr>
        <w:t xml:space="preserve">, </w:t>
      </w:r>
      <w:proofErr w:type="spellStart"/>
      <w:r w:rsidRPr="00DB5582">
        <w:rPr>
          <w:i/>
          <w:iCs/>
          <w:lang w:val="fr-FR"/>
        </w:rPr>
        <w:t>Natuurbeheer</w:t>
      </w:r>
      <w:proofErr w:type="spellEnd"/>
      <w:r w:rsidRPr="00DB5582">
        <w:rPr>
          <w:i/>
          <w:iCs/>
          <w:lang w:val="fr-FR"/>
        </w:rPr>
        <w:t xml:space="preserve"> en </w:t>
      </w:r>
      <w:proofErr w:type="spellStart"/>
      <w:r w:rsidRPr="00DB5582">
        <w:rPr>
          <w:i/>
          <w:iCs/>
          <w:lang w:val="fr-FR"/>
        </w:rPr>
        <w:t>Visserij</w:t>
      </w:r>
      <w:proofErr w:type="spellEnd"/>
      <w:r w:rsidRPr="00DB5582">
        <w:rPr>
          <w:lang w:val="fr-FR"/>
        </w:rPr>
        <w:t xml:space="preserve">, ECLI:EU:C: 2002:183, para 39; </w:t>
      </w:r>
      <w:proofErr w:type="spellStart"/>
      <w:r w:rsidRPr="00DB5582">
        <w:rPr>
          <w:lang w:val="fr-FR"/>
        </w:rPr>
        <w:t>see</w:t>
      </w:r>
      <w:proofErr w:type="spellEnd"/>
      <w:r w:rsidRPr="00DB5582">
        <w:rPr>
          <w:lang w:val="fr-FR"/>
        </w:rPr>
        <w:t xml:space="preserve"> </w:t>
      </w:r>
      <w:proofErr w:type="spellStart"/>
      <w:r w:rsidRPr="00DB5582">
        <w:rPr>
          <w:lang w:val="fr-FR"/>
        </w:rPr>
        <w:t>also</w:t>
      </w:r>
      <w:proofErr w:type="spellEnd"/>
      <w:r w:rsidRPr="00DB5582">
        <w:rPr>
          <w:lang w:val="fr-FR"/>
        </w:rPr>
        <w:t xml:space="preserve">: </w:t>
      </w:r>
      <w:r w:rsidRPr="00DB5582">
        <w:rPr>
          <w:i/>
          <w:lang w:val="fr-FR"/>
        </w:rPr>
        <w:t xml:space="preserve">Serge </w:t>
      </w:r>
      <w:proofErr w:type="spellStart"/>
      <w:r w:rsidRPr="00DB5582">
        <w:rPr>
          <w:i/>
          <w:lang w:val="fr-FR"/>
        </w:rPr>
        <w:t>Briheche</w:t>
      </w:r>
      <w:proofErr w:type="spellEnd"/>
      <w:r w:rsidRPr="00DB5582">
        <w:rPr>
          <w:i/>
          <w:lang w:val="fr-FR"/>
        </w:rPr>
        <w:t xml:space="preserve"> v Ministre de l'Intérieur, Ministre de l'Éducation nationale and Ministre de la Justice</w:t>
      </w:r>
      <w:r w:rsidRPr="00DB5582">
        <w:rPr>
          <w:lang w:val="fr-FR"/>
        </w:rPr>
        <w:t xml:space="preserve">. </w:t>
      </w:r>
      <w:r>
        <w:t xml:space="preserve">(supra note </w:t>
      </w:r>
      <w:r>
        <w:fldChar w:fldCharType="begin"/>
      </w:r>
      <w:r>
        <w:instrText xml:space="preserve"> NOTEREF _Ref522700808 \h  \* MERGEFORMAT </w:instrText>
      </w:r>
      <w:r>
        <w:fldChar w:fldCharType="separate"/>
      </w:r>
      <w:r w:rsidR="00BB509E">
        <w:t>7</w:t>
      </w:r>
      <w:r>
        <w:fldChar w:fldCharType="end"/>
      </w:r>
      <w:r>
        <w:t>, para. 24).</w:t>
      </w:r>
    </w:p>
  </w:footnote>
  <w:footnote w:id="11">
    <w:p w14:paraId="75328496" w14:textId="7C9B94EB" w:rsidR="007E223C" w:rsidRDefault="007E223C" w:rsidP="00D43475">
      <w:pPr>
        <w:pStyle w:val="footnote"/>
      </w:pPr>
      <w:r>
        <w:rPr>
          <w:rStyle w:val="FootnoteReference"/>
        </w:rPr>
        <w:footnoteRef/>
      </w:r>
      <w:r>
        <w:t xml:space="preserve"> Browning, S. and </w:t>
      </w:r>
      <w:proofErr w:type="spellStart"/>
      <w:r>
        <w:t>Uberoi</w:t>
      </w:r>
      <w:proofErr w:type="spellEnd"/>
      <w:r>
        <w:t xml:space="preserve">, E. (2019) </w:t>
      </w:r>
      <w:r w:rsidRPr="00D43475">
        <w:rPr>
          <w:i/>
        </w:rPr>
        <w:t>Ethnic diversity in politics and public life</w:t>
      </w:r>
      <w:r>
        <w:t xml:space="preserve">, House of Commons Library, Briefing paper number SN01156. 19 September 2019: </w:t>
      </w:r>
      <w:hyperlink r:id="rId4" w:history="1">
        <w:r w:rsidRPr="00C871BA">
          <w:rPr>
            <w:rStyle w:val="Hyperlink"/>
          </w:rPr>
          <w:t>https://commonslibrary.parliament.uk/research-briefings/sn01156/</w:t>
        </w:r>
      </w:hyperlink>
      <w:r>
        <w:t xml:space="preserve"> </w:t>
      </w:r>
    </w:p>
  </w:footnote>
  <w:footnote w:id="12">
    <w:p w14:paraId="21779A72" w14:textId="08FB7A24" w:rsidR="007E223C" w:rsidRDefault="007E223C" w:rsidP="0014236F">
      <w:pPr>
        <w:pStyle w:val="footnote"/>
      </w:pPr>
      <w:r>
        <w:rPr>
          <w:rStyle w:val="FootnoteReference"/>
        </w:rPr>
        <w:footnoteRef/>
      </w:r>
      <w:r>
        <w:t xml:space="preserve"> McCrudden, C; </w:t>
      </w:r>
      <w:proofErr w:type="spellStart"/>
      <w:r>
        <w:t>Muttarak</w:t>
      </w:r>
      <w:proofErr w:type="spellEnd"/>
      <w:r>
        <w:t xml:space="preserve">, R; Hamill, H; Heath, A. Affirmative action without quotas in Northern Ireland. 4 </w:t>
      </w:r>
      <w:r>
        <w:rPr>
          <w:i/>
        </w:rPr>
        <w:t xml:space="preserve">Equal Rights Review </w:t>
      </w:r>
      <w:r>
        <w:t>(2009)</w:t>
      </w:r>
      <w:r>
        <w:rPr>
          <w:i/>
        </w:rPr>
        <w:t xml:space="preserve"> </w:t>
      </w:r>
      <w:r>
        <w:t>P. 7.</w:t>
      </w:r>
    </w:p>
  </w:footnote>
  <w:footnote w:id="13">
    <w:p w14:paraId="7DE2C04B" w14:textId="1F897F13" w:rsidR="007E223C" w:rsidRPr="001038C8" w:rsidRDefault="007E223C" w:rsidP="008D630C">
      <w:pPr>
        <w:pStyle w:val="footnote"/>
      </w:pPr>
      <w:r>
        <w:rPr>
          <w:rStyle w:val="FootnoteReference"/>
        </w:rPr>
        <w:footnoteRef/>
      </w:r>
      <w:r>
        <w:t xml:space="preserve"> McColgan, A. </w:t>
      </w:r>
      <w:r w:rsidRPr="008D630C">
        <w:rPr>
          <w:i/>
        </w:rPr>
        <w:t xml:space="preserve">Discrimination, </w:t>
      </w:r>
      <w:r>
        <w:rPr>
          <w:i/>
        </w:rPr>
        <w:t>e</w:t>
      </w:r>
      <w:r w:rsidRPr="008D630C">
        <w:rPr>
          <w:i/>
        </w:rPr>
        <w:t xml:space="preserve">quality and the </w:t>
      </w:r>
      <w:r>
        <w:rPr>
          <w:i/>
        </w:rPr>
        <w:t>l</w:t>
      </w:r>
      <w:r w:rsidRPr="001038C8">
        <w:rPr>
          <w:i/>
        </w:rPr>
        <w:t xml:space="preserve">aw. </w:t>
      </w:r>
      <w:r>
        <w:t>Oxford and Portland Oregon: Hart Publishing, 2014. P. 67.</w:t>
      </w:r>
    </w:p>
  </w:footnote>
  <w:footnote w:id="14">
    <w:p w14:paraId="62EB9226" w14:textId="77ACF9EC" w:rsidR="007E223C" w:rsidRDefault="007E223C" w:rsidP="007E223C">
      <w:pPr>
        <w:pStyle w:val="footnote"/>
      </w:pPr>
      <w:r>
        <w:rPr>
          <w:rStyle w:val="FootnoteReference"/>
        </w:rPr>
        <w:footnoteRef/>
      </w:r>
      <w:r>
        <w:t xml:space="preserve"> </w:t>
      </w:r>
      <w:proofErr w:type="spellStart"/>
      <w:r>
        <w:t>Equinet</w:t>
      </w:r>
      <w:proofErr w:type="spellEnd"/>
      <w:r>
        <w:t xml:space="preserve"> (2014) </w:t>
      </w:r>
      <w:r>
        <w:rPr>
          <w:i/>
        </w:rPr>
        <w:t xml:space="preserve">Positive action measures. The experience of equality bodies. </w:t>
      </w:r>
      <w:r>
        <w:t xml:space="preserve">P. 51: </w:t>
      </w:r>
      <w:hyperlink r:id="rId5" w:history="1">
        <w:r w:rsidRPr="00C56DFB">
          <w:rPr>
            <w:rStyle w:val="Hyperlink"/>
          </w:rPr>
          <w:t>http://www.archive.equineteurope.org/Positive-Action-Measures</w:t>
        </w:r>
      </w:hyperlink>
    </w:p>
  </w:footnote>
  <w:footnote w:id="15">
    <w:p w14:paraId="08605641" w14:textId="38C4D860" w:rsidR="007E223C" w:rsidRDefault="007E223C" w:rsidP="003500C0">
      <w:pPr>
        <w:pStyle w:val="footnote"/>
      </w:pPr>
      <w:r>
        <w:rPr>
          <w:rStyle w:val="FootnoteReference"/>
        </w:rPr>
        <w:footnoteRef/>
      </w:r>
      <w:r>
        <w:t xml:space="preserve"> Fair Employment (Northern Ireland) Order 1998: </w:t>
      </w:r>
      <w:hyperlink r:id="rId6" w:history="1">
        <w:r w:rsidRPr="004C5802">
          <w:rPr>
            <w:rStyle w:val="Hyperlink"/>
          </w:rPr>
          <w:t>http://www.legislation.gov.uk/nisi/1998/3162/contents/made</w:t>
        </w:r>
      </w:hyperlink>
    </w:p>
  </w:footnote>
  <w:footnote w:id="16">
    <w:p w14:paraId="72D9A8CB" w14:textId="066B665F" w:rsidR="007E223C" w:rsidRDefault="007E223C" w:rsidP="003500C0">
      <w:pPr>
        <w:pStyle w:val="footnote"/>
      </w:pPr>
      <w:r>
        <w:rPr>
          <w:rStyle w:val="FootnoteReference"/>
        </w:rPr>
        <w:footnoteRef/>
      </w:r>
      <w:r>
        <w:t xml:space="preserve"> Police (Northern Ireland) Act 2000: </w:t>
      </w:r>
      <w:hyperlink r:id="rId7" w:history="1">
        <w:r w:rsidRPr="004C5802">
          <w:rPr>
            <w:rStyle w:val="Hyperlink"/>
          </w:rPr>
          <w:t>https://www.legislation.gov.uk/ukpga/2000/32/contents</w:t>
        </w:r>
      </w:hyperlink>
    </w:p>
  </w:footnote>
  <w:footnote w:id="17">
    <w:p w14:paraId="232D61E5" w14:textId="77777777" w:rsidR="007E223C" w:rsidRDefault="007E223C" w:rsidP="003500C0">
      <w:pPr>
        <w:pStyle w:val="footnote"/>
      </w:pPr>
      <w:r>
        <w:rPr>
          <w:rStyle w:val="FootnoteReference"/>
        </w:rPr>
        <w:footnoteRef/>
      </w:r>
      <w:r>
        <w:t xml:space="preserve"> Article 15 Directive 2000/78/EC is headed ‘Northern Ireland’ and determines that: ‘</w:t>
      </w:r>
      <w:r w:rsidRPr="003A159D">
        <w:t>In order to tackle the under-representation of one of the major religious communities in the police service of Northern Ireland, differences in treatment regarding recruitment into that service, including its support staff, shall not constitute discrimination insofar as those differences in treatment are expressly authorised by national legislation</w:t>
      </w:r>
      <w:r>
        <w:t>’</w:t>
      </w:r>
      <w:r w:rsidRPr="003A159D">
        <w:t>.</w:t>
      </w:r>
    </w:p>
  </w:footnote>
  <w:footnote w:id="18">
    <w:p w14:paraId="1F114245" w14:textId="78A4EDCA" w:rsidR="007E223C" w:rsidRDefault="007E223C" w:rsidP="003500C0">
      <w:pPr>
        <w:pStyle w:val="footnote"/>
      </w:pPr>
      <w:r>
        <w:rPr>
          <w:rStyle w:val="FootnoteReference"/>
        </w:rPr>
        <w:footnoteRef/>
      </w:r>
      <w:r>
        <w:t xml:space="preserve"> Constitution of South Africa 1996: </w:t>
      </w:r>
      <w:hyperlink r:id="rId8" w:history="1">
        <w:r w:rsidRPr="004C5802">
          <w:rPr>
            <w:rStyle w:val="Hyperlink"/>
          </w:rPr>
          <w:t>https://www.gov.za/documents/constitution-republic-south-africa-1996</w:t>
        </w:r>
      </w:hyperlink>
    </w:p>
  </w:footnote>
  <w:footnote w:id="19">
    <w:p w14:paraId="74280DC1" w14:textId="31349EBD" w:rsidR="007E223C" w:rsidRDefault="007E223C" w:rsidP="003500C0">
      <w:pPr>
        <w:pStyle w:val="footnote"/>
      </w:pPr>
      <w:r>
        <w:rPr>
          <w:rStyle w:val="FootnoteReference"/>
        </w:rPr>
        <w:footnoteRef/>
      </w:r>
      <w:r>
        <w:t xml:space="preserve"> Promotion of Equality and Prevention of Unfair Discrimination Act 2000: </w:t>
      </w:r>
      <w:hyperlink r:id="rId9" w:history="1">
        <w:r w:rsidRPr="004C5802">
          <w:rPr>
            <w:rStyle w:val="Hyperlink"/>
          </w:rPr>
          <w:t>http://www.justice.gov.za/legislation/acts/2000-004.pdf</w:t>
        </w:r>
      </w:hyperlink>
    </w:p>
  </w:footnote>
  <w:footnote w:id="20">
    <w:p w14:paraId="3FA4AA43" w14:textId="6A35122D" w:rsidR="007E223C" w:rsidRPr="00510924" w:rsidRDefault="007E223C" w:rsidP="00510924">
      <w:pPr>
        <w:pStyle w:val="footnote"/>
      </w:pPr>
      <w:r>
        <w:rPr>
          <w:rStyle w:val="FootnoteReference"/>
        </w:rPr>
        <w:footnoteRef/>
      </w:r>
      <w:r>
        <w:t xml:space="preserve"> Employment Equity Act 1998: </w:t>
      </w:r>
      <w:hyperlink r:id="rId10" w:history="1">
        <w:r w:rsidRPr="00FB38E3">
          <w:rPr>
            <w:rStyle w:val="Hyperlink"/>
          </w:rPr>
          <w:t>https://www.ilo.org/dyn/natlex/docs/webtext/51169/65139/e98zaf01.htm</w:t>
        </w:r>
      </w:hyperlink>
      <w:r>
        <w:rPr>
          <w:rStyle w:val="Hyperlink"/>
        </w:rPr>
        <w:t xml:space="preserve"> </w:t>
      </w:r>
    </w:p>
  </w:footnote>
  <w:footnote w:id="21">
    <w:p w14:paraId="2B249DA3" w14:textId="77777777" w:rsidR="007E223C" w:rsidRPr="004E7899" w:rsidRDefault="007E223C" w:rsidP="00510924">
      <w:pPr>
        <w:pStyle w:val="footnote"/>
      </w:pPr>
      <w:r>
        <w:rPr>
          <w:rStyle w:val="FootnoteReference"/>
        </w:rPr>
        <w:footnoteRef/>
      </w:r>
      <w:r>
        <w:t xml:space="preserve"> See, for example: </w:t>
      </w:r>
      <w:r>
        <w:rPr>
          <w:i/>
        </w:rPr>
        <w:t xml:space="preserve">Solidarity and Others v Department of Correctional Services and Others </w:t>
      </w:r>
      <w:r>
        <w:t>(</w:t>
      </w:r>
      <w:r w:rsidRPr="004E7899">
        <w:t>CCT78/15)</w:t>
      </w:r>
      <w:r>
        <w:rPr>
          <w:i/>
        </w:rPr>
        <w:t xml:space="preserve"> </w:t>
      </w:r>
      <w:r>
        <w:t>[2016] ZACC 18;</w:t>
      </w:r>
      <w:r>
        <w:rPr>
          <w:i/>
        </w:rPr>
        <w:t xml:space="preserve"> Solidarity v Minister of Safety and Security and Others </w:t>
      </w:r>
      <w:r>
        <w:t>(J879/12) [2016] ZALCJHB 107.</w:t>
      </w:r>
    </w:p>
  </w:footnote>
  <w:footnote w:id="22">
    <w:p w14:paraId="050BA9C4" w14:textId="0263B931" w:rsidR="00FC1A04" w:rsidRDefault="00FC1A04" w:rsidP="00FC1A04">
      <w:pPr>
        <w:pStyle w:val="footnote"/>
      </w:pPr>
      <w:r>
        <w:rPr>
          <w:rStyle w:val="FootnoteReference"/>
        </w:rPr>
        <w:footnoteRef/>
      </w:r>
      <w:r>
        <w:t xml:space="preserve"> See: Howard, E. (supra note </w:t>
      </w:r>
      <w:r>
        <w:fldChar w:fldCharType="begin"/>
      </w:r>
      <w:r>
        <w:instrText xml:space="preserve"> NOTEREF _Ref34820590 \h  \* MERGEFORMAT </w:instrText>
      </w:r>
      <w:r>
        <w:fldChar w:fldCharType="separate"/>
      </w:r>
      <w:r w:rsidR="00BB509E">
        <w:t>3</w:t>
      </w:r>
      <w:r>
        <w:fldChar w:fldCharType="end"/>
      </w:r>
      <w:r>
        <w:t>).</w:t>
      </w:r>
    </w:p>
  </w:footnote>
  <w:footnote w:id="23">
    <w:p w14:paraId="36C05320" w14:textId="62C3A095" w:rsidR="007E223C" w:rsidRPr="00D1765C" w:rsidRDefault="007E223C" w:rsidP="00510924">
      <w:pPr>
        <w:pStyle w:val="footnote"/>
      </w:pPr>
      <w:r>
        <w:rPr>
          <w:rStyle w:val="FootnoteReference"/>
        </w:rPr>
        <w:footnoteRef/>
      </w:r>
      <w:r>
        <w:t xml:space="preserve"> </w:t>
      </w:r>
      <w:r w:rsidR="00FC1A04">
        <w:t xml:space="preserve">Ibid. </w:t>
      </w:r>
      <w:r w:rsidRPr="00914D31">
        <w:rPr>
          <w:rStyle w:val="footnotesChar"/>
        </w:rPr>
        <w:t>See</w:t>
      </w:r>
      <w:r w:rsidR="00FC1A04">
        <w:rPr>
          <w:rStyle w:val="footnotesChar"/>
        </w:rPr>
        <w:t xml:space="preserve"> also</w:t>
      </w:r>
      <w:r w:rsidR="00A76EEA">
        <w:rPr>
          <w:rStyle w:val="footnotesChar"/>
        </w:rPr>
        <w:t xml:space="preserve"> on the South African approach</w:t>
      </w:r>
      <w:r w:rsidRPr="00914D31">
        <w:rPr>
          <w:rStyle w:val="footnotesChar"/>
        </w:rPr>
        <w:t>: N</w:t>
      </w:r>
      <w:r>
        <w:rPr>
          <w:rStyle w:val="footnotesChar"/>
        </w:rPr>
        <w:t>gcobo, S. (2003) The m</w:t>
      </w:r>
      <w:r w:rsidRPr="00914D31">
        <w:rPr>
          <w:rStyle w:val="footnotesChar"/>
        </w:rPr>
        <w:t xml:space="preserve">eaning of Article 4(1) of the UN Convention on the Elimination of All Discrimination </w:t>
      </w:r>
      <w:r>
        <w:rPr>
          <w:rStyle w:val="footnotesChar"/>
        </w:rPr>
        <w:t>Against Women: a South African p</w:t>
      </w:r>
      <w:r w:rsidRPr="00914D31">
        <w:rPr>
          <w:rStyle w:val="footnotesChar"/>
        </w:rPr>
        <w:t xml:space="preserve">erspective. In: </w:t>
      </w:r>
      <w:proofErr w:type="spellStart"/>
      <w:r w:rsidRPr="00914D31">
        <w:rPr>
          <w:rStyle w:val="footnotesChar"/>
        </w:rPr>
        <w:t>B</w:t>
      </w:r>
      <w:r>
        <w:rPr>
          <w:rStyle w:val="footnotesChar"/>
        </w:rPr>
        <w:t>oerefijn</w:t>
      </w:r>
      <w:proofErr w:type="spellEnd"/>
      <w:r>
        <w:rPr>
          <w:rStyle w:val="footnotesChar"/>
        </w:rPr>
        <w:t xml:space="preserve">, I; </w:t>
      </w:r>
      <w:proofErr w:type="spellStart"/>
      <w:r>
        <w:rPr>
          <w:rStyle w:val="footnotesChar"/>
        </w:rPr>
        <w:t>Coomans</w:t>
      </w:r>
      <w:proofErr w:type="spellEnd"/>
      <w:r>
        <w:rPr>
          <w:rStyle w:val="footnotesChar"/>
        </w:rPr>
        <w:t xml:space="preserve">, F; Goldschmidt, J; </w:t>
      </w:r>
      <w:proofErr w:type="spellStart"/>
      <w:r>
        <w:rPr>
          <w:rStyle w:val="footnotesChar"/>
        </w:rPr>
        <w:t>Holtmaat</w:t>
      </w:r>
      <w:proofErr w:type="spellEnd"/>
      <w:r>
        <w:rPr>
          <w:rStyle w:val="footnotesChar"/>
        </w:rPr>
        <w:t>, R</w:t>
      </w:r>
      <w:r w:rsidRPr="00914D31">
        <w:rPr>
          <w:rStyle w:val="footnotesChar"/>
        </w:rPr>
        <w:t xml:space="preserve">; </w:t>
      </w:r>
      <w:proofErr w:type="spellStart"/>
      <w:r w:rsidRPr="00914D31">
        <w:rPr>
          <w:rStyle w:val="footnotesChar"/>
        </w:rPr>
        <w:t>W</w:t>
      </w:r>
      <w:r>
        <w:rPr>
          <w:rStyle w:val="footnotesChar"/>
        </w:rPr>
        <w:t>olleswinkel</w:t>
      </w:r>
      <w:proofErr w:type="spellEnd"/>
      <w:r w:rsidRPr="00914D31">
        <w:rPr>
          <w:rStyle w:val="footnotesChar"/>
        </w:rPr>
        <w:t>, R. (Eds</w:t>
      </w:r>
      <w:r>
        <w:rPr>
          <w:rStyle w:val="footnotesChar"/>
        </w:rPr>
        <w:t>.</w:t>
      </w:r>
      <w:r w:rsidRPr="00914D31">
        <w:rPr>
          <w:rStyle w:val="footnotesChar"/>
        </w:rPr>
        <w:t xml:space="preserve">) </w:t>
      </w:r>
      <w:r>
        <w:rPr>
          <w:rStyle w:val="footnotesChar"/>
          <w:i/>
        </w:rPr>
        <w:t>Temporary special m</w:t>
      </w:r>
      <w:r w:rsidRPr="00743837">
        <w:rPr>
          <w:rStyle w:val="footnotesChar"/>
          <w:i/>
        </w:rPr>
        <w:t>easures</w:t>
      </w:r>
      <w:r w:rsidRPr="00914D31">
        <w:rPr>
          <w:rStyle w:val="footnotesChar"/>
        </w:rPr>
        <w:t>. Antwerp/Oxfor</w:t>
      </w:r>
      <w:r>
        <w:rPr>
          <w:rStyle w:val="footnotesChar"/>
        </w:rPr>
        <w:t xml:space="preserve">d/New York: </w:t>
      </w:r>
      <w:proofErr w:type="spellStart"/>
      <w:r>
        <w:rPr>
          <w:rStyle w:val="footnotesChar"/>
        </w:rPr>
        <w:t>Intersentia</w:t>
      </w:r>
      <w:proofErr w:type="spellEnd"/>
      <w:r>
        <w:rPr>
          <w:rStyle w:val="footnotesChar"/>
        </w:rPr>
        <w:t>, 2003. P. 189;</w:t>
      </w:r>
      <w:r w:rsidRPr="00914D31">
        <w:rPr>
          <w:rStyle w:val="footnotesChar"/>
        </w:rPr>
        <w:t xml:space="preserve"> </w:t>
      </w:r>
      <w:proofErr w:type="spellStart"/>
      <w:r w:rsidRPr="00914D31">
        <w:rPr>
          <w:rStyle w:val="footnotesChar"/>
        </w:rPr>
        <w:t>D</w:t>
      </w:r>
      <w:r>
        <w:rPr>
          <w:rStyle w:val="footnotesChar"/>
        </w:rPr>
        <w:t>upper</w:t>
      </w:r>
      <w:proofErr w:type="spellEnd"/>
      <w:r>
        <w:rPr>
          <w:rStyle w:val="footnotesChar"/>
        </w:rPr>
        <w:t>, O. Restraint, deference and reasonableness affirmative a</w:t>
      </w:r>
      <w:r w:rsidRPr="00914D31">
        <w:rPr>
          <w:rStyle w:val="footnotesChar"/>
        </w:rPr>
        <w:t>ction in South Africa</w:t>
      </w:r>
      <w:r>
        <w:rPr>
          <w:rStyle w:val="footnotesChar"/>
        </w:rPr>
        <w:t xml:space="preserve">. In: </w:t>
      </w:r>
      <w:proofErr w:type="spellStart"/>
      <w:r>
        <w:rPr>
          <w:rStyle w:val="footnotesChar"/>
        </w:rPr>
        <w:t>Dupper</w:t>
      </w:r>
      <w:proofErr w:type="spellEnd"/>
      <w:r w:rsidRPr="00914D31">
        <w:rPr>
          <w:rStyle w:val="footnotesChar"/>
        </w:rPr>
        <w:t>, O; S</w:t>
      </w:r>
      <w:r>
        <w:rPr>
          <w:rStyle w:val="footnotesChar"/>
        </w:rPr>
        <w:t>ankaran</w:t>
      </w:r>
      <w:r w:rsidRPr="00914D31">
        <w:rPr>
          <w:rStyle w:val="footnotesChar"/>
        </w:rPr>
        <w:t>, K. (eds</w:t>
      </w:r>
      <w:r>
        <w:rPr>
          <w:rStyle w:val="footnotesChar"/>
        </w:rPr>
        <w:t>.</w:t>
      </w:r>
      <w:r w:rsidRPr="00914D31">
        <w:rPr>
          <w:rStyle w:val="footnotesChar"/>
        </w:rPr>
        <w:t xml:space="preserve">) </w:t>
      </w:r>
      <w:r w:rsidRPr="00743837">
        <w:rPr>
          <w:rStyle w:val="footnotesChar"/>
          <w:i/>
        </w:rPr>
        <w:t>Aff</w:t>
      </w:r>
      <w:r>
        <w:rPr>
          <w:rStyle w:val="footnotesChar"/>
          <w:i/>
        </w:rPr>
        <w:t>irmative action, a view from the g</w:t>
      </w:r>
      <w:r w:rsidRPr="00743837">
        <w:rPr>
          <w:rStyle w:val="footnotesChar"/>
          <w:i/>
        </w:rPr>
        <w:t>lobal South</w:t>
      </w:r>
      <w:r w:rsidRPr="00914D31">
        <w:rPr>
          <w:rStyle w:val="footnotesChar"/>
        </w:rPr>
        <w:t>. S</w:t>
      </w:r>
      <w:r>
        <w:rPr>
          <w:rStyle w:val="footnotesChar"/>
        </w:rPr>
        <w:t>tellenbosch: Sun Press, 2014.  P</w:t>
      </w:r>
      <w:r w:rsidRPr="00914D31">
        <w:rPr>
          <w:rStyle w:val="footnotesChar"/>
        </w:rPr>
        <w:t>. 255.</w:t>
      </w:r>
    </w:p>
  </w:footnote>
  <w:footnote w:id="24">
    <w:p w14:paraId="0DC3B6B1" w14:textId="742679E4" w:rsidR="00A76EEA" w:rsidRDefault="00A76EEA" w:rsidP="00A76EEA">
      <w:pPr>
        <w:pStyle w:val="footnote"/>
      </w:pPr>
      <w:r>
        <w:rPr>
          <w:rStyle w:val="FootnoteReference"/>
        </w:rPr>
        <w:footnoteRef/>
      </w:r>
      <w:r>
        <w:t xml:space="preserve"> Howard, E. (supra note </w:t>
      </w:r>
      <w:r>
        <w:fldChar w:fldCharType="begin"/>
      </w:r>
      <w:r>
        <w:instrText xml:space="preserve"> NOTEREF _Ref34820590 \h  \* MERGEFORMAT </w:instrText>
      </w:r>
      <w:r>
        <w:fldChar w:fldCharType="separate"/>
      </w:r>
      <w:r w:rsidR="00BB509E">
        <w:t>3</w:t>
      </w:r>
      <w:r>
        <w:fldChar w:fldCharType="end"/>
      </w:r>
      <w:r>
        <w:t>, p. 213-214).</w:t>
      </w:r>
    </w:p>
  </w:footnote>
  <w:footnote w:id="25">
    <w:p w14:paraId="0B41D575" w14:textId="57C03507" w:rsidR="007E223C" w:rsidRPr="00160427" w:rsidRDefault="007E223C" w:rsidP="00510924">
      <w:pPr>
        <w:pStyle w:val="footnote"/>
      </w:pPr>
      <w:r>
        <w:rPr>
          <w:rStyle w:val="FootnoteReference"/>
        </w:rPr>
        <w:footnoteRef/>
      </w:r>
      <w:proofErr w:type="spellStart"/>
      <w:r w:rsidRPr="00EC01F0">
        <w:rPr>
          <w:i/>
        </w:rPr>
        <w:t>Abrahamsson</w:t>
      </w:r>
      <w:proofErr w:type="spellEnd"/>
      <w:r w:rsidRPr="00EC01F0">
        <w:rPr>
          <w:i/>
        </w:rPr>
        <w:t xml:space="preserve"> and Anderson v </w:t>
      </w:r>
      <w:proofErr w:type="spellStart"/>
      <w:r w:rsidRPr="00EC01F0">
        <w:rPr>
          <w:i/>
        </w:rPr>
        <w:t>Fogelqvist</w:t>
      </w:r>
      <w:proofErr w:type="spellEnd"/>
      <w:r>
        <w:rPr>
          <w:i/>
        </w:rPr>
        <w:t xml:space="preserve"> </w:t>
      </w:r>
      <w:r>
        <w:t xml:space="preserve">(supra note </w:t>
      </w:r>
      <w:r>
        <w:fldChar w:fldCharType="begin"/>
      </w:r>
      <w:r>
        <w:instrText xml:space="preserve"> NOTEREF _Ref522700808 \h  \* MERGEFORMAT </w:instrText>
      </w:r>
      <w:r>
        <w:fldChar w:fldCharType="separate"/>
      </w:r>
      <w:r w:rsidR="00BB509E">
        <w:t>7</w:t>
      </w:r>
      <w:r>
        <w:fldChar w:fldCharType="end"/>
      </w:r>
      <w:r>
        <w:t xml:space="preserve">). See on this: Ellis, E; Watson, P. (supra note </w:t>
      </w:r>
      <w:r>
        <w:fldChar w:fldCharType="begin"/>
      </w:r>
      <w:r>
        <w:instrText xml:space="preserve"> NOTEREF _Ref522700808 \h  \* MERGEFORMAT </w:instrText>
      </w:r>
      <w:r>
        <w:fldChar w:fldCharType="separate"/>
      </w:r>
      <w:r w:rsidR="00BB509E">
        <w:t>7</w:t>
      </w:r>
      <w:r>
        <w:fldChar w:fldCharType="end"/>
      </w:r>
      <w:r>
        <w:t>, P. 434-436).</w:t>
      </w:r>
    </w:p>
  </w:footnote>
  <w:footnote w:id="26">
    <w:p w14:paraId="77A6B361" w14:textId="000332CD" w:rsidR="007E223C" w:rsidRPr="00DB5582" w:rsidRDefault="007E223C" w:rsidP="00510924">
      <w:pPr>
        <w:pStyle w:val="footnote"/>
        <w:rPr>
          <w:lang w:val="es-ES"/>
        </w:rPr>
      </w:pPr>
      <w:r>
        <w:rPr>
          <w:rStyle w:val="FootnoteReference"/>
        </w:rPr>
        <w:footnoteRef/>
      </w:r>
      <w:r>
        <w:t xml:space="preserve"> </w:t>
      </w:r>
      <w:r w:rsidRPr="003F39A8">
        <w:rPr>
          <w:i/>
        </w:rPr>
        <w:t xml:space="preserve">Discrimination </w:t>
      </w:r>
      <w:r>
        <w:rPr>
          <w:i/>
        </w:rPr>
        <w:t>Law Review: A Framework for fairness: proposals for a single equality b</w:t>
      </w:r>
      <w:r w:rsidRPr="003F39A8">
        <w:rPr>
          <w:i/>
        </w:rPr>
        <w:t>ill for Great Britain</w:t>
      </w:r>
      <w:r>
        <w:t xml:space="preserve"> (London, Department for Communities and Local Government, 2007) Part 2. </w:t>
      </w:r>
      <w:r w:rsidRPr="00DB5582">
        <w:rPr>
          <w:lang w:val="es-ES"/>
        </w:rPr>
        <w:t xml:space="preserve">Para. 7: </w:t>
      </w:r>
      <w:hyperlink r:id="rId11" w:history="1">
        <w:r w:rsidRPr="00DB5582">
          <w:rPr>
            <w:rStyle w:val="Hyperlink"/>
            <w:lang w:val="es-ES"/>
          </w:rPr>
          <w:t>http://webarchive.nationalarchives.gov.uk/20120919212654/http://www.communities.gov.uk/documents/corporate/pdf/325332.pdf</w:t>
        </w:r>
      </w:hyperlink>
    </w:p>
  </w:footnote>
  <w:footnote w:id="27">
    <w:p w14:paraId="513C9430" w14:textId="77777777" w:rsidR="007E223C" w:rsidRPr="00A76EEA" w:rsidRDefault="007E223C" w:rsidP="00510924">
      <w:pPr>
        <w:pStyle w:val="footnote"/>
      </w:pPr>
      <w:r w:rsidRPr="008C4A65">
        <w:rPr>
          <w:rStyle w:val="FootnoteReference"/>
        </w:rPr>
        <w:footnoteRef/>
      </w:r>
      <w:r w:rsidRPr="006A0B54">
        <w:rPr>
          <w:lang w:val="es-ES"/>
        </w:rPr>
        <w:t xml:space="preserve"> Ibid. </w:t>
      </w:r>
      <w:proofErr w:type="spellStart"/>
      <w:r w:rsidRPr="006A0B54">
        <w:rPr>
          <w:lang w:val="es-ES"/>
        </w:rPr>
        <w:t>Chapter</w:t>
      </w:r>
      <w:proofErr w:type="spellEnd"/>
      <w:r w:rsidRPr="006A0B54">
        <w:rPr>
          <w:lang w:val="es-ES"/>
        </w:rPr>
        <w:t xml:space="preserve"> 4. </w:t>
      </w:r>
      <w:r w:rsidRPr="00A76EEA">
        <w:t>Para. 4.15.</w:t>
      </w:r>
    </w:p>
  </w:footnote>
  <w:footnote w:id="28">
    <w:p w14:paraId="1C0DCA55" w14:textId="77777777" w:rsidR="007E223C" w:rsidRPr="00A76EEA" w:rsidRDefault="007E223C" w:rsidP="00510924">
      <w:pPr>
        <w:pStyle w:val="footnote"/>
      </w:pPr>
      <w:r>
        <w:rPr>
          <w:rStyle w:val="FootnoteReference"/>
        </w:rPr>
        <w:footnoteRef/>
      </w:r>
      <w:r w:rsidRPr="00A76EEA">
        <w:t xml:space="preserve"> Ibid. Para. 4.46.</w:t>
      </w:r>
    </w:p>
  </w:footnote>
  <w:footnote w:id="29">
    <w:p w14:paraId="5817F100" w14:textId="1A844317" w:rsidR="007E223C" w:rsidRDefault="007E223C" w:rsidP="00510924">
      <w:pPr>
        <w:pStyle w:val="footnote"/>
      </w:pPr>
      <w:r>
        <w:rPr>
          <w:rStyle w:val="FootnoteReference"/>
        </w:rPr>
        <w:footnoteRef/>
      </w:r>
      <w:r>
        <w:t xml:space="preserve"> Explanatory notes section 159: </w:t>
      </w:r>
      <w:hyperlink r:id="rId12" w:history="1">
        <w:r w:rsidRPr="00F83682">
          <w:rPr>
            <w:rStyle w:val="Hyperlink"/>
          </w:rPr>
          <w:t>https://www.legislation.gov.uk/ukpga/2010/15/notes/contents</w:t>
        </w:r>
      </w:hyperlink>
    </w:p>
  </w:footnote>
  <w:footnote w:id="30">
    <w:p w14:paraId="298569D6" w14:textId="46019F25" w:rsidR="007E223C" w:rsidRDefault="007E223C" w:rsidP="00510924">
      <w:pPr>
        <w:pStyle w:val="footnote"/>
      </w:pPr>
      <w:r>
        <w:rPr>
          <w:rStyle w:val="FootnoteReference"/>
        </w:rPr>
        <w:footnoteRef/>
      </w:r>
      <w:r>
        <w:t xml:space="preserve"> Davies, A. </w:t>
      </w:r>
      <w:r>
        <w:rPr>
          <w:i/>
          <w:iCs/>
        </w:rPr>
        <w:t xml:space="preserve">Employment law. </w:t>
      </w:r>
      <w:r>
        <w:t>Harlow: Pearson, 2015. P. 202 and 204.</w:t>
      </w:r>
    </w:p>
  </w:footnote>
  <w:footnote w:id="31">
    <w:p w14:paraId="7E3A129A" w14:textId="5E69B93E" w:rsidR="007E223C" w:rsidRPr="00AC10F7" w:rsidRDefault="007E223C" w:rsidP="00510924">
      <w:pPr>
        <w:pStyle w:val="footnote"/>
      </w:pPr>
      <w:r>
        <w:rPr>
          <w:rStyle w:val="FootnoteReference"/>
        </w:rPr>
        <w:footnoteRef/>
      </w:r>
      <w:r>
        <w:t xml:space="preserve"> See, for example, </w:t>
      </w:r>
      <w:proofErr w:type="spellStart"/>
      <w:r>
        <w:t>Hepple</w:t>
      </w:r>
      <w:proofErr w:type="spellEnd"/>
      <w:r>
        <w:t xml:space="preserve">, B. </w:t>
      </w:r>
      <w:r>
        <w:rPr>
          <w:i/>
        </w:rPr>
        <w:t xml:space="preserve">Equality: the legal framework, </w:t>
      </w:r>
      <w:r>
        <w:t>2</w:t>
      </w:r>
      <w:r w:rsidRPr="003F4AE6">
        <w:rPr>
          <w:vertAlign w:val="superscript"/>
        </w:rPr>
        <w:t>nd</w:t>
      </w:r>
      <w:r>
        <w:t xml:space="preserve"> ed., Oxford/Portland Oregon: Hart Publishing, 2014. P. 160; Johns, N; MacBride-Stewart, S; Powell, M; Green, A. When is positive action not positive action? Exploring the conceptual meaning and implications of the tie-break criterion in the UK Equality Act 2010. </w:t>
      </w:r>
      <w:r>
        <w:rPr>
          <w:i/>
        </w:rPr>
        <w:t xml:space="preserve">Equality, Diversity and Inclusion: an International Journal. </w:t>
      </w:r>
      <w:r>
        <w:t xml:space="preserve">(2014) p. 98; Davies, A. (supra note </w:t>
      </w:r>
      <w:r>
        <w:fldChar w:fldCharType="begin"/>
      </w:r>
      <w:r>
        <w:instrText xml:space="preserve"> NOTEREF _Ref523562647 \h  \* MERGEFORMAT </w:instrText>
      </w:r>
      <w:r>
        <w:fldChar w:fldCharType="separate"/>
      </w:r>
      <w:r w:rsidR="00BB509E">
        <w:t>30</w:t>
      </w:r>
      <w:r>
        <w:fldChar w:fldCharType="end"/>
      </w:r>
      <w:r>
        <w:t>); Davies, C; Robison, M. Shifting the starting blocks: an exploration of the use and impact of positive a</w:t>
      </w:r>
      <w:r w:rsidRPr="00F86B7D">
        <w:t>ction in the UK.</w:t>
      </w:r>
      <w:r>
        <w:t xml:space="preserve"> In: </w:t>
      </w:r>
      <w:r>
        <w:rPr>
          <w:i/>
        </w:rPr>
        <w:t xml:space="preserve">Beyond 2015 shaping the future of equality, human rights and social justice. </w:t>
      </w:r>
      <w:r w:rsidRPr="00AC10F7">
        <w:t>Equality and Diversity Forum</w:t>
      </w:r>
      <w:r>
        <w:t xml:space="preserve">, 2015. P. 65 and 70: </w:t>
      </w:r>
      <w:hyperlink r:id="rId13" w:history="1">
        <w:r w:rsidRPr="009F3676">
          <w:rPr>
            <w:rStyle w:val="Hyperlink"/>
          </w:rPr>
          <w:t>http://www.edf.org.uk/wp-content/uploads/2015/04/EDFJ3259_Beyond_2015_publication_22.07.15_WEB.pdf</w:t>
        </w:r>
      </w:hyperlink>
      <w:r>
        <w:t xml:space="preserve"> This article explains why empirical evidence is needed of how the positive action measures in the Equality Act 2010 work in practice. The results of authors’ study can be found in: Davies, C; Robison, M. </w:t>
      </w:r>
      <w:r>
        <w:rPr>
          <w:i/>
        </w:rPr>
        <w:t>Bridging the gap: an exploration of the u</w:t>
      </w:r>
      <w:r w:rsidRPr="0037008C">
        <w:rPr>
          <w:i/>
        </w:rPr>
        <w:t>s</w:t>
      </w:r>
      <w:r>
        <w:rPr>
          <w:i/>
        </w:rPr>
        <w:t>e and impact of positive a</w:t>
      </w:r>
      <w:r w:rsidRPr="0037008C">
        <w:rPr>
          <w:i/>
        </w:rPr>
        <w:t>ction in the UK</w:t>
      </w:r>
      <w:r>
        <w:t>. 2016.</w:t>
      </w:r>
      <w:r w:rsidRPr="0037008C">
        <w:rPr>
          <w:i/>
        </w:rPr>
        <w:t xml:space="preserve"> </w:t>
      </w:r>
      <w:r>
        <w:t xml:space="preserve">P. 4: </w:t>
      </w:r>
      <w:hyperlink r:id="rId14" w:history="1">
        <w:r w:rsidRPr="001D7D73">
          <w:rPr>
            <w:rStyle w:val="Hyperlink"/>
          </w:rPr>
          <w:t>https://core.ac.uk/download/pdf/33794901.pdf</w:t>
        </w:r>
      </w:hyperlink>
    </w:p>
  </w:footnote>
  <w:footnote w:id="32">
    <w:p w14:paraId="14E89250" w14:textId="18F46BB9" w:rsidR="007E223C" w:rsidRDefault="007E223C" w:rsidP="00510924">
      <w:pPr>
        <w:pStyle w:val="footnote"/>
      </w:pPr>
      <w:r>
        <w:rPr>
          <w:rStyle w:val="FootnoteReference"/>
        </w:rPr>
        <w:footnoteRef/>
      </w:r>
      <w:r>
        <w:t xml:space="preserve"> Johns, N. </w:t>
      </w:r>
      <w:r w:rsidRPr="00640E2B">
        <w:rPr>
          <w:i/>
        </w:rPr>
        <w:t>et al</w:t>
      </w:r>
      <w:r>
        <w:t xml:space="preserve">. (supra note </w:t>
      </w:r>
      <w:r>
        <w:fldChar w:fldCharType="begin"/>
      </w:r>
      <w:r>
        <w:instrText xml:space="preserve"> NOTEREF _Ref523562578 \h  \* MERGEFORMAT </w:instrText>
      </w:r>
      <w:r>
        <w:fldChar w:fldCharType="separate"/>
      </w:r>
      <w:r w:rsidR="00BB509E">
        <w:t>31</w:t>
      </w:r>
      <w:r>
        <w:fldChar w:fldCharType="end"/>
      </w:r>
      <w:r>
        <w:t>, p. 98).</w:t>
      </w:r>
    </w:p>
  </w:footnote>
  <w:footnote w:id="33">
    <w:p w14:paraId="3941BDFC" w14:textId="7F10D892" w:rsidR="007E223C" w:rsidRPr="00A76EEA" w:rsidRDefault="007E223C" w:rsidP="00510924">
      <w:pPr>
        <w:pStyle w:val="footnote"/>
        <w:rPr>
          <w:lang w:val="es-ES"/>
        </w:rPr>
      </w:pPr>
      <w:r>
        <w:rPr>
          <w:rStyle w:val="FootnoteReference"/>
        </w:rPr>
        <w:footnoteRef/>
      </w:r>
      <w:r w:rsidRPr="00A76EEA">
        <w:rPr>
          <w:lang w:val="es-ES"/>
        </w:rPr>
        <w:t xml:space="preserve"> Davies, C; </w:t>
      </w:r>
      <w:proofErr w:type="spellStart"/>
      <w:r w:rsidRPr="00A76EEA">
        <w:rPr>
          <w:lang w:val="es-ES"/>
        </w:rPr>
        <w:t>Robison</w:t>
      </w:r>
      <w:proofErr w:type="spellEnd"/>
      <w:r w:rsidRPr="00A76EEA">
        <w:rPr>
          <w:lang w:val="es-ES"/>
        </w:rPr>
        <w:t xml:space="preserve">, M. (2015) (supra note </w:t>
      </w:r>
      <w:r>
        <w:fldChar w:fldCharType="begin"/>
      </w:r>
      <w:r w:rsidRPr="00A76EEA">
        <w:rPr>
          <w:lang w:val="es-ES"/>
        </w:rPr>
        <w:instrText xml:space="preserve"> NOTEREF _Ref523562578 \h  \* MERGEFORMAT </w:instrText>
      </w:r>
      <w:r>
        <w:fldChar w:fldCharType="separate"/>
      </w:r>
      <w:r w:rsidR="00BB509E">
        <w:rPr>
          <w:lang w:val="es-ES"/>
        </w:rPr>
        <w:t>31</w:t>
      </w:r>
      <w:r>
        <w:fldChar w:fldCharType="end"/>
      </w:r>
      <w:r w:rsidRPr="00A76EEA">
        <w:rPr>
          <w:lang w:val="es-ES"/>
        </w:rPr>
        <w:t>, p. 70).</w:t>
      </w:r>
    </w:p>
  </w:footnote>
  <w:footnote w:id="34">
    <w:p w14:paraId="2A224BDB" w14:textId="06114195" w:rsidR="007E223C" w:rsidRPr="00A76EEA" w:rsidRDefault="007E223C" w:rsidP="00510924">
      <w:pPr>
        <w:pStyle w:val="footnote"/>
        <w:rPr>
          <w:i/>
          <w:iCs/>
          <w:lang w:val="es-ES"/>
        </w:rPr>
      </w:pPr>
      <w:r>
        <w:rPr>
          <w:rStyle w:val="FootnoteReference"/>
        </w:rPr>
        <w:footnoteRef/>
      </w:r>
      <w:r w:rsidRPr="00A76EEA">
        <w:rPr>
          <w:lang w:val="es-ES"/>
        </w:rPr>
        <w:t xml:space="preserve"> </w:t>
      </w:r>
      <w:r>
        <w:rPr>
          <w:lang w:val="es-ES"/>
        </w:rPr>
        <w:t>Ibid.</w:t>
      </w:r>
      <w:r w:rsidRPr="00A76EEA">
        <w:rPr>
          <w:lang w:val="es-ES"/>
        </w:rPr>
        <w:t xml:space="preserve"> </w:t>
      </w:r>
      <w:r w:rsidR="00A76EEA">
        <w:rPr>
          <w:lang w:val="es-ES"/>
        </w:rPr>
        <w:t>P</w:t>
      </w:r>
      <w:r w:rsidRPr="00A76EEA">
        <w:rPr>
          <w:lang w:val="es-ES"/>
        </w:rPr>
        <w:t xml:space="preserve">. 20. </w:t>
      </w:r>
    </w:p>
  </w:footnote>
  <w:footnote w:id="35">
    <w:p w14:paraId="00C4EC33" w14:textId="091AF04E" w:rsidR="007E223C" w:rsidRDefault="007E223C" w:rsidP="00510924">
      <w:pPr>
        <w:pStyle w:val="footnote"/>
      </w:pPr>
      <w:r>
        <w:rPr>
          <w:rStyle w:val="FootnoteReference"/>
        </w:rPr>
        <w:footnoteRef/>
      </w:r>
      <w:r>
        <w:t xml:space="preserve"> See Schedule 13 of the Crime and Courts Act 2013:  </w:t>
      </w:r>
      <w:hyperlink r:id="rId15" w:history="1">
        <w:r w:rsidRPr="005E2B6B">
          <w:rPr>
            <w:rStyle w:val="Hyperlink"/>
          </w:rPr>
          <w:t>http://www.legislation.gov.uk/ukpga/2013/22/enacted</w:t>
        </w:r>
      </w:hyperlink>
    </w:p>
  </w:footnote>
  <w:footnote w:id="36">
    <w:p w14:paraId="1DA619A0" w14:textId="2F206567" w:rsidR="007E223C" w:rsidRDefault="007E223C" w:rsidP="0012757E">
      <w:pPr>
        <w:pStyle w:val="footnote"/>
      </w:pPr>
      <w:r>
        <w:rPr>
          <w:rStyle w:val="FootnoteReference"/>
        </w:rPr>
        <w:footnoteRef/>
      </w:r>
      <w:r>
        <w:t xml:space="preserve"> See: </w:t>
      </w:r>
      <w:hyperlink r:id="rId16" w:history="1">
        <w:r w:rsidRPr="00FD2692">
          <w:rPr>
            <w:rStyle w:val="Hyperlink"/>
          </w:rPr>
          <w:t>https://www.judicialappointments.gov.uk/sites/default/files/sync/about_the_jac/equal-merit-provision-policy-mar2017.pdf</w:t>
        </w:r>
      </w:hyperlink>
      <w:r>
        <w:t xml:space="preserve"> </w:t>
      </w:r>
    </w:p>
  </w:footnote>
  <w:footnote w:id="37">
    <w:p w14:paraId="0831D257" w14:textId="61AB8FD1" w:rsidR="007E223C" w:rsidRDefault="007E223C" w:rsidP="0012757E">
      <w:pPr>
        <w:pStyle w:val="footnote"/>
      </w:pPr>
      <w:r>
        <w:rPr>
          <w:rStyle w:val="FootnoteReference"/>
        </w:rPr>
        <w:footnoteRef/>
      </w:r>
      <w:r>
        <w:t xml:space="preserve"> For these statistics bulletins see: </w:t>
      </w:r>
      <w:hyperlink r:id="rId17" w:history="1">
        <w:r w:rsidRPr="005E2B6B">
          <w:rPr>
            <w:rStyle w:val="Hyperlink"/>
          </w:rPr>
          <w:t>https://www.judicialappointments.gov.uk/jac-official-statistics</w:t>
        </w:r>
      </w:hyperlink>
    </w:p>
  </w:footnote>
  <w:footnote w:id="38">
    <w:p w14:paraId="7A5F0FF5" w14:textId="66BAA772" w:rsidR="007E223C" w:rsidRDefault="007E223C" w:rsidP="0012757E">
      <w:pPr>
        <w:pStyle w:val="footnote"/>
      </w:pPr>
      <w:r>
        <w:rPr>
          <w:rStyle w:val="FootnoteReference"/>
        </w:rPr>
        <w:footnoteRef/>
      </w:r>
      <w:r>
        <w:t xml:space="preserve"> JAC Statistics Bulletin. 1 April 2014 to 31 March 2015. P. 4.</w:t>
      </w:r>
    </w:p>
  </w:footnote>
  <w:footnote w:id="39">
    <w:p w14:paraId="2BF422FA" w14:textId="21B6B395" w:rsidR="007E223C" w:rsidRDefault="007E223C" w:rsidP="0012757E">
      <w:pPr>
        <w:pStyle w:val="footnote"/>
      </w:pPr>
      <w:r>
        <w:rPr>
          <w:rStyle w:val="FootnoteReference"/>
        </w:rPr>
        <w:footnoteRef/>
      </w:r>
      <w:r>
        <w:t xml:space="preserve"> JAC Statistics Bulletin. 1 April 2015 to 31 March 2016. P. 11.</w:t>
      </w:r>
    </w:p>
  </w:footnote>
  <w:footnote w:id="40">
    <w:p w14:paraId="4FEEA184" w14:textId="5F779F5B" w:rsidR="007E223C" w:rsidRDefault="007E223C" w:rsidP="0012757E">
      <w:pPr>
        <w:pStyle w:val="footnote"/>
      </w:pPr>
      <w:r>
        <w:rPr>
          <w:rStyle w:val="FootnoteReference"/>
        </w:rPr>
        <w:footnoteRef/>
      </w:r>
      <w:r>
        <w:t xml:space="preserve"> JAC Statistics Bulletin. 1 April 2016 to 31 March 2017. P. 12.</w:t>
      </w:r>
    </w:p>
  </w:footnote>
  <w:footnote w:id="41">
    <w:p w14:paraId="10B736D9" w14:textId="3195EB7B" w:rsidR="007E223C" w:rsidRDefault="007E223C" w:rsidP="0012757E">
      <w:pPr>
        <w:pStyle w:val="footnote"/>
      </w:pPr>
      <w:r>
        <w:rPr>
          <w:rStyle w:val="FootnoteReference"/>
        </w:rPr>
        <w:footnoteRef/>
      </w:r>
      <w:r>
        <w:t xml:space="preserve"> JAC Statistics Bulletin. 1 April 2017 to 31 March 2018. P. 10.</w:t>
      </w:r>
    </w:p>
  </w:footnote>
  <w:footnote w:id="42">
    <w:p w14:paraId="5FBFD9E7" w14:textId="553D9090" w:rsidR="007E223C" w:rsidRPr="00BB6B38" w:rsidRDefault="007E223C" w:rsidP="0012757E">
      <w:pPr>
        <w:pStyle w:val="footnote"/>
      </w:pPr>
      <w:r>
        <w:rPr>
          <w:rStyle w:val="FootnoteReference"/>
        </w:rPr>
        <w:footnoteRef/>
      </w:r>
      <w:r>
        <w:t xml:space="preserve"> Kelly, R; White, I. House of Commons Library Briefing Paper Number 5057. </w:t>
      </w:r>
      <w:r>
        <w:rPr>
          <w:i/>
        </w:rPr>
        <w:t xml:space="preserve">All-women shortlists. </w:t>
      </w:r>
      <w:r>
        <w:t xml:space="preserve">7 March 2016. P. 15-16: </w:t>
      </w:r>
      <w:hyperlink r:id="rId18" w:anchor="fullreport" w:history="1">
        <w:r w:rsidRPr="005628F0">
          <w:rPr>
            <w:rStyle w:val="Hyperlink"/>
          </w:rPr>
          <w:t>http://researchbriefings.parliament.uk/ResearchBriefing/Summary/SN05057#fullreport</w:t>
        </w:r>
      </w:hyperlink>
      <w:r>
        <w:t xml:space="preserve"> For more information on this, see the authors referred to by Kelly and White.</w:t>
      </w:r>
    </w:p>
  </w:footnote>
  <w:footnote w:id="43">
    <w:p w14:paraId="5E176029" w14:textId="77777777" w:rsidR="007E223C" w:rsidRDefault="007E223C" w:rsidP="0012757E">
      <w:pPr>
        <w:pStyle w:val="footnote"/>
      </w:pPr>
      <w:r>
        <w:rPr>
          <w:rStyle w:val="FootnoteReference"/>
        </w:rPr>
        <w:footnoteRef/>
      </w:r>
      <w:r>
        <w:t xml:space="preserve"> Ibid. P. 14. </w:t>
      </w:r>
    </w:p>
  </w:footnote>
  <w:footnote w:id="44">
    <w:p w14:paraId="0E94942B" w14:textId="7D5BB0FC" w:rsidR="00DB25F6" w:rsidRPr="00DB25F6" w:rsidRDefault="00DB25F6" w:rsidP="00E423C0">
      <w:pPr>
        <w:pStyle w:val="footnote"/>
      </w:pPr>
      <w:r>
        <w:rPr>
          <w:rStyle w:val="FootnoteReference"/>
        </w:rPr>
        <w:footnoteRef/>
      </w:r>
      <w:r>
        <w:t xml:space="preserve"> </w:t>
      </w:r>
      <w:proofErr w:type="spellStart"/>
      <w:r>
        <w:t>Uberoi</w:t>
      </w:r>
      <w:proofErr w:type="spellEnd"/>
      <w:r>
        <w:t xml:space="preserve">, E; Watson, C; Kirk-Wade, E. House of Commons Library Briefing Paper Number SN01250. </w:t>
      </w:r>
      <w:r>
        <w:rPr>
          <w:i/>
        </w:rPr>
        <w:t>Women in Parliament and Government.</w:t>
      </w:r>
      <w:r>
        <w:t xml:space="preserve"> 25 February 2020: </w:t>
      </w:r>
      <w:hyperlink r:id="rId19" w:history="1">
        <w:r w:rsidRPr="00C871BA">
          <w:rPr>
            <w:rStyle w:val="Hyperlink"/>
          </w:rPr>
          <w:t>https://commonslibrary.parliament.uk/research-briefings/sn01250/</w:t>
        </w:r>
      </w:hyperlink>
      <w:r>
        <w:t xml:space="preserve"> (accessed 11 March 2020).</w:t>
      </w:r>
    </w:p>
  </w:footnote>
  <w:footnote w:id="45">
    <w:p w14:paraId="09C62CE1" w14:textId="206E5C1A" w:rsidR="007E223C" w:rsidRPr="0088684E" w:rsidRDefault="007E223C" w:rsidP="0012757E">
      <w:pPr>
        <w:pStyle w:val="footnote"/>
      </w:pPr>
      <w:r>
        <w:rPr>
          <w:rStyle w:val="FootnoteReference"/>
        </w:rPr>
        <w:footnoteRef/>
      </w:r>
      <w:r w:rsidRPr="00245343">
        <w:t xml:space="preserve"> </w:t>
      </w:r>
      <w:r>
        <w:t xml:space="preserve">McCrudden, C. </w:t>
      </w:r>
      <w:r>
        <w:rPr>
          <w:i/>
        </w:rPr>
        <w:t>et al</w:t>
      </w:r>
      <w:r>
        <w:t xml:space="preserve">. </w:t>
      </w:r>
      <w:r w:rsidRPr="007E223C">
        <w:t>(s</w:t>
      </w:r>
      <w:r>
        <w:t>u</w:t>
      </w:r>
      <w:r w:rsidRPr="007E223C">
        <w:t>pra note</w:t>
      </w:r>
      <w:r>
        <w:fldChar w:fldCharType="begin"/>
      </w:r>
      <w:r>
        <w:instrText xml:space="preserve"> NOTEREF _Ref34819767 \h </w:instrText>
      </w:r>
      <w:r>
        <w:fldChar w:fldCharType="separate"/>
      </w:r>
      <w:r w:rsidR="00BB509E">
        <w:t>12</w:t>
      </w:r>
      <w:r>
        <w:fldChar w:fldCharType="end"/>
      </w:r>
      <w:r>
        <w:t xml:space="preserve">, p. 7); </w:t>
      </w:r>
      <w:proofErr w:type="spellStart"/>
      <w:r>
        <w:t>Equinet</w:t>
      </w:r>
      <w:proofErr w:type="spellEnd"/>
      <w:r>
        <w:t xml:space="preserve"> (supra note </w:t>
      </w:r>
      <w:r>
        <w:fldChar w:fldCharType="begin"/>
      </w:r>
      <w:r>
        <w:instrText xml:space="preserve"> NOTEREF _Ref34819808 \h </w:instrText>
      </w:r>
      <w:r>
        <w:fldChar w:fldCharType="separate"/>
      </w:r>
      <w:r w:rsidR="00BB509E">
        <w:t>14</w:t>
      </w:r>
      <w:r>
        <w:fldChar w:fldCharType="end"/>
      </w:r>
      <w:r>
        <w:t xml:space="preserve">, p. 51). </w:t>
      </w:r>
    </w:p>
  </w:footnote>
  <w:footnote w:id="46">
    <w:p w14:paraId="12B46FE9" w14:textId="5244DD04" w:rsidR="007E223C" w:rsidRDefault="007E223C" w:rsidP="002B0631">
      <w:pPr>
        <w:pStyle w:val="footnote"/>
      </w:pPr>
      <w:r>
        <w:rPr>
          <w:rStyle w:val="FootnoteReference"/>
        </w:rPr>
        <w:footnoteRef/>
      </w:r>
      <w:r>
        <w:t xml:space="preserve"> Hinds, B; O’Kelly, C. Affirmative action in Northern Ireland. In: Kennedy-</w:t>
      </w:r>
      <w:proofErr w:type="spellStart"/>
      <w:r>
        <w:t>Dubourdieu</w:t>
      </w:r>
      <w:proofErr w:type="spellEnd"/>
      <w:r>
        <w:t xml:space="preserve">, E. (supra note </w:t>
      </w:r>
      <w:r>
        <w:fldChar w:fldCharType="begin"/>
      </w:r>
      <w:r>
        <w:instrText xml:space="preserve"> NOTEREF _Ref30066714 \h </w:instrText>
      </w:r>
      <w:r>
        <w:fldChar w:fldCharType="separate"/>
      </w:r>
      <w:r w:rsidR="00BB509E">
        <w:t>1</w:t>
      </w:r>
      <w:r>
        <w:fldChar w:fldCharType="end"/>
      </w:r>
      <w:r>
        <w:t>, p. 121).</w:t>
      </w:r>
    </w:p>
  </w:footnote>
  <w:footnote w:id="47">
    <w:p w14:paraId="2F35EBA7" w14:textId="77777777" w:rsidR="007E223C" w:rsidRDefault="007E223C" w:rsidP="002B0631">
      <w:pPr>
        <w:pStyle w:val="footnote"/>
      </w:pPr>
      <w:r>
        <w:rPr>
          <w:rStyle w:val="FootnoteReference"/>
        </w:rPr>
        <w:footnoteRef/>
      </w:r>
      <w:r>
        <w:t xml:space="preserve"> Ibid. P. 122. </w:t>
      </w:r>
    </w:p>
  </w:footnote>
  <w:footnote w:id="48">
    <w:p w14:paraId="429E2D60" w14:textId="570EC454" w:rsidR="007E223C" w:rsidRDefault="007E223C" w:rsidP="002B0631">
      <w:pPr>
        <w:pStyle w:val="footnote"/>
      </w:pPr>
      <w:r>
        <w:rPr>
          <w:rStyle w:val="FootnoteReference"/>
        </w:rPr>
        <w:footnoteRef/>
      </w:r>
      <w:r>
        <w:t xml:space="preserve"> Northern Ireland Statistics and Research Agency. Labour Force Survey Religion Report 2016, annual update – January 2018. P. 3: </w:t>
      </w:r>
      <w:hyperlink r:id="rId20" w:history="1">
        <w:r w:rsidRPr="005E2B6B">
          <w:rPr>
            <w:rStyle w:val="Hyperlink"/>
          </w:rPr>
          <w:t>https://www.executiveoffice-ni.gov.uk/sites/default/files/publications/execoffice/lfs-religion-report-2016.pdf</w:t>
        </w:r>
      </w:hyperlink>
    </w:p>
  </w:footnote>
  <w:footnote w:id="49">
    <w:p w14:paraId="493F8F32" w14:textId="3AC7C041" w:rsidR="007E223C" w:rsidRDefault="007E223C" w:rsidP="002B0631">
      <w:pPr>
        <w:pStyle w:val="footnote"/>
      </w:pPr>
      <w:r>
        <w:rPr>
          <w:rStyle w:val="FootnoteReference"/>
        </w:rPr>
        <w:footnoteRef/>
      </w:r>
      <w:r>
        <w:t xml:space="preserve"> See: Northern Ireland Office. </w:t>
      </w:r>
      <w:r w:rsidRPr="00237936">
        <w:rPr>
          <w:i/>
        </w:rPr>
        <w:t>Consultation</w:t>
      </w:r>
      <w:r>
        <w:rPr>
          <w:i/>
        </w:rPr>
        <w:t xml:space="preserve"> paper Police (Northern Ireland) Act 2000 Review of temporary recruitment provisions. </w:t>
      </w:r>
      <w:r>
        <w:t>2010.</w:t>
      </w:r>
      <w:r>
        <w:rPr>
          <w:i/>
        </w:rPr>
        <w:t xml:space="preserve"> </w:t>
      </w:r>
      <w:r>
        <w:t xml:space="preserve">P. 6: </w:t>
      </w:r>
      <w:hyperlink r:id="rId21" w:history="1">
        <w:r w:rsidRPr="001650ED">
          <w:rPr>
            <w:rStyle w:val="Hyperlink"/>
          </w:rPr>
          <w:t>https://www.gov.uk/government/uploads/system/uploads/attachment_data/file/136382/50_50_consultation.pdf</w:t>
        </w:r>
      </w:hyperlink>
      <w:r>
        <w:rPr>
          <w:rStyle w:val="Hyperlink"/>
        </w:rPr>
        <w:t xml:space="preserve"> </w:t>
      </w:r>
      <w:r w:rsidRPr="00237936">
        <w:t xml:space="preserve"> </w:t>
      </w:r>
    </w:p>
  </w:footnote>
  <w:footnote w:id="50">
    <w:p w14:paraId="26654A68" w14:textId="2F9018CE" w:rsidR="007E223C" w:rsidRPr="003F7E99" w:rsidRDefault="007E223C" w:rsidP="002B0631">
      <w:pPr>
        <w:pStyle w:val="footnote"/>
      </w:pPr>
      <w:r>
        <w:rPr>
          <w:rStyle w:val="FootnoteReference"/>
        </w:rPr>
        <w:footnoteRef/>
      </w:r>
      <w:r>
        <w:t xml:space="preserve"> See on this: McColgan, A. </w:t>
      </w:r>
      <w:r>
        <w:rPr>
          <w:i/>
        </w:rPr>
        <w:t>Discrimination, equality and the law</w:t>
      </w:r>
      <w:r>
        <w:t>. Oxford/Portland Oregon: Hart Publishing, 2014. P. 97.</w:t>
      </w:r>
    </w:p>
  </w:footnote>
  <w:footnote w:id="51">
    <w:p w14:paraId="16E43813" w14:textId="7DDB358E" w:rsidR="007E223C" w:rsidRDefault="007E223C" w:rsidP="002B0631">
      <w:pPr>
        <w:pStyle w:val="footnote"/>
      </w:pPr>
      <w:r>
        <w:rPr>
          <w:rStyle w:val="FootnoteReference"/>
        </w:rPr>
        <w:footnoteRef/>
      </w:r>
      <w:r>
        <w:t xml:space="preserve"> Northern Ireland Office. (supra note </w:t>
      </w:r>
      <w:r>
        <w:fldChar w:fldCharType="begin"/>
      </w:r>
      <w:r>
        <w:instrText xml:space="preserve"> NOTEREF _Ref523656018 \h  \* MERGEFORMAT </w:instrText>
      </w:r>
      <w:r>
        <w:fldChar w:fldCharType="separate"/>
      </w:r>
      <w:r w:rsidR="00BB509E">
        <w:t>49</w:t>
      </w:r>
      <w:r>
        <w:fldChar w:fldCharType="end"/>
      </w:r>
      <w:r>
        <w:t xml:space="preserve">, p. 4). </w:t>
      </w:r>
      <w:r w:rsidRPr="00237936">
        <w:t xml:space="preserve"> </w:t>
      </w:r>
    </w:p>
  </w:footnote>
  <w:footnote w:id="52">
    <w:p w14:paraId="4C47DE89" w14:textId="77777777" w:rsidR="007E223C" w:rsidRPr="00DB5582" w:rsidRDefault="007E223C" w:rsidP="002B0631">
      <w:pPr>
        <w:pStyle w:val="footnote"/>
        <w:rPr>
          <w:lang w:val="es-ES"/>
        </w:rPr>
      </w:pPr>
      <w:r>
        <w:rPr>
          <w:rStyle w:val="FootnoteReference"/>
        </w:rPr>
        <w:footnoteRef/>
      </w:r>
      <w:r w:rsidRPr="00DB5582">
        <w:rPr>
          <w:lang w:val="es-ES"/>
        </w:rPr>
        <w:t xml:space="preserve"> Ibid. P. 3.</w:t>
      </w:r>
    </w:p>
  </w:footnote>
  <w:footnote w:id="53">
    <w:p w14:paraId="7C30F8FF" w14:textId="77777777" w:rsidR="007E223C" w:rsidRPr="00DB5582" w:rsidRDefault="007E223C" w:rsidP="002B0631">
      <w:pPr>
        <w:pStyle w:val="footnote"/>
        <w:rPr>
          <w:lang w:val="es-ES"/>
        </w:rPr>
      </w:pPr>
      <w:r>
        <w:rPr>
          <w:rStyle w:val="FootnoteReference"/>
        </w:rPr>
        <w:footnoteRef/>
      </w:r>
      <w:r w:rsidRPr="00DB5582">
        <w:rPr>
          <w:lang w:val="es-ES"/>
        </w:rPr>
        <w:t xml:space="preserve"> Ibid. P. 6.</w:t>
      </w:r>
    </w:p>
  </w:footnote>
  <w:footnote w:id="54">
    <w:p w14:paraId="7DCD368F" w14:textId="5DA28557" w:rsidR="007E223C" w:rsidRPr="00DB5582" w:rsidRDefault="007E223C" w:rsidP="002B0631">
      <w:pPr>
        <w:pStyle w:val="footnote"/>
        <w:rPr>
          <w:lang w:val="es-ES"/>
        </w:rPr>
      </w:pPr>
      <w:r>
        <w:rPr>
          <w:rStyle w:val="FootnoteReference"/>
        </w:rPr>
        <w:footnoteRef/>
      </w:r>
      <w:r w:rsidRPr="00DB5582">
        <w:rPr>
          <w:lang w:val="es-ES"/>
        </w:rPr>
        <w:t xml:space="preserve"> </w:t>
      </w:r>
      <w:proofErr w:type="spellStart"/>
      <w:r w:rsidRPr="00DB5582">
        <w:rPr>
          <w:lang w:val="es-ES"/>
        </w:rPr>
        <w:t>Ncgobo</w:t>
      </w:r>
      <w:proofErr w:type="spellEnd"/>
      <w:r w:rsidRPr="00DB5582">
        <w:rPr>
          <w:lang w:val="es-ES"/>
        </w:rPr>
        <w:t xml:space="preserve">, S. (supra note </w:t>
      </w:r>
      <w:r>
        <w:fldChar w:fldCharType="begin"/>
      </w:r>
      <w:r w:rsidRPr="00DB5582">
        <w:rPr>
          <w:lang w:val="es-ES"/>
        </w:rPr>
        <w:instrText xml:space="preserve"> NOTEREF _Ref523732305 \h  \* MERGEFORMAT </w:instrText>
      </w:r>
      <w:r>
        <w:fldChar w:fldCharType="separate"/>
      </w:r>
      <w:r w:rsidR="00BB509E">
        <w:rPr>
          <w:lang w:val="es-ES"/>
        </w:rPr>
        <w:t>23</w:t>
      </w:r>
      <w:r>
        <w:fldChar w:fldCharType="end"/>
      </w:r>
      <w:r w:rsidRPr="00DB5582">
        <w:rPr>
          <w:lang w:val="es-ES"/>
        </w:rPr>
        <w:t>, p. 189).</w:t>
      </w:r>
    </w:p>
  </w:footnote>
  <w:footnote w:id="55">
    <w:p w14:paraId="44B309C1" w14:textId="77777777" w:rsidR="007E223C" w:rsidRDefault="007E223C" w:rsidP="002B0631">
      <w:pPr>
        <w:pStyle w:val="footnote"/>
      </w:pPr>
      <w:r>
        <w:rPr>
          <w:rStyle w:val="FootnoteReference"/>
        </w:rPr>
        <w:footnoteRef/>
      </w:r>
      <w:r>
        <w:t xml:space="preserve"> Ibid. P. 190</w:t>
      </w:r>
    </w:p>
  </w:footnote>
  <w:footnote w:id="56">
    <w:p w14:paraId="238A0A0E" w14:textId="77777777" w:rsidR="007E223C" w:rsidRDefault="007E223C" w:rsidP="002B0631">
      <w:pPr>
        <w:pStyle w:val="footnote"/>
      </w:pPr>
      <w:r>
        <w:rPr>
          <w:rStyle w:val="FootnoteReference"/>
        </w:rPr>
        <w:footnoteRef/>
      </w:r>
      <w:r>
        <w:t xml:space="preserve"> Ibid. P. 186 and 192.</w:t>
      </w:r>
    </w:p>
  </w:footnote>
  <w:footnote w:id="57">
    <w:p w14:paraId="01B085DE" w14:textId="3EE24514" w:rsidR="007E223C" w:rsidRDefault="007E223C" w:rsidP="002B0631">
      <w:pPr>
        <w:pStyle w:val="footnote"/>
      </w:pPr>
      <w:r>
        <w:rPr>
          <w:rStyle w:val="FootnoteReference"/>
        </w:rPr>
        <w:footnoteRef/>
      </w:r>
      <w:r>
        <w:t xml:space="preserve"> </w:t>
      </w:r>
      <w:proofErr w:type="spellStart"/>
      <w:r>
        <w:t>Dupper</w:t>
      </w:r>
      <w:proofErr w:type="spellEnd"/>
      <w:r>
        <w:t xml:space="preserve">, O. (supra note </w:t>
      </w:r>
      <w:r>
        <w:fldChar w:fldCharType="begin"/>
      </w:r>
      <w:r>
        <w:instrText xml:space="preserve"> NOTEREF _Ref523732305 \h  \* MERGEFORMAT </w:instrText>
      </w:r>
      <w:r>
        <w:fldChar w:fldCharType="separate"/>
      </w:r>
      <w:r w:rsidR="00BB509E">
        <w:t>23</w:t>
      </w:r>
      <w:r>
        <w:fldChar w:fldCharType="end"/>
      </w:r>
      <w:r>
        <w:t>, 272-273).</w:t>
      </w:r>
    </w:p>
  </w:footnote>
  <w:footnote w:id="58">
    <w:p w14:paraId="6C0C53C3" w14:textId="43762611" w:rsidR="007E223C" w:rsidRDefault="007E223C" w:rsidP="002B0631">
      <w:pPr>
        <w:pStyle w:val="footnote"/>
      </w:pPr>
      <w:r>
        <w:rPr>
          <w:rStyle w:val="FootnoteReference"/>
        </w:rPr>
        <w:footnoteRef/>
      </w:r>
      <w:r>
        <w:t xml:space="preserve"> </w:t>
      </w:r>
      <w:proofErr w:type="spellStart"/>
      <w:r>
        <w:t>Thaver</w:t>
      </w:r>
      <w:proofErr w:type="spellEnd"/>
      <w:r>
        <w:t>, B. Affirmative action in South Africa. In: Kennedy-</w:t>
      </w:r>
      <w:proofErr w:type="spellStart"/>
      <w:r>
        <w:t>Dubourdieu</w:t>
      </w:r>
      <w:proofErr w:type="spellEnd"/>
      <w:r>
        <w:t xml:space="preserve">, E. (supra note </w:t>
      </w:r>
      <w:r>
        <w:fldChar w:fldCharType="begin"/>
      </w:r>
      <w:r>
        <w:instrText xml:space="preserve"> NOTEREF _Ref30066714 \h </w:instrText>
      </w:r>
      <w:r>
        <w:fldChar w:fldCharType="separate"/>
      </w:r>
      <w:r w:rsidR="00BB509E">
        <w:t>1</w:t>
      </w:r>
      <w:r>
        <w:fldChar w:fldCharType="end"/>
      </w:r>
      <w:r>
        <w:t>, p.. 170).</w:t>
      </w:r>
    </w:p>
  </w:footnote>
  <w:footnote w:id="59">
    <w:p w14:paraId="2FF64FF0" w14:textId="77777777" w:rsidR="007E223C" w:rsidRDefault="007E223C" w:rsidP="002B0631">
      <w:pPr>
        <w:pStyle w:val="footnote"/>
      </w:pPr>
      <w:r>
        <w:rPr>
          <w:rStyle w:val="FootnoteReference"/>
        </w:rPr>
        <w:footnoteRef/>
      </w:r>
      <w:r>
        <w:t xml:space="preserve"> Ibid.</w:t>
      </w:r>
    </w:p>
  </w:footnote>
  <w:footnote w:id="60">
    <w:p w14:paraId="17656A8E" w14:textId="77777777" w:rsidR="007E223C" w:rsidRDefault="007E223C" w:rsidP="002B0631">
      <w:pPr>
        <w:pStyle w:val="footnote"/>
      </w:pPr>
      <w:r>
        <w:rPr>
          <w:rStyle w:val="FootnoteReference"/>
        </w:rPr>
        <w:footnoteRef/>
      </w:r>
      <w:r>
        <w:t xml:space="preserve"> Ibid. P. 166.</w:t>
      </w:r>
    </w:p>
  </w:footnote>
  <w:footnote w:id="61">
    <w:p w14:paraId="28B57E30" w14:textId="5A6125F5" w:rsidR="007E223C" w:rsidRDefault="007E223C" w:rsidP="002B0631">
      <w:pPr>
        <w:pStyle w:val="footnote"/>
      </w:pPr>
      <w:r>
        <w:rPr>
          <w:rStyle w:val="FootnoteReference"/>
        </w:rPr>
        <w:footnoteRef/>
      </w:r>
      <w:r>
        <w:t xml:space="preserve"> Ibid. P.164-165. </w:t>
      </w:r>
      <w:proofErr w:type="spellStart"/>
      <w:r>
        <w:t>Thaver</w:t>
      </w:r>
      <w:proofErr w:type="spellEnd"/>
      <w:r>
        <w:t xml:space="preserve"> was writing in 2006. More recent figures of student and staff numbers in the four categories: African, Coloured, Indian and White, can be found in: Council for Higher Education. Vital Statistics Public Higher Education 2016, published 2018: </w:t>
      </w:r>
      <w:hyperlink r:id="rId22" w:history="1">
        <w:r w:rsidRPr="004D7A87">
          <w:rPr>
            <w:rStyle w:val="Hyperlink"/>
          </w:rPr>
          <w:t>http://www.che.ac.za/sites/default/files/publications/CHE_VitalStats_2016%20webversion_0.pdf</w:t>
        </w:r>
      </w:hyperlink>
    </w:p>
  </w:footnote>
  <w:footnote w:id="62">
    <w:p w14:paraId="55B6BE8B" w14:textId="0CF0D326" w:rsidR="007E223C" w:rsidRDefault="007E223C" w:rsidP="002B0631">
      <w:pPr>
        <w:pStyle w:val="footnote"/>
      </w:pPr>
      <w:r>
        <w:rPr>
          <w:rStyle w:val="FootnoteReference"/>
        </w:rPr>
        <w:footnoteRef/>
      </w:r>
      <w:r>
        <w:t xml:space="preserve"> </w:t>
      </w:r>
      <w:proofErr w:type="spellStart"/>
      <w:r>
        <w:t>Thave</w:t>
      </w:r>
      <w:r w:rsidR="000E2455">
        <w:t>r</w:t>
      </w:r>
      <w:proofErr w:type="spellEnd"/>
      <w:r>
        <w:t xml:space="preserve">, </w:t>
      </w:r>
      <w:r w:rsidR="000E2455">
        <w:t>B</w:t>
      </w:r>
      <w:r>
        <w:t xml:space="preserve">. (supra note </w:t>
      </w:r>
      <w:r>
        <w:fldChar w:fldCharType="begin"/>
      </w:r>
      <w:r>
        <w:instrText xml:space="preserve"> NOTEREF _Ref523741942 \h  \* MERGEFORMAT </w:instrText>
      </w:r>
      <w:r>
        <w:fldChar w:fldCharType="separate"/>
      </w:r>
      <w:r w:rsidR="00BB509E">
        <w:t>58</w:t>
      </w:r>
      <w:r>
        <w:fldChar w:fldCharType="end"/>
      </w:r>
      <w:r>
        <w:t>, p. 171).</w:t>
      </w:r>
    </w:p>
  </w:footnote>
  <w:footnote w:id="63">
    <w:p w14:paraId="5EB8C2CB" w14:textId="66D2D8C1" w:rsidR="007E223C" w:rsidRPr="009E4335" w:rsidRDefault="007E223C" w:rsidP="002B0631">
      <w:pPr>
        <w:pStyle w:val="footnote"/>
      </w:pPr>
      <w:r>
        <w:rPr>
          <w:rStyle w:val="FootnoteReference"/>
        </w:rPr>
        <w:footnoteRef/>
      </w:r>
      <w:r>
        <w:t xml:space="preserve"> </w:t>
      </w:r>
      <w:proofErr w:type="spellStart"/>
      <w:r>
        <w:t>Archibong</w:t>
      </w:r>
      <w:proofErr w:type="spellEnd"/>
      <w:r>
        <w:t xml:space="preserve">, U; </w:t>
      </w:r>
      <w:proofErr w:type="spellStart"/>
      <w:r>
        <w:t>Adejumo</w:t>
      </w:r>
      <w:proofErr w:type="spellEnd"/>
      <w:r>
        <w:t xml:space="preserve">, O. Affirmative action in South Africa Are we creating new casualties? 3, 51 </w:t>
      </w:r>
      <w:r>
        <w:rPr>
          <w:i/>
        </w:rPr>
        <w:t xml:space="preserve">Journal of Psychological Issues in Organizational Culture </w:t>
      </w:r>
      <w:r>
        <w:t>(2013) P. 14.</w:t>
      </w:r>
    </w:p>
  </w:footnote>
  <w:footnote w:id="64">
    <w:p w14:paraId="7115DFF4" w14:textId="77777777" w:rsidR="007E223C" w:rsidRDefault="007E223C" w:rsidP="002B0631">
      <w:pPr>
        <w:pStyle w:val="footnote"/>
      </w:pPr>
      <w:r>
        <w:rPr>
          <w:rStyle w:val="FootnoteReference"/>
        </w:rPr>
        <w:footnoteRef/>
      </w:r>
      <w:r>
        <w:t xml:space="preserve"> Ibid. P. 20.</w:t>
      </w:r>
    </w:p>
  </w:footnote>
  <w:footnote w:id="65">
    <w:p w14:paraId="6F3D774B" w14:textId="38BC572E" w:rsidR="007E223C" w:rsidRPr="002B0631" w:rsidRDefault="007E223C" w:rsidP="002B0631">
      <w:pPr>
        <w:pStyle w:val="footnote"/>
      </w:pPr>
      <w:r w:rsidRPr="002B0631">
        <w:rPr>
          <w:rStyle w:val="FootnoteReference"/>
          <w:vertAlign w:val="baseline"/>
        </w:rPr>
        <w:footnoteRef/>
      </w:r>
      <w:r w:rsidRPr="002B0631">
        <w:t xml:space="preserve"> B</w:t>
      </w:r>
      <w:r>
        <w:t>urger</w:t>
      </w:r>
      <w:r w:rsidRPr="002B0631">
        <w:t>, R; J</w:t>
      </w:r>
      <w:r>
        <w:t>afta, R. Affirmative action in South Africa: an empirical assessment of the impact on labour market o</w:t>
      </w:r>
      <w:r w:rsidRPr="002B0631">
        <w:t xml:space="preserve">utcomes, CRISE (Centre for Research on Inequality, Human Security and Ethnicity) Working Paper No. 76. (2010)  P. 23: </w:t>
      </w:r>
      <w:hyperlink r:id="rId23" w:history="1">
        <w:r w:rsidRPr="002B0631">
          <w:rPr>
            <w:rStyle w:val="Hyperlink"/>
            <w:color w:val="auto"/>
            <w:u w:val="none"/>
          </w:rPr>
          <w:t>https://assets.publishing.service.gov.uk/media/57a08b2ced915d622c000b5d/workingpaper76.pdf</w:t>
        </w:r>
      </w:hyperlink>
    </w:p>
  </w:footnote>
  <w:footnote w:id="66">
    <w:p w14:paraId="24166891" w14:textId="7967CAED" w:rsidR="007E223C" w:rsidRDefault="007E223C" w:rsidP="002B0631">
      <w:pPr>
        <w:pStyle w:val="footnote"/>
      </w:pPr>
      <w:r>
        <w:rPr>
          <w:rStyle w:val="FootnoteReference"/>
        </w:rPr>
        <w:footnoteRef/>
      </w:r>
      <w:r>
        <w:t xml:space="preserve"> Department of Labour, South Africa, 18</w:t>
      </w:r>
      <w:r w:rsidRPr="00874B73">
        <w:rPr>
          <w:vertAlign w:val="superscript"/>
        </w:rPr>
        <w:t>th</w:t>
      </w:r>
      <w:r>
        <w:t xml:space="preserve"> Commission for Employment Equity Annual Report 2017-2018, RP 220/2018. P. 55:</w:t>
      </w:r>
      <w:r w:rsidRPr="00275011">
        <w:t xml:space="preserve"> </w:t>
      </w:r>
      <w:hyperlink r:id="rId24" w:history="1">
        <w:r w:rsidRPr="00FB38E3">
          <w:rPr>
            <w:rStyle w:val="Hyperlink"/>
          </w:rPr>
          <w:t>https://www.abp.org.za/wp-content/uploads/2018/07/Commission-for-Employment-Equity-18th-Annual-Report.pdf</w:t>
        </w:r>
      </w:hyperlink>
      <w:r>
        <w:t xml:space="preserve"> This report contains information on the workforce distribution amongst the population groups.</w:t>
      </w:r>
    </w:p>
  </w:footnote>
  <w:footnote w:id="67">
    <w:p w14:paraId="0AB640F2" w14:textId="3245B81C" w:rsidR="007E223C" w:rsidRPr="006A0B54" w:rsidRDefault="007E223C" w:rsidP="002B0631">
      <w:pPr>
        <w:pStyle w:val="footnote"/>
        <w:rPr>
          <w:lang w:val="fr-FR"/>
        </w:rPr>
      </w:pPr>
      <w:r>
        <w:rPr>
          <w:rStyle w:val="FootnoteReference"/>
        </w:rPr>
        <w:footnoteRef/>
      </w:r>
      <w:r w:rsidRPr="006A0B54">
        <w:rPr>
          <w:lang w:val="fr-FR"/>
        </w:rPr>
        <w:t xml:space="preserve"> Davies, C; </w:t>
      </w:r>
      <w:proofErr w:type="spellStart"/>
      <w:r w:rsidRPr="006A0B54">
        <w:rPr>
          <w:lang w:val="fr-FR"/>
        </w:rPr>
        <w:t>Robison</w:t>
      </w:r>
      <w:proofErr w:type="spellEnd"/>
      <w:r w:rsidRPr="006A0B54">
        <w:rPr>
          <w:lang w:val="fr-FR"/>
        </w:rPr>
        <w:t xml:space="preserve">, M. (2016) (supra note </w:t>
      </w:r>
      <w:r>
        <w:fldChar w:fldCharType="begin"/>
      </w:r>
      <w:r w:rsidRPr="006A0B54">
        <w:rPr>
          <w:lang w:val="fr-FR"/>
        </w:rPr>
        <w:instrText xml:space="preserve"> NOTEREF _Ref523562578 \h  \* MERGEFORMAT </w:instrText>
      </w:r>
      <w:r>
        <w:fldChar w:fldCharType="separate"/>
      </w:r>
      <w:r w:rsidR="00BB509E">
        <w:rPr>
          <w:lang w:val="fr-FR"/>
        </w:rPr>
        <w:t>31</w:t>
      </w:r>
      <w:r>
        <w:fldChar w:fldCharType="end"/>
      </w:r>
      <w:r w:rsidRPr="006A0B54">
        <w:rPr>
          <w:lang w:val="fr-FR"/>
        </w:rPr>
        <w:t>, p. 18-19).</w:t>
      </w:r>
    </w:p>
  </w:footnote>
  <w:footnote w:id="68">
    <w:p w14:paraId="0CE63538" w14:textId="37B4DED7" w:rsidR="007E223C" w:rsidRPr="006A0B54" w:rsidRDefault="007E223C" w:rsidP="002B0631">
      <w:pPr>
        <w:pStyle w:val="footnote"/>
        <w:rPr>
          <w:lang w:val="fr-FR"/>
        </w:rPr>
      </w:pPr>
      <w:r>
        <w:rPr>
          <w:rStyle w:val="FootnoteReference"/>
        </w:rPr>
        <w:footnoteRef/>
      </w:r>
      <w:r w:rsidRPr="006A0B54">
        <w:rPr>
          <w:lang w:val="fr-FR"/>
        </w:rPr>
        <w:t xml:space="preserve"> Johns, N </w:t>
      </w:r>
      <w:r w:rsidRPr="006A0B54">
        <w:rPr>
          <w:i/>
          <w:lang w:val="fr-FR"/>
        </w:rPr>
        <w:t>et al</w:t>
      </w:r>
      <w:r w:rsidRPr="006A0B54">
        <w:rPr>
          <w:lang w:val="fr-FR"/>
        </w:rPr>
        <w:t xml:space="preserve"> (supra note </w:t>
      </w:r>
      <w:r>
        <w:fldChar w:fldCharType="begin"/>
      </w:r>
      <w:r w:rsidRPr="006A0B54">
        <w:rPr>
          <w:lang w:val="fr-FR"/>
        </w:rPr>
        <w:instrText xml:space="preserve"> NOTEREF _Ref523562578 \h  \* MERGEFORMAT </w:instrText>
      </w:r>
      <w:r>
        <w:fldChar w:fldCharType="separate"/>
      </w:r>
      <w:r w:rsidR="00BB509E">
        <w:rPr>
          <w:lang w:val="fr-FR"/>
        </w:rPr>
        <w:t>31</w:t>
      </w:r>
      <w:r>
        <w:fldChar w:fldCharType="end"/>
      </w:r>
      <w:r w:rsidRPr="006A0B54">
        <w:rPr>
          <w:lang w:val="fr-FR"/>
        </w:rPr>
        <w:t>, page 99).</w:t>
      </w:r>
    </w:p>
  </w:footnote>
  <w:footnote w:id="69">
    <w:p w14:paraId="76946CBF" w14:textId="77777777" w:rsidR="007E223C" w:rsidRPr="006A0B54" w:rsidRDefault="007E223C" w:rsidP="002B0631">
      <w:pPr>
        <w:pStyle w:val="footnote"/>
        <w:rPr>
          <w:lang w:val="fr-FR"/>
        </w:rPr>
      </w:pPr>
      <w:r>
        <w:rPr>
          <w:rStyle w:val="FootnoteReference"/>
        </w:rPr>
        <w:footnoteRef/>
      </w:r>
      <w:r w:rsidRPr="006A0B54">
        <w:rPr>
          <w:lang w:val="fr-FR"/>
        </w:rPr>
        <w:t xml:space="preserve"> Ibid.</w:t>
      </w:r>
    </w:p>
  </w:footnote>
  <w:footnote w:id="70">
    <w:p w14:paraId="371CDF90" w14:textId="2A046894" w:rsidR="007E223C" w:rsidRDefault="007E223C" w:rsidP="002B0631">
      <w:pPr>
        <w:pStyle w:val="footnote"/>
      </w:pPr>
      <w:r>
        <w:rPr>
          <w:rStyle w:val="FootnoteReference"/>
        </w:rPr>
        <w:footnoteRef/>
      </w:r>
      <w:r w:rsidRPr="006A0B54">
        <w:rPr>
          <w:lang w:val="fr-FR"/>
        </w:rPr>
        <w:t xml:space="preserve"> </w:t>
      </w:r>
      <w:proofErr w:type="spellStart"/>
      <w:r w:rsidRPr="006A0B54">
        <w:rPr>
          <w:lang w:val="fr-FR"/>
        </w:rPr>
        <w:t>European</w:t>
      </w:r>
      <w:proofErr w:type="spellEnd"/>
      <w:r w:rsidRPr="006A0B54">
        <w:rPr>
          <w:lang w:val="fr-FR"/>
        </w:rPr>
        <w:t xml:space="preserve"> Commission. </w:t>
      </w:r>
      <w:r>
        <w:rPr>
          <w:i/>
        </w:rPr>
        <w:t>International perspectives on positive action measures A c</w:t>
      </w:r>
      <w:r w:rsidRPr="002B0631">
        <w:rPr>
          <w:i/>
        </w:rPr>
        <w:t>omparative analysis in the European Union, Canada, the United States and South Africa.</w:t>
      </w:r>
      <w:r>
        <w:t xml:space="preserve"> Luxembourg: Office for Official Publications of the European Communities, 2009. P. 42: </w:t>
      </w:r>
      <w:r w:rsidRPr="002A230A">
        <w:t xml:space="preserve"> </w:t>
      </w:r>
      <w:hyperlink r:id="rId25" w:history="1">
        <w:r w:rsidRPr="00FD2692">
          <w:rPr>
            <w:rStyle w:val="Hyperlink"/>
          </w:rPr>
          <w:t>https://publications.europa.eu/en/publication-detail/-/publication/45515983-3e3e-4a24-bcbc-477f04f0ba04</w:t>
        </w:r>
      </w:hyperlink>
    </w:p>
  </w:footnote>
  <w:footnote w:id="71">
    <w:p w14:paraId="69B95AAC" w14:textId="30606144" w:rsidR="007E223C" w:rsidRPr="00A45A87" w:rsidRDefault="007E223C" w:rsidP="002B0631">
      <w:pPr>
        <w:pStyle w:val="footnote"/>
      </w:pPr>
      <w:r>
        <w:rPr>
          <w:rStyle w:val="FootnoteReference"/>
        </w:rPr>
        <w:footnoteRef/>
      </w:r>
      <w:r>
        <w:t xml:space="preserve"> </w:t>
      </w:r>
      <w:proofErr w:type="spellStart"/>
      <w:r>
        <w:t>Fredman</w:t>
      </w:r>
      <w:proofErr w:type="spellEnd"/>
      <w:r>
        <w:t xml:space="preserve">, S. </w:t>
      </w:r>
      <w:r>
        <w:rPr>
          <w:i/>
        </w:rPr>
        <w:t xml:space="preserve">Discrimination law </w:t>
      </w:r>
      <w:r>
        <w:t>(2</w:t>
      </w:r>
      <w:r w:rsidRPr="00A45A87">
        <w:rPr>
          <w:vertAlign w:val="superscript"/>
        </w:rPr>
        <w:t>nd</w:t>
      </w:r>
      <w:r>
        <w:t xml:space="preserve"> ed. Oxford: Oxford University Press, 2011) p. 259.</w:t>
      </w:r>
    </w:p>
  </w:footnote>
  <w:footnote w:id="72">
    <w:p w14:paraId="06D85DA4" w14:textId="30D5C1B0" w:rsidR="007E223C" w:rsidRDefault="007E223C" w:rsidP="00A51061">
      <w:pPr>
        <w:pStyle w:val="footnote"/>
      </w:pPr>
      <w:r>
        <w:rPr>
          <w:rStyle w:val="FootnoteReference"/>
        </w:rPr>
        <w:footnoteRef/>
      </w:r>
      <w:r>
        <w:t xml:space="preserve"> Davies, C; Robison, M. (2016) (supra note </w:t>
      </w:r>
      <w:r>
        <w:fldChar w:fldCharType="begin"/>
      </w:r>
      <w:r>
        <w:instrText xml:space="preserve"> NOTEREF _Ref523562578 \h  \* MERGEFORMAT </w:instrText>
      </w:r>
      <w:r>
        <w:fldChar w:fldCharType="separate"/>
      </w:r>
      <w:r w:rsidR="00BB509E">
        <w:t>31</w:t>
      </w:r>
      <w:r>
        <w:fldChar w:fldCharType="end"/>
      </w:r>
      <w:r>
        <w:t>, p. 23).</w:t>
      </w:r>
    </w:p>
  </w:footnote>
  <w:footnote w:id="73">
    <w:p w14:paraId="358D184C" w14:textId="5BF706BD" w:rsidR="007E223C" w:rsidRPr="00DB5582" w:rsidRDefault="007E223C" w:rsidP="00A51061">
      <w:pPr>
        <w:pStyle w:val="footnote"/>
        <w:rPr>
          <w:lang w:val="es-ES"/>
        </w:rPr>
      </w:pPr>
      <w:r>
        <w:rPr>
          <w:rStyle w:val="FootnoteReference"/>
        </w:rPr>
        <w:footnoteRef/>
      </w:r>
      <w:r>
        <w:t xml:space="preserve"> See, for example, </w:t>
      </w:r>
      <w:proofErr w:type="spellStart"/>
      <w:r>
        <w:t>McHarg</w:t>
      </w:r>
      <w:proofErr w:type="spellEnd"/>
      <w:r>
        <w:t xml:space="preserve">, A; Nicolson, D. Justifying affirmative action: perception and reality. 33, 1 </w:t>
      </w:r>
      <w:r>
        <w:rPr>
          <w:i/>
        </w:rPr>
        <w:t xml:space="preserve">Journal of Law and Society </w:t>
      </w:r>
      <w:r>
        <w:t xml:space="preserve">(2006) P. 9; </w:t>
      </w:r>
      <w:proofErr w:type="spellStart"/>
      <w:r>
        <w:t>Thaver</w:t>
      </w:r>
      <w:proofErr w:type="spellEnd"/>
      <w:r>
        <w:t xml:space="preserve">. (supra note </w:t>
      </w:r>
      <w:r>
        <w:fldChar w:fldCharType="begin"/>
      </w:r>
      <w:r>
        <w:instrText xml:space="preserve"> NOTEREF _Ref523741942 \h  \* MERGEFORMAT </w:instrText>
      </w:r>
      <w:r>
        <w:fldChar w:fldCharType="separate"/>
      </w:r>
      <w:r w:rsidR="00BB509E">
        <w:t>58</w:t>
      </w:r>
      <w:r>
        <w:fldChar w:fldCharType="end"/>
      </w:r>
      <w:r>
        <w:t xml:space="preserve">, P. 169); </w:t>
      </w:r>
      <w:proofErr w:type="spellStart"/>
      <w:r>
        <w:t>Archibong</w:t>
      </w:r>
      <w:proofErr w:type="spellEnd"/>
      <w:r>
        <w:t xml:space="preserve">; </w:t>
      </w:r>
      <w:proofErr w:type="spellStart"/>
      <w:r>
        <w:t>Adejumo</w:t>
      </w:r>
      <w:proofErr w:type="spellEnd"/>
      <w:r>
        <w:t xml:space="preserve">. </w:t>
      </w:r>
      <w:r w:rsidRPr="00DB5582">
        <w:rPr>
          <w:lang w:val="es-ES"/>
        </w:rPr>
        <w:t xml:space="preserve">(supra note </w:t>
      </w:r>
      <w:r>
        <w:fldChar w:fldCharType="begin"/>
      </w:r>
      <w:r w:rsidRPr="00DB5582">
        <w:rPr>
          <w:lang w:val="es-ES"/>
        </w:rPr>
        <w:instrText xml:space="preserve"> NOTEREF _Ref523752422 \h  \* MERGEFORMAT </w:instrText>
      </w:r>
      <w:r>
        <w:fldChar w:fldCharType="separate"/>
      </w:r>
      <w:r w:rsidR="00BB509E">
        <w:rPr>
          <w:lang w:val="es-ES"/>
        </w:rPr>
        <w:t>63</w:t>
      </w:r>
      <w:r>
        <w:fldChar w:fldCharType="end"/>
      </w:r>
      <w:r w:rsidRPr="00DB5582">
        <w:rPr>
          <w:lang w:val="es-ES"/>
        </w:rPr>
        <w:t>, p. 24).</w:t>
      </w:r>
    </w:p>
  </w:footnote>
  <w:footnote w:id="74">
    <w:p w14:paraId="00E9EC89" w14:textId="2ECA6E22" w:rsidR="007E223C" w:rsidRPr="00DB5582" w:rsidRDefault="007E223C" w:rsidP="00A51061">
      <w:pPr>
        <w:pStyle w:val="footnote"/>
        <w:rPr>
          <w:lang w:val="es-ES"/>
        </w:rPr>
      </w:pPr>
      <w:r>
        <w:rPr>
          <w:rStyle w:val="FootnoteReference"/>
        </w:rPr>
        <w:footnoteRef/>
      </w:r>
      <w:r w:rsidRPr="00DB5582">
        <w:rPr>
          <w:lang w:val="es-ES"/>
        </w:rPr>
        <w:t xml:space="preserve"> </w:t>
      </w:r>
      <w:proofErr w:type="spellStart"/>
      <w:r w:rsidRPr="00DB5582">
        <w:rPr>
          <w:lang w:val="es-ES"/>
        </w:rPr>
        <w:t>McHarg</w:t>
      </w:r>
      <w:proofErr w:type="spellEnd"/>
      <w:r w:rsidRPr="00DB5582">
        <w:rPr>
          <w:lang w:val="es-ES"/>
        </w:rPr>
        <w:t xml:space="preserve">, A; </w:t>
      </w:r>
      <w:proofErr w:type="spellStart"/>
      <w:r w:rsidRPr="00DB5582">
        <w:rPr>
          <w:lang w:val="es-ES"/>
        </w:rPr>
        <w:t>Nicolson</w:t>
      </w:r>
      <w:proofErr w:type="spellEnd"/>
      <w:r w:rsidRPr="00DB5582">
        <w:rPr>
          <w:lang w:val="es-ES"/>
        </w:rPr>
        <w:t xml:space="preserve">, D. (supra note </w:t>
      </w:r>
      <w:r>
        <w:fldChar w:fldCharType="begin"/>
      </w:r>
      <w:r w:rsidRPr="00DB5582">
        <w:rPr>
          <w:lang w:val="es-ES"/>
        </w:rPr>
        <w:instrText xml:space="preserve"> NOTEREF _Ref523755065 \h  \* MERGEFORMAT </w:instrText>
      </w:r>
      <w:r>
        <w:fldChar w:fldCharType="separate"/>
      </w:r>
      <w:r w:rsidR="00BB509E">
        <w:rPr>
          <w:lang w:val="es-ES"/>
        </w:rPr>
        <w:t>73</w:t>
      </w:r>
      <w:r>
        <w:fldChar w:fldCharType="end"/>
      </w:r>
      <w:r w:rsidRPr="00DB5582">
        <w:rPr>
          <w:lang w:val="es-ES"/>
        </w:rPr>
        <w:t>, p. 9).</w:t>
      </w:r>
    </w:p>
  </w:footnote>
  <w:footnote w:id="75">
    <w:p w14:paraId="2923FDD7" w14:textId="4A9412A7" w:rsidR="007E223C" w:rsidRDefault="007E223C" w:rsidP="00A51061">
      <w:pPr>
        <w:pStyle w:val="footnote"/>
      </w:pPr>
      <w:r>
        <w:rPr>
          <w:rStyle w:val="FootnoteReference"/>
        </w:rPr>
        <w:footnoteRef/>
      </w:r>
      <w:r>
        <w:t xml:space="preserve"> See, for example, </w:t>
      </w:r>
      <w:proofErr w:type="spellStart"/>
      <w:r>
        <w:t>Cuddihy</w:t>
      </w:r>
      <w:proofErr w:type="spellEnd"/>
      <w:r>
        <w:t xml:space="preserve">, M. (2016) </w:t>
      </w:r>
      <w:r>
        <w:rPr>
          <w:i/>
        </w:rPr>
        <w:t>White South Africans complain affirmative action policy is causing them to face discrimination</w:t>
      </w:r>
      <w:r>
        <w:t>:</w:t>
      </w:r>
      <w:r w:rsidRPr="006377F3">
        <w:t xml:space="preserve"> </w:t>
      </w:r>
      <w:hyperlink r:id="rId26" w:history="1">
        <w:r w:rsidRPr="004D7A87">
          <w:rPr>
            <w:rStyle w:val="Hyperlink"/>
          </w:rPr>
          <w:t>http://www.abc.net.au/news/2016-08-01/white-south-africans-complain-of-a-reverse-apartheid/7676764</w:t>
        </w:r>
      </w:hyperlink>
      <w:r>
        <w:t xml:space="preserve"> </w:t>
      </w:r>
    </w:p>
  </w:footnote>
  <w:footnote w:id="76">
    <w:p w14:paraId="64CDF22D" w14:textId="77777777" w:rsidR="007E223C" w:rsidRPr="00DB5582" w:rsidRDefault="007E223C" w:rsidP="00A51061">
      <w:pPr>
        <w:pStyle w:val="footnote"/>
        <w:rPr>
          <w:lang w:val="es-ES"/>
        </w:rPr>
      </w:pPr>
      <w:r>
        <w:rPr>
          <w:rStyle w:val="FootnoteReference"/>
        </w:rPr>
        <w:footnoteRef/>
      </w:r>
      <w:r w:rsidRPr="00DB5582">
        <w:rPr>
          <w:lang w:val="es-ES"/>
        </w:rPr>
        <w:t xml:space="preserve"> Ibid. P. 23.</w:t>
      </w:r>
    </w:p>
  </w:footnote>
  <w:footnote w:id="77">
    <w:p w14:paraId="4BD0A238" w14:textId="2D9C5F6B" w:rsidR="007E223C" w:rsidRPr="00DB5582" w:rsidRDefault="007E223C" w:rsidP="00A80B94">
      <w:pPr>
        <w:pStyle w:val="footnote"/>
        <w:rPr>
          <w:lang w:val="es-ES"/>
        </w:rPr>
      </w:pPr>
      <w:r>
        <w:rPr>
          <w:rStyle w:val="FootnoteReference"/>
        </w:rPr>
        <w:footnoteRef/>
      </w:r>
      <w:r w:rsidRPr="00DB5582">
        <w:rPr>
          <w:lang w:val="es-ES"/>
        </w:rPr>
        <w:t xml:space="preserve"> </w:t>
      </w:r>
      <w:proofErr w:type="spellStart"/>
      <w:r w:rsidRPr="00DB5582">
        <w:rPr>
          <w:lang w:val="es-ES"/>
        </w:rPr>
        <w:t>O’Cinneide</w:t>
      </w:r>
      <w:proofErr w:type="spellEnd"/>
      <w:r w:rsidRPr="00DB5582">
        <w:rPr>
          <w:lang w:val="es-ES"/>
        </w:rPr>
        <w:t xml:space="preserve">, C. (supra note </w:t>
      </w:r>
      <w:r>
        <w:fldChar w:fldCharType="begin"/>
      </w:r>
      <w:r w:rsidRPr="00DB5582">
        <w:rPr>
          <w:lang w:val="es-ES"/>
        </w:rPr>
        <w:instrText xml:space="preserve"> NOTEREF _Ref523755530 \h  \* MERGEFORMAT </w:instrText>
      </w:r>
      <w:r>
        <w:fldChar w:fldCharType="separate"/>
      </w:r>
      <w:r w:rsidR="00BB509E">
        <w:rPr>
          <w:lang w:val="es-ES"/>
        </w:rPr>
        <w:t>4</w:t>
      </w:r>
      <w:r>
        <w:fldChar w:fldCharType="end"/>
      </w:r>
      <w:r w:rsidRPr="00DB5582">
        <w:rPr>
          <w:lang w:val="es-ES"/>
        </w:rPr>
        <w:t>, p. 13).</w:t>
      </w:r>
    </w:p>
  </w:footnote>
  <w:footnote w:id="78">
    <w:p w14:paraId="1DEC15DD" w14:textId="26EFD04A" w:rsidR="007E223C" w:rsidRPr="00DB5582" w:rsidRDefault="007E223C" w:rsidP="00A80B94">
      <w:pPr>
        <w:pStyle w:val="footnote"/>
        <w:rPr>
          <w:lang w:val="es-ES"/>
        </w:rPr>
      </w:pPr>
      <w:r>
        <w:rPr>
          <w:rStyle w:val="FootnoteReference"/>
        </w:rPr>
        <w:footnoteRef/>
      </w:r>
      <w:r w:rsidRPr="00DB5582">
        <w:rPr>
          <w:lang w:val="es-ES"/>
        </w:rPr>
        <w:t xml:space="preserve"> </w:t>
      </w:r>
      <w:proofErr w:type="spellStart"/>
      <w:r w:rsidRPr="00DB5582">
        <w:rPr>
          <w:lang w:val="es-ES"/>
        </w:rPr>
        <w:t>McHarg</w:t>
      </w:r>
      <w:proofErr w:type="spellEnd"/>
      <w:r w:rsidRPr="00DB5582">
        <w:rPr>
          <w:lang w:val="es-ES"/>
        </w:rPr>
        <w:t xml:space="preserve"> A; </w:t>
      </w:r>
      <w:proofErr w:type="spellStart"/>
      <w:r w:rsidRPr="00DB5582">
        <w:rPr>
          <w:lang w:val="es-ES"/>
        </w:rPr>
        <w:t>Nicolson</w:t>
      </w:r>
      <w:proofErr w:type="spellEnd"/>
      <w:r w:rsidRPr="00DB5582">
        <w:rPr>
          <w:lang w:val="es-ES"/>
        </w:rPr>
        <w:t xml:space="preserve">, D. (supra note </w:t>
      </w:r>
      <w:r>
        <w:fldChar w:fldCharType="begin"/>
      </w:r>
      <w:r w:rsidRPr="00DB5582">
        <w:rPr>
          <w:lang w:val="es-ES"/>
        </w:rPr>
        <w:instrText xml:space="preserve"> NOTEREF _Ref523755065 \h  \* MERGEFORMAT </w:instrText>
      </w:r>
      <w:r>
        <w:fldChar w:fldCharType="separate"/>
      </w:r>
      <w:r w:rsidR="00BB509E">
        <w:rPr>
          <w:lang w:val="es-ES"/>
        </w:rPr>
        <w:t>73</w:t>
      </w:r>
      <w:r>
        <w:fldChar w:fldCharType="end"/>
      </w:r>
      <w:r w:rsidRPr="00DB5582">
        <w:rPr>
          <w:lang w:val="es-ES"/>
        </w:rPr>
        <w:t>, p. 14).</w:t>
      </w:r>
    </w:p>
  </w:footnote>
  <w:footnote w:id="79">
    <w:p w14:paraId="050F78C2" w14:textId="77777777" w:rsidR="007E223C" w:rsidRDefault="007E223C" w:rsidP="00A80B94">
      <w:pPr>
        <w:pStyle w:val="footnote"/>
      </w:pPr>
      <w:r>
        <w:rPr>
          <w:rStyle w:val="FootnoteReference"/>
        </w:rPr>
        <w:footnoteRef/>
      </w:r>
      <w:r>
        <w:t xml:space="preserve"> Ibid. P. 9.</w:t>
      </w:r>
    </w:p>
  </w:footnote>
  <w:footnote w:id="80">
    <w:p w14:paraId="3D986A2B" w14:textId="59D0A449" w:rsidR="007E223C" w:rsidRPr="00A51061" w:rsidRDefault="007E223C" w:rsidP="00A51061">
      <w:pPr>
        <w:pStyle w:val="footnote"/>
      </w:pPr>
      <w:r>
        <w:rPr>
          <w:rStyle w:val="FootnoteReference"/>
        </w:rPr>
        <w:footnoteRef/>
      </w:r>
      <w:r>
        <w:t xml:space="preserve"> </w:t>
      </w:r>
      <w:proofErr w:type="spellStart"/>
      <w:r>
        <w:t>Gani</w:t>
      </w:r>
      <w:proofErr w:type="spellEnd"/>
      <w:r>
        <w:t xml:space="preserve">, A. Should there be all-women shortlists? </w:t>
      </w:r>
      <w:r>
        <w:rPr>
          <w:i/>
        </w:rPr>
        <w:t xml:space="preserve">The Guardian, </w:t>
      </w:r>
      <w:r w:rsidRPr="00D362B4">
        <w:t>22 August 2014</w:t>
      </w:r>
      <w:r>
        <w:t xml:space="preserve">: </w:t>
      </w:r>
      <w:hyperlink r:id="rId27" w:history="1">
        <w:r w:rsidRPr="002608FE">
          <w:rPr>
            <w:rStyle w:val="Hyperlink"/>
          </w:rPr>
          <w:t>https://www.theguardian.com/politics/2014/aug/22/-sp-should-there-be-all-women-shortlists</w:t>
        </w:r>
      </w:hyperlink>
    </w:p>
  </w:footnote>
  <w:footnote w:id="81">
    <w:p w14:paraId="1B2DB63C" w14:textId="59167ABA" w:rsidR="007E223C" w:rsidRDefault="007E223C" w:rsidP="00A51061">
      <w:pPr>
        <w:pStyle w:val="footnote"/>
      </w:pPr>
      <w:r>
        <w:rPr>
          <w:rStyle w:val="FootnoteReference"/>
        </w:rPr>
        <w:footnoteRef/>
      </w:r>
      <w:r>
        <w:t xml:space="preserve"> </w:t>
      </w:r>
      <w:proofErr w:type="spellStart"/>
      <w:r>
        <w:t>Thaver</w:t>
      </w:r>
      <w:proofErr w:type="spellEnd"/>
      <w:r>
        <w:t xml:space="preserve">, B. (supra note </w:t>
      </w:r>
      <w:r>
        <w:fldChar w:fldCharType="begin"/>
      </w:r>
      <w:r>
        <w:instrText xml:space="preserve"> NOTEREF _Ref523741942 \h  \* MERGEFORMAT </w:instrText>
      </w:r>
      <w:r>
        <w:fldChar w:fldCharType="separate"/>
      </w:r>
      <w:r w:rsidR="00BB509E">
        <w:t>58</w:t>
      </w:r>
      <w:r>
        <w:fldChar w:fldCharType="end"/>
      </w:r>
      <w:r>
        <w:t>, p. 169-170).</w:t>
      </w:r>
    </w:p>
  </w:footnote>
  <w:footnote w:id="82">
    <w:p w14:paraId="43B4E1A1" w14:textId="519252C6" w:rsidR="007E223C" w:rsidRPr="00C531DB" w:rsidRDefault="007E223C" w:rsidP="00A51061">
      <w:pPr>
        <w:pStyle w:val="footnote"/>
      </w:pPr>
      <w:r>
        <w:rPr>
          <w:rStyle w:val="FootnoteReference"/>
        </w:rPr>
        <w:footnoteRef/>
      </w:r>
      <w:r>
        <w:t xml:space="preserve"> Goldschmidt, J. Ms Goldschmidt is it true that you are deaf? That would really help us to meet the quota! Positive discrimination revisited… In: Van Den Brink, M; </w:t>
      </w:r>
      <w:proofErr w:type="spellStart"/>
      <w:r>
        <w:t>Burri</w:t>
      </w:r>
      <w:proofErr w:type="spellEnd"/>
      <w:r>
        <w:t xml:space="preserve">, S; Goldschmidt, J. (Eds.) </w:t>
      </w:r>
      <w:r>
        <w:rPr>
          <w:i/>
        </w:rPr>
        <w:t xml:space="preserve">Equality and human rights, nothing but trouble? </w:t>
      </w:r>
      <w:r>
        <w:t xml:space="preserve">Utrecht: SIM/Utrecht University, SIM Special 38, 2015. P. 349: </w:t>
      </w:r>
      <w:hyperlink r:id="rId28" w:history="1">
        <w:r w:rsidRPr="00FB38E3">
          <w:rPr>
            <w:rStyle w:val="Hyperlink"/>
          </w:rPr>
          <w:t>https://dspace.library.uu.nl/handle/1874/328046</w:t>
        </w:r>
      </w:hyperlink>
      <w:r>
        <w:t xml:space="preserve">  </w:t>
      </w:r>
    </w:p>
  </w:footnote>
  <w:footnote w:id="83">
    <w:p w14:paraId="0D40C26C" w14:textId="4E6F1539" w:rsidR="007E223C" w:rsidRPr="00DB5582" w:rsidRDefault="007E223C" w:rsidP="00A51061">
      <w:pPr>
        <w:pStyle w:val="footnote"/>
        <w:rPr>
          <w:lang w:val="es-ES"/>
        </w:rPr>
      </w:pPr>
      <w:r>
        <w:rPr>
          <w:rStyle w:val="FootnoteReference"/>
        </w:rPr>
        <w:footnoteRef/>
      </w:r>
      <w:r w:rsidRPr="00DB5582">
        <w:rPr>
          <w:lang w:val="es-ES"/>
        </w:rPr>
        <w:t xml:space="preserve"> </w:t>
      </w:r>
      <w:proofErr w:type="spellStart"/>
      <w:r w:rsidRPr="00DB5582">
        <w:rPr>
          <w:lang w:val="es-ES"/>
        </w:rPr>
        <w:t>Archibong</w:t>
      </w:r>
      <w:proofErr w:type="spellEnd"/>
      <w:r w:rsidRPr="00DB5582">
        <w:rPr>
          <w:lang w:val="es-ES"/>
        </w:rPr>
        <w:t xml:space="preserve">, U; </w:t>
      </w:r>
      <w:proofErr w:type="spellStart"/>
      <w:r w:rsidRPr="00DB5582">
        <w:rPr>
          <w:lang w:val="es-ES"/>
        </w:rPr>
        <w:t>Adejumo</w:t>
      </w:r>
      <w:proofErr w:type="spellEnd"/>
      <w:r w:rsidRPr="00DB5582">
        <w:rPr>
          <w:lang w:val="es-ES"/>
        </w:rPr>
        <w:t xml:space="preserve">, O. (supra note </w:t>
      </w:r>
      <w:r>
        <w:fldChar w:fldCharType="begin"/>
      </w:r>
      <w:r w:rsidRPr="00DB5582">
        <w:rPr>
          <w:lang w:val="es-ES"/>
        </w:rPr>
        <w:instrText xml:space="preserve"> NOTEREF _Ref523752422 \h  \* MERGEFORMAT </w:instrText>
      </w:r>
      <w:r>
        <w:fldChar w:fldCharType="separate"/>
      </w:r>
      <w:r w:rsidR="00BB509E">
        <w:rPr>
          <w:lang w:val="es-ES"/>
        </w:rPr>
        <w:t>63</w:t>
      </w:r>
      <w:r>
        <w:fldChar w:fldCharType="end"/>
      </w:r>
      <w:r w:rsidRPr="00DB5582">
        <w:rPr>
          <w:lang w:val="es-ES"/>
        </w:rPr>
        <w:t>, p. 20).</w:t>
      </w:r>
    </w:p>
  </w:footnote>
  <w:footnote w:id="84">
    <w:p w14:paraId="086F500D" w14:textId="168E1BE1" w:rsidR="007E223C" w:rsidRPr="00DB5582" w:rsidRDefault="007E223C" w:rsidP="00A51061">
      <w:pPr>
        <w:pStyle w:val="footnote"/>
        <w:rPr>
          <w:lang w:val="es-ES"/>
        </w:rPr>
      </w:pPr>
      <w:r>
        <w:rPr>
          <w:rStyle w:val="FootnoteReference"/>
        </w:rPr>
        <w:footnoteRef/>
      </w:r>
      <w:r w:rsidRPr="00DB5582">
        <w:rPr>
          <w:lang w:val="es-ES"/>
        </w:rPr>
        <w:t xml:space="preserve"> </w:t>
      </w:r>
      <w:proofErr w:type="spellStart"/>
      <w:r w:rsidRPr="00DB5582">
        <w:rPr>
          <w:lang w:val="es-ES"/>
        </w:rPr>
        <w:t>Dupper</w:t>
      </w:r>
      <w:proofErr w:type="spellEnd"/>
      <w:r w:rsidRPr="00DB5582">
        <w:rPr>
          <w:lang w:val="es-ES"/>
        </w:rPr>
        <w:t xml:space="preserve">, O. (supra note </w:t>
      </w:r>
      <w:r>
        <w:fldChar w:fldCharType="begin"/>
      </w:r>
      <w:r w:rsidRPr="00DB5582">
        <w:rPr>
          <w:lang w:val="es-ES"/>
        </w:rPr>
        <w:instrText xml:space="preserve"> NOTEREF _Ref523732305 \h  \* MERGEFORMAT </w:instrText>
      </w:r>
      <w:r>
        <w:fldChar w:fldCharType="separate"/>
      </w:r>
      <w:r w:rsidR="00BB509E">
        <w:rPr>
          <w:lang w:val="es-ES"/>
        </w:rPr>
        <w:t>23</w:t>
      </w:r>
      <w:r>
        <w:fldChar w:fldCharType="end"/>
      </w:r>
      <w:r w:rsidRPr="00DB5582">
        <w:rPr>
          <w:lang w:val="es-ES"/>
        </w:rPr>
        <w:t>, p. 273-274).</w:t>
      </w:r>
    </w:p>
  </w:footnote>
  <w:footnote w:id="85">
    <w:p w14:paraId="315EB9A5" w14:textId="77777777" w:rsidR="007E223C" w:rsidRPr="00DB5582" w:rsidRDefault="007E223C" w:rsidP="00A51061">
      <w:pPr>
        <w:pStyle w:val="footnote"/>
        <w:rPr>
          <w:lang w:val="es-ES"/>
        </w:rPr>
      </w:pPr>
      <w:r>
        <w:rPr>
          <w:rStyle w:val="FootnoteReference"/>
        </w:rPr>
        <w:footnoteRef/>
      </w:r>
      <w:r w:rsidRPr="00DB5582">
        <w:rPr>
          <w:lang w:val="es-ES"/>
        </w:rPr>
        <w:t xml:space="preserve"> Ibid. P. 273.</w:t>
      </w:r>
    </w:p>
  </w:footnote>
  <w:footnote w:id="86">
    <w:p w14:paraId="1A04CE41" w14:textId="64D036FD" w:rsidR="007E223C" w:rsidRPr="00DB5582" w:rsidRDefault="007E223C" w:rsidP="00A51061">
      <w:pPr>
        <w:pStyle w:val="footnote"/>
        <w:rPr>
          <w:lang w:val="es-ES"/>
        </w:rPr>
      </w:pPr>
      <w:r>
        <w:rPr>
          <w:rStyle w:val="FootnoteReference"/>
        </w:rPr>
        <w:footnoteRef/>
      </w:r>
      <w:r w:rsidRPr="00DB5582">
        <w:rPr>
          <w:lang w:val="es-ES"/>
        </w:rPr>
        <w:t xml:space="preserve"> </w:t>
      </w:r>
      <w:proofErr w:type="spellStart"/>
      <w:r w:rsidRPr="00DB5582">
        <w:rPr>
          <w:lang w:val="es-ES"/>
        </w:rPr>
        <w:t>Archibong</w:t>
      </w:r>
      <w:proofErr w:type="spellEnd"/>
      <w:r w:rsidRPr="00DB5582">
        <w:rPr>
          <w:lang w:val="es-ES"/>
        </w:rPr>
        <w:t xml:space="preserve">, U; </w:t>
      </w:r>
      <w:proofErr w:type="spellStart"/>
      <w:r w:rsidRPr="00DB5582">
        <w:rPr>
          <w:lang w:val="es-ES"/>
        </w:rPr>
        <w:t>Adejumo</w:t>
      </w:r>
      <w:proofErr w:type="spellEnd"/>
      <w:r w:rsidRPr="00DB5582">
        <w:rPr>
          <w:lang w:val="es-ES"/>
        </w:rPr>
        <w:t xml:space="preserve">, O. (supra note </w:t>
      </w:r>
      <w:r>
        <w:fldChar w:fldCharType="begin"/>
      </w:r>
      <w:r w:rsidRPr="00DB5582">
        <w:rPr>
          <w:lang w:val="es-ES"/>
        </w:rPr>
        <w:instrText xml:space="preserve"> NOTEREF _Ref523752422 \h  \* MERGEFORMAT </w:instrText>
      </w:r>
      <w:r>
        <w:fldChar w:fldCharType="separate"/>
      </w:r>
      <w:r w:rsidR="00BB509E">
        <w:rPr>
          <w:lang w:val="es-ES"/>
        </w:rPr>
        <w:t>63</w:t>
      </w:r>
      <w:r>
        <w:fldChar w:fldCharType="end"/>
      </w:r>
      <w:r w:rsidRPr="00DB5582">
        <w:rPr>
          <w:lang w:val="es-ES"/>
        </w:rPr>
        <w:t>, p. 16).</w:t>
      </w:r>
    </w:p>
  </w:footnote>
  <w:footnote w:id="87">
    <w:p w14:paraId="456948E3" w14:textId="77777777" w:rsidR="007E223C" w:rsidRDefault="007E223C" w:rsidP="00A51061">
      <w:pPr>
        <w:pStyle w:val="footnote"/>
      </w:pPr>
      <w:r>
        <w:rPr>
          <w:rStyle w:val="FootnoteReference"/>
        </w:rPr>
        <w:footnoteRef/>
      </w:r>
      <w:r>
        <w:t xml:space="preserve"> Ibid. P. 17.</w:t>
      </w:r>
    </w:p>
  </w:footnote>
  <w:footnote w:id="88">
    <w:p w14:paraId="731E0BEC" w14:textId="77777777" w:rsidR="007E223C" w:rsidRDefault="007E223C" w:rsidP="00A51061">
      <w:pPr>
        <w:pStyle w:val="footnote"/>
      </w:pPr>
      <w:r>
        <w:rPr>
          <w:rStyle w:val="FootnoteReference"/>
        </w:rPr>
        <w:footnoteRef/>
      </w:r>
      <w:r>
        <w:t xml:space="preserve"> Ibid. P. 21. </w:t>
      </w:r>
    </w:p>
  </w:footnote>
  <w:footnote w:id="89">
    <w:p w14:paraId="62BC464E" w14:textId="22DA8737" w:rsidR="007E223C" w:rsidRDefault="007E223C" w:rsidP="00A51061">
      <w:pPr>
        <w:pStyle w:val="footnote"/>
      </w:pPr>
      <w:r>
        <w:rPr>
          <w:rStyle w:val="FootnoteReference"/>
        </w:rPr>
        <w:footnoteRef/>
      </w:r>
      <w:r>
        <w:t xml:space="preserve"> See the explanatory notes to section 20 and </w:t>
      </w:r>
      <w:proofErr w:type="spellStart"/>
      <w:r>
        <w:t>Hepple</w:t>
      </w:r>
      <w:proofErr w:type="spellEnd"/>
      <w:r>
        <w:t xml:space="preserve">, B. (supra note </w:t>
      </w:r>
      <w:r>
        <w:fldChar w:fldCharType="begin"/>
      </w:r>
      <w:r>
        <w:instrText xml:space="preserve"> NOTEREF _Ref523562578 \h  \* MERGEFORMAT </w:instrText>
      </w:r>
      <w:r>
        <w:fldChar w:fldCharType="separate"/>
      </w:r>
      <w:r w:rsidR="00BB509E">
        <w:t>31</w:t>
      </w:r>
      <w:r>
        <w:fldChar w:fldCharType="end"/>
      </w:r>
      <w:r>
        <w:t>, p. 94-95).</w:t>
      </w:r>
    </w:p>
  </w:footnote>
  <w:footnote w:id="90">
    <w:p w14:paraId="6DEA5228" w14:textId="3162A2B5" w:rsidR="00E423C0" w:rsidRDefault="00E423C0" w:rsidP="006635D2">
      <w:pPr>
        <w:pStyle w:val="footnote"/>
      </w:pPr>
      <w:r>
        <w:rPr>
          <w:rStyle w:val="FootnoteReference"/>
        </w:rPr>
        <w:footnoteRef/>
      </w:r>
      <w:r>
        <w:t xml:space="preserve"> The C</w:t>
      </w:r>
      <w:r w:rsidR="006635D2">
        <w:t>RPD</w:t>
      </w:r>
      <w:r>
        <w:t xml:space="preserve"> is the first human rights treaty that has been signed and ratified by the EU itself, as well as by all its Member States.</w:t>
      </w:r>
      <w:r w:rsidR="006635D2">
        <w:t xml:space="preserve"> The CRPD has been ratified by 181 States, including South Africa. </w:t>
      </w:r>
    </w:p>
  </w:footnote>
  <w:footnote w:id="91">
    <w:p w14:paraId="6BE21BFD" w14:textId="348213C3" w:rsidR="007E223C" w:rsidRDefault="007E223C" w:rsidP="00A51061">
      <w:pPr>
        <w:pStyle w:val="footnote"/>
      </w:pPr>
      <w:r>
        <w:rPr>
          <w:rStyle w:val="FootnoteReference"/>
        </w:rPr>
        <w:footnoteRef/>
      </w:r>
      <w:r>
        <w:t xml:space="preserve"> </w:t>
      </w:r>
      <w:proofErr w:type="spellStart"/>
      <w:r>
        <w:t>Hepple</w:t>
      </w:r>
      <w:proofErr w:type="spellEnd"/>
      <w:r>
        <w:t xml:space="preserve">, B (supra note </w:t>
      </w:r>
      <w:r>
        <w:fldChar w:fldCharType="begin"/>
      </w:r>
      <w:r>
        <w:instrText xml:space="preserve"> NOTEREF _Ref523562578 \h  \* MERGEFORMAT </w:instrText>
      </w:r>
      <w:r>
        <w:fldChar w:fldCharType="separate"/>
      </w:r>
      <w:r w:rsidR="00BB509E">
        <w:t>31</w:t>
      </w:r>
      <w:r>
        <w:fldChar w:fldCharType="end"/>
      </w:r>
      <w:r>
        <w:t>, p. 95-97).</w:t>
      </w:r>
    </w:p>
  </w:footnote>
  <w:footnote w:id="92">
    <w:p w14:paraId="5C58AA33" w14:textId="6F1B05BB" w:rsidR="007E223C" w:rsidRPr="008C1BB1" w:rsidRDefault="007E223C" w:rsidP="00A51061">
      <w:pPr>
        <w:pStyle w:val="footnote"/>
      </w:pPr>
      <w:r>
        <w:rPr>
          <w:rStyle w:val="FootnoteReference"/>
        </w:rPr>
        <w:footnoteRef/>
      </w:r>
      <w:r>
        <w:t xml:space="preserve"> Emir, A. </w:t>
      </w:r>
      <w:r>
        <w:rPr>
          <w:i/>
        </w:rPr>
        <w:t>Selwyn’s law of e</w:t>
      </w:r>
      <w:r w:rsidRPr="008C1BB1">
        <w:rPr>
          <w:i/>
        </w:rPr>
        <w:t>mployment</w:t>
      </w:r>
      <w:r>
        <w:t>.  19</w:t>
      </w:r>
      <w:r w:rsidRPr="008C1BB1">
        <w:rPr>
          <w:vertAlign w:val="superscript"/>
        </w:rPr>
        <w:t>th</w:t>
      </w:r>
      <w:r>
        <w:t xml:space="preserve"> ed. Oxford: Oxford University Press, 2016. P. 141.</w:t>
      </w:r>
    </w:p>
  </w:footnote>
  <w:footnote w:id="93">
    <w:p w14:paraId="508658F1" w14:textId="7D3CDDF4" w:rsidR="007E223C" w:rsidRPr="00E423C0" w:rsidRDefault="007E223C" w:rsidP="00A51061">
      <w:pPr>
        <w:pStyle w:val="footnote"/>
      </w:pPr>
      <w:r>
        <w:rPr>
          <w:rStyle w:val="FootnoteReference"/>
        </w:rPr>
        <w:footnoteRef/>
      </w:r>
      <w:r w:rsidRPr="00E423C0">
        <w:t xml:space="preserve"> </w:t>
      </w:r>
      <w:proofErr w:type="spellStart"/>
      <w:r w:rsidRPr="00E423C0">
        <w:t>Archibong</w:t>
      </w:r>
      <w:proofErr w:type="spellEnd"/>
      <w:r w:rsidRPr="00E423C0">
        <w:t xml:space="preserve">, U; </w:t>
      </w:r>
      <w:proofErr w:type="spellStart"/>
      <w:r w:rsidRPr="00E423C0">
        <w:t>Adejumo</w:t>
      </w:r>
      <w:proofErr w:type="spellEnd"/>
      <w:r w:rsidRPr="00E423C0">
        <w:t xml:space="preserve">, O. (supra note </w:t>
      </w:r>
      <w:r>
        <w:fldChar w:fldCharType="begin"/>
      </w:r>
      <w:r w:rsidRPr="00E423C0">
        <w:instrText xml:space="preserve"> NOTEREF _Ref523752422 \h  \* MERGEFORMAT </w:instrText>
      </w:r>
      <w:r>
        <w:fldChar w:fldCharType="separate"/>
      </w:r>
      <w:r w:rsidR="00BB509E">
        <w:t>63</w:t>
      </w:r>
      <w:r>
        <w:fldChar w:fldCharType="end"/>
      </w:r>
      <w:r w:rsidRPr="00E423C0">
        <w:t>, p. 21).</w:t>
      </w:r>
    </w:p>
  </w:footnote>
  <w:footnote w:id="94">
    <w:p w14:paraId="4D0EFD67" w14:textId="5A2540BE" w:rsidR="007E223C" w:rsidRPr="00374D83" w:rsidRDefault="007E223C" w:rsidP="00A51061">
      <w:pPr>
        <w:pStyle w:val="footnote"/>
      </w:pPr>
      <w:r>
        <w:rPr>
          <w:rStyle w:val="FootnoteReference"/>
        </w:rPr>
        <w:footnoteRef/>
      </w:r>
      <w:r>
        <w:t xml:space="preserve"> Powell, A. House of Commons Library Briefing Paper Number 7540. </w:t>
      </w:r>
      <w:r>
        <w:rPr>
          <w:i/>
        </w:rPr>
        <w:t xml:space="preserve">People with disabilities in employment. </w:t>
      </w:r>
      <w:r w:rsidR="00320498">
        <w:t>January 2020</w:t>
      </w:r>
      <w:r>
        <w:t xml:space="preserve">. P. 3: </w:t>
      </w:r>
      <w:hyperlink r:id="rId29" w:history="1">
        <w:r w:rsidRPr="002608FE">
          <w:rPr>
            <w:rStyle w:val="Hyperlink"/>
          </w:rPr>
          <w:t>https://researchbriefings.parliament.uk/ResearchBriefing/Summary/CBP-7540</w:t>
        </w:r>
      </w:hyperlink>
    </w:p>
  </w:footnote>
  <w:footnote w:id="95">
    <w:p w14:paraId="1C6277C8" w14:textId="058F1B53" w:rsidR="00320498" w:rsidRDefault="00320498" w:rsidP="00BC6AA1">
      <w:pPr>
        <w:pStyle w:val="footnote"/>
      </w:pPr>
      <w:r>
        <w:rPr>
          <w:rStyle w:val="FootnoteReference"/>
        </w:rPr>
        <w:footnoteRef/>
      </w:r>
      <w:r>
        <w:t xml:space="preserve"> Ibid. P. </w:t>
      </w:r>
      <w:r w:rsidR="00BC6AA1">
        <w:t>5.</w:t>
      </w:r>
    </w:p>
  </w:footnote>
  <w:footnote w:id="96">
    <w:p w14:paraId="7008448B" w14:textId="488FBA13" w:rsidR="007E223C" w:rsidRDefault="007E223C" w:rsidP="00A9688B">
      <w:pPr>
        <w:pStyle w:val="footnote"/>
      </w:pPr>
      <w:r>
        <w:rPr>
          <w:rStyle w:val="FootnoteReference"/>
        </w:rPr>
        <w:footnoteRef/>
      </w:r>
      <w:r>
        <w:t xml:space="preserve"> </w:t>
      </w:r>
      <w:r w:rsidRPr="00A51061">
        <w:t>Ibid</w:t>
      </w:r>
      <w:r w:rsidR="00BC6AA1">
        <w:t>.</w:t>
      </w:r>
    </w:p>
  </w:footnote>
  <w:footnote w:id="97">
    <w:p w14:paraId="7A56AFF1" w14:textId="231BC9BC" w:rsidR="007E223C" w:rsidRDefault="007E223C" w:rsidP="00A51061">
      <w:pPr>
        <w:pStyle w:val="footnote"/>
      </w:pPr>
      <w:r>
        <w:rPr>
          <w:rStyle w:val="FootnoteReference"/>
        </w:rPr>
        <w:footnoteRef/>
      </w:r>
      <w:r>
        <w:t xml:space="preserve"> Hinds, B; O’Kelly, C. (supra note </w:t>
      </w:r>
      <w:r>
        <w:fldChar w:fldCharType="begin"/>
      </w:r>
      <w:r>
        <w:instrText xml:space="preserve"> NOTEREF _Ref523911160 \h  \* MERGEFORMAT </w:instrText>
      </w:r>
      <w:r>
        <w:fldChar w:fldCharType="separate"/>
      </w:r>
      <w:r w:rsidR="00BB509E">
        <w:t>46</w:t>
      </w:r>
      <w:r>
        <w:fldChar w:fldCharType="end"/>
      </w:r>
      <w:r>
        <w:t>, p. 105).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8C1"/>
    <w:multiLevelType w:val="hybridMultilevel"/>
    <w:tmpl w:val="101C49DC"/>
    <w:lvl w:ilvl="0" w:tplc="A79A39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ED0A6E"/>
    <w:multiLevelType w:val="hybridMultilevel"/>
    <w:tmpl w:val="1D4AF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024A5"/>
    <w:multiLevelType w:val="hybridMultilevel"/>
    <w:tmpl w:val="27B6E9A8"/>
    <w:lvl w:ilvl="0" w:tplc="A79A39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AB3"/>
    <w:multiLevelType w:val="hybridMultilevel"/>
    <w:tmpl w:val="DA7690AC"/>
    <w:lvl w:ilvl="0" w:tplc="2244D2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C965F8"/>
    <w:multiLevelType w:val="hybridMultilevel"/>
    <w:tmpl w:val="9340859A"/>
    <w:lvl w:ilvl="0" w:tplc="1B3EA1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005F2"/>
    <w:multiLevelType w:val="hybridMultilevel"/>
    <w:tmpl w:val="69461D8C"/>
    <w:lvl w:ilvl="0" w:tplc="C7745C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9F25B2"/>
    <w:multiLevelType w:val="hybridMultilevel"/>
    <w:tmpl w:val="1D4AF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7D"/>
    <w:multiLevelType w:val="hybridMultilevel"/>
    <w:tmpl w:val="3FE225B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C772F71"/>
    <w:multiLevelType w:val="hybridMultilevel"/>
    <w:tmpl w:val="24E6FC8C"/>
    <w:lvl w:ilvl="0" w:tplc="C63EF0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65B60"/>
    <w:multiLevelType w:val="hybridMultilevel"/>
    <w:tmpl w:val="1D4AF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D3809"/>
    <w:multiLevelType w:val="hybridMultilevel"/>
    <w:tmpl w:val="CDCA5616"/>
    <w:lvl w:ilvl="0" w:tplc="A79A39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0476FE"/>
    <w:multiLevelType w:val="hybridMultilevel"/>
    <w:tmpl w:val="C08EA478"/>
    <w:lvl w:ilvl="0" w:tplc="862602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62473FB"/>
    <w:multiLevelType w:val="hybridMultilevel"/>
    <w:tmpl w:val="21261DBA"/>
    <w:lvl w:ilvl="0" w:tplc="59D808F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C60E12"/>
    <w:multiLevelType w:val="hybridMultilevel"/>
    <w:tmpl w:val="E990DF2E"/>
    <w:lvl w:ilvl="0" w:tplc="CFDCBB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8DA0020"/>
    <w:multiLevelType w:val="hybridMultilevel"/>
    <w:tmpl w:val="3D72BC32"/>
    <w:lvl w:ilvl="0" w:tplc="A79A39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9A72E61"/>
    <w:multiLevelType w:val="hybridMultilevel"/>
    <w:tmpl w:val="EDD21788"/>
    <w:lvl w:ilvl="0" w:tplc="BE6E28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AC3198"/>
    <w:multiLevelType w:val="hybridMultilevel"/>
    <w:tmpl w:val="44ACCA52"/>
    <w:lvl w:ilvl="0" w:tplc="CB6223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0F53980"/>
    <w:multiLevelType w:val="hybridMultilevel"/>
    <w:tmpl w:val="4B30D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1B591C"/>
    <w:multiLevelType w:val="hybridMultilevel"/>
    <w:tmpl w:val="F5626694"/>
    <w:lvl w:ilvl="0" w:tplc="B5BC90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420DE8"/>
    <w:multiLevelType w:val="hybridMultilevel"/>
    <w:tmpl w:val="764E1C90"/>
    <w:lvl w:ilvl="0" w:tplc="7B26BD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7596EE8"/>
    <w:multiLevelType w:val="hybridMultilevel"/>
    <w:tmpl w:val="A1F83170"/>
    <w:lvl w:ilvl="0" w:tplc="CFDCBB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E96551"/>
    <w:multiLevelType w:val="hybridMultilevel"/>
    <w:tmpl w:val="4EACA41C"/>
    <w:lvl w:ilvl="0" w:tplc="CCAA157C">
      <w:start w:val="1"/>
      <w:numFmt w:val="decimal"/>
      <w:pStyle w:val="quotelist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84225F"/>
    <w:multiLevelType w:val="multilevel"/>
    <w:tmpl w:val="B296CC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3274270"/>
    <w:multiLevelType w:val="hybridMultilevel"/>
    <w:tmpl w:val="2B46827C"/>
    <w:lvl w:ilvl="0" w:tplc="A79A39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33D2511"/>
    <w:multiLevelType w:val="hybridMultilevel"/>
    <w:tmpl w:val="0614AB52"/>
    <w:lvl w:ilvl="0" w:tplc="55D09F1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82417A7"/>
    <w:multiLevelType w:val="hybridMultilevel"/>
    <w:tmpl w:val="916C8846"/>
    <w:lvl w:ilvl="0" w:tplc="FE1403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F64AE0"/>
    <w:multiLevelType w:val="hybridMultilevel"/>
    <w:tmpl w:val="5BCC3704"/>
    <w:lvl w:ilvl="0" w:tplc="6EDC74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4223020"/>
    <w:multiLevelType w:val="hybridMultilevel"/>
    <w:tmpl w:val="810E9E5A"/>
    <w:lvl w:ilvl="0" w:tplc="C68438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4631FB"/>
    <w:multiLevelType w:val="hybridMultilevel"/>
    <w:tmpl w:val="E54AF41A"/>
    <w:lvl w:ilvl="0" w:tplc="804C629E">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6ED5385D"/>
    <w:multiLevelType w:val="hybridMultilevel"/>
    <w:tmpl w:val="1070072E"/>
    <w:lvl w:ilvl="0" w:tplc="A79A39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EE80169"/>
    <w:multiLevelType w:val="hybridMultilevel"/>
    <w:tmpl w:val="6E682930"/>
    <w:lvl w:ilvl="0" w:tplc="CFDCBB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0250D8A"/>
    <w:multiLevelType w:val="hybridMultilevel"/>
    <w:tmpl w:val="313E90F2"/>
    <w:lvl w:ilvl="0" w:tplc="A79A3986">
      <w:start w:val="1"/>
      <w:numFmt w:val="lowerLetter"/>
      <w:lvlText w:val="(%1)"/>
      <w:lvlJc w:val="left"/>
      <w:pPr>
        <w:ind w:left="1440" w:hanging="360"/>
      </w:pPr>
      <w:rPr>
        <w:rFonts w:hint="default"/>
      </w:r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13725CB"/>
    <w:multiLevelType w:val="hybridMultilevel"/>
    <w:tmpl w:val="4FDE5616"/>
    <w:lvl w:ilvl="0" w:tplc="69F209D0">
      <w:start w:val="1"/>
      <w:numFmt w:val="lowerLetter"/>
      <w:pStyle w:val="quotelist2"/>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1C0168B"/>
    <w:multiLevelType w:val="hybridMultilevel"/>
    <w:tmpl w:val="C2AA9D0E"/>
    <w:lvl w:ilvl="0" w:tplc="30BABB6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1C67BD9"/>
    <w:multiLevelType w:val="hybridMultilevel"/>
    <w:tmpl w:val="F320B6C8"/>
    <w:lvl w:ilvl="0" w:tplc="A79A398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7FB3BDF"/>
    <w:multiLevelType w:val="hybridMultilevel"/>
    <w:tmpl w:val="1430D480"/>
    <w:lvl w:ilvl="0" w:tplc="4E0EC466">
      <w:start w:val="1"/>
      <w:numFmt w:val="lowerLetter"/>
      <w:lvlText w:val="(%1)"/>
      <w:lvlJc w:val="left"/>
      <w:pPr>
        <w:ind w:left="180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6" w15:restartNumberingAfterBreak="0">
    <w:nsid w:val="784E2B63"/>
    <w:multiLevelType w:val="hybridMultilevel"/>
    <w:tmpl w:val="43BCEA6A"/>
    <w:lvl w:ilvl="0" w:tplc="A79A39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D660D88"/>
    <w:multiLevelType w:val="hybridMultilevel"/>
    <w:tmpl w:val="BC268FC6"/>
    <w:lvl w:ilvl="0" w:tplc="CFDCB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B6496E"/>
    <w:multiLevelType w:val="hybridMultilevel"/>
    <w:tmpl w:val="4D5ACB52"/>
    <w:lvl w:ilvl="0" w:tplc="44C24EC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FCD26B1"/>
    <w:multiLevelType w:val="hybridMultilevel"/>
    <w:tmpl w:val="1D4AF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0"/>
  </w:num>
  <w:num w:numId="3">
    <w:abstractNumId w:val="18"/>
  </w:num>
  <w:num w:numId="4">
    <w:abstractNumId w:val="25"/>
  </w:num>
  <w:num w:numId="5">
    <w:abstractNumId w:val="7"/>
  </w:num>
  <w:num w:numId="6">
    <w:abstractNumId w:val="14"/>
  </w:num>
  <w:num w:numId="7">
    <w:abstractNumId w:val="30"/>
  </w:num>
  <w:num w:numId="8">
    <w:abstractNumId w:val="8"/>
  </w:num>
  <w:num w:numId="9">
    <w:abstractNumId w:val="3"/>
  </w:num>
  <w:num w:numId="10">
    <w:abstractNumId w:val="26"/>
  </w:num>
  <w:num w:numId="11">
    <w:abstractNumId w:val="27"/>
  </w:num>
  <w:num w:numId="12">
    <w:abstractNumId w:val="25"/>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37"/>
  </w:num>
  <w:num w:numId="17">
    <w:abstractNumId w:val="38"/>
  </w:num>
  <w:num w:numId="18">
    <w:abstractNumId w:val="19"/>
  </w:num>
  <w:num w:numId="19">
    <w:abstractNumId w:val="13"/>
  </w:num>
  <w:num w:numId="20">
    <w:abstractNumId w:val="11"/>
  </w:num>
  <w:num w:numId="21">
    <w:abstractNumId w:val="24"/>
  </w:num>
  <w:num w:numId="22">
    <w:abstractNumId w:val="35"/>
  </w:num>
  <w:num w:numId="23">
    <w:abstractNumId w:val="33"/>
  </w:num>
  <w:num w:numId="24">
    <w:abstractNumId w:val="16"/>
  </w:num>
  <w:num w:numId="25">
    <w:abstractNumId w:val="0"/>
  </w:num>
  <w:num w:numId="26">
    <w:abstractNumId w:val="23"/>
  </w:num>
  <w:num w:numId="27">
    <w:abstractNumId w:val="29"/>
  </w:num>
  <w:num w:numId="28">
    <w:abstractNumId w:val="2"/>
  </w:num>
  <w:num w:numId="29">
    <w:abstractNumId w:val="12"/>
  </w:num>
  <w:num w:numId="30">
    <w:abstractNumId w:val="32"/>
  </w:num>
  <w:num w:numId="31">
    <w:abstractNumId w:val="34"/>
  </w:num>
  <w:num w:numId="32">
    <w:abstractNumId w:val="31"/>
  </w:num>
  <w:num w:numId="33">
    <w:abstractNumId w:val="28"/>
  </w:num>
  <w:num w:numId="34">
    <w:abstractNumId w:val="5"/>
  </w:num>
  <w:num w:numId="35">
    <w:abstractNumId w:val="10"/>
  </w:num>
  <w:num w:numId="36">
    <w:abstractNumId w:val="36"/>
  </w:num>
  <w:num w:numId="37">
    <w:abstractNumId w:val="21"/>
  </w:num>
  <w:num w:numId="38">
    <w:abstractNumId w:val="15"/>
  </w:num>
  <w:num w:numId="39">
    <w:abstractNumId w:val="39"/>
  </w:num>
  <w:num w:numId="40">
    <w:abstractNumId w:val="1"/>
  </w:num>
  <w:num w:numId="41">
    <w:abstractNumId w:val="6"/>
  </w:num>
  <w:num w:numId="42">
    <w:abstractNumId w:val="9"/>
  </w:num>
  <w:num w:numId="43">
    <w:abstractNumId w:val="1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567"/>
    <w:rsid w:val="000000F2"/>
    <w:rsid w:val="00000295"/>
    <w:rsid w:val="00000FBF"/>
    <w:rsid w:val="00003B4E"/>
    <w:rsid w:val="00006577"/>
    <w:rsid w:val="000108A2"/>
    <w:rsid w:val="0001746B"/>
    <w:rsid w:val="00017743"/>
    <w:rsid w:val="00022B40"/>
    <w:rsid w:val="00023BBE"/>
    <w:rsid w:val="000254BC"/>
    <w:rsid w:val="000413EB"/>
    <w:rsid w:val="00047EDE"/>
    <w:rsid w:val="00052976"/>
    <w:rsid w:val="00055751"/>
    <w:rsid w:val="00076BA6"/>
    <w:rsid w:val="00084DDC"/>
    <w:rsid w:val="00090371"/>
    <w:rsid w:val="00094ED0"/>
    <w:rsid w:val="00097299"/>
    <w:rsid w:val="000A60D1"/>
    <w:rsid w:val="000B0092"/>
    <w:rsid w:val="000B1F3A"/>
    <w:rsid w:val="000B4E65"/>
    <w:rsid w:val="000C0A39"/>
    <w:rsid w:val="000D29E7"/>
    <w:rsid w:val="000D2E9F"/>
    <w:rsid w:val="000D43FE"/>
    <w:rsid w:val="000E2455"/>
    <w:rsid w:val="000E411F"/>
    <w:rsid w:val="001038C8"/>
    <w:rsid w:val="00105433"/>
    <w:rsid w:val="0010648A"/>
    <w:rsid w:val="001165C9"/>
    <w:rsid w:val="00126F7B"/>
    <w:rsid w:val="0012757E"/>
    <w:rsid w:val="00127FE5"/>
    <w:rsid w:val="001320F7"/>
    <w:rsid w:val="00141A6C"/>
    <w:rsid w:val="0014236F"/>
    <w:rsid w:val="00142B65"/>
    <w:rsid w:val="00145780"/>
    <w:rsid w:val="00150E7E"/>
    <w:rsid w:val="00154540"/>
    <w:rsid w:val="001546E8"/>
    <w:rsid w:val="00160427"/>
    <w:rsid w:val="00170C33"/>
    <w:rsid w:val="001832BA"/>
    <w:rsid w:val="001847FD"/>
    <w:rsid w:val="00184985"/>
    <w:rsid w:val="00191AD1"/>
    <w:rsid w:val="00191EB3"/>
    <w:rsid w:val="00192932"/>
    <w:rsid w:val="001A386B"/>
    <w:rsid w:val="001B0DE5"/>
    <w:rsid w:val="001B7D04"/>
    <w:rsid w:val="001C02EA"/>
    <w:rsid w:val="001C2059"/>
    <w:rsid w:val="001D2A40"/>
    <w:rsid w:val="001D7E60"/>
    <w:rsid w:val="001F0AE1"/>
    <w:rsid w:val="001F3328"/>
    <w:rsid w:val="001F40F8"/>
    <w:rsid w:val="001F66A4"/>
    <w:rsid w:val="001F72F3"/>
    <w:rsid w:val="00203916"/>
    <w:rsid w:val="00203A62"/>
    <w:rsid w:val="0020763D"/>
    <w:rsid w:val="00222C55"/>
    <w:rsid w:val="00227A03"/>
    <w:rsid w:val="002309B8"/>
    <w:rsid w:val="00234A1E"/>
    <w:rsid w:val="002363D1"/>
    <w:rsid w:val="00237936"/>
    <w:rsid w:val="00237D2A"/>
    <w:rsid w:val="002441A4"/>
    <w:rsid w:val="00245343"/>
    <w:rsid w:val="00247D2E"/>
    <w:rsid w:val="0025141A"/>
    <w:rsid w:val="002533CC"/>
    <w:rsid w:val="0025609B"/>
    <w:rsid w:val="00260A18"/>
    <w:rsid w:val="00275011"/>
    <w:rsid w:val="00283029"/>
    <w:rsid w:val="00296EDB"/>
    <w:rsid w:val="00297BDF"/>
    <w:rsid w:val="002A230A"/>
    <w:rsid w:val="002A7448"/>
    <w:rsid w:val="002B0631"/>
    <w:rsid w:val="002C236F"/>
    <w:rsid w:val="002C52F0"/>
    <w:rsid w:val="002D18D3"/>
    <w:rsid w:val="002D5642"/>
    <w:rsid w:val="002D67EE"/>
    <w:rsid w:val="002E0CDB"/>
    <w:rsid w:val="002F0D6D"/>
    <w:rsid w:val="00307BEF"/>
    <w:rsid w:val="00314F4C"/>
    <w:rsid w:val="00320498"/>
    <w:rsid w:val="00332EB1"/>
    <w:rsid w:val="00336D00"/>
    <w:rsid w:val="003440AB"/>
    <w:rsid w:val="00346E86"/>
    <w:rsid w:val="003500C0"/>
    <w:rsid w:val="00365ABC"/>
    <w:rsid w:val="0037008C"/>
    <w:rsid w:val="00374D83"/>
    <w:rsid w:val="003760E0"/>
    <w:rsid w:val="0038042C"/>
    <w:rsid w:val="00383AFB"/>
    <w:rsid w:val="00383B7F"/>
    <w:rsid w:val="003845F8"/>
    <w:rsid w:val="0039141B"/>
    <w:rsid w:val="0039380E"/>
    <w:rsid w:val="00396883"/>
    <w:rsid w:val="003A0F5C"/>
    <w:rsid w:val="003A159D"/>
    <w:rsid w:val="003A67DE"/>
    <w:rsid w:val="003B04AA"/>
    <w:rsid w:val="003B7277"/>
    <w:rsid w:val="003C7E82"/>
    <w:rsid w:val="003D1AF1"/>
    <w:rsid w:val="003E0E9D"/>
    <w:rsid w:val="003E2E06"/>
    <w:rsid w:val="003E4AFF"/>
    <w:rsid w:val="003F39A8"/>
    <w:rsid w:val="003F4AE6"/>
    <w:rsid w:val="003F6F8E"/>
    <w:rsid w:val="003F7E99"/>
    <w:rsid w:val="00412CAD"/>
    <w:rsid w:val="004141CB"/>
    <w:rsid w:val="004319BB"/>
    <w:rsid w:val="0043390F"/>
    <w:rsid w:val="00433E4E"/>
    <w:rsid w:val="00434FDA"/>
    <w:rsid w:val="004411A1"/>
    <w:rsid w:val="00443DC6"/>
    <w:rsid w:val="00444C1D"/>
    <w:rsid w:val="00445544"/>
    <w:rsid w:val="00445AA6"/>
    <w:rsid w:val="0045244A"/>
    <w:rsid w:val="004544A2"/>
    <w:rsid w:val="00455F5E"/>
    <w:rsid w:val="00460D53"/>
    <w:rsid w:val="004647FE"/>
    <w:rsid w:val="00472551"/>
    <w:rsid w:val="00480829"/>
    <w:rsid w:val="00483499"/>
    <w:rsid w:val="004840FB"/>
    <w:rsid w:val="00490F58"/>
    <w:rsid w:val="00494630"/>
    <w:rsid w:val="004975C9"/>
    <w:rsid w:val="004A0584"/>
    <w:rsid w:val="004B29CB"/>
    <w:rsid w:val="004B3F12"/>
    <w:rsid w:val="004B6648"/>
    <w:rsid w:val="004D2786"/>
    <w:rsid w:val="004D423C"/>
    <w:rsid w:val="004E2678"/>
    <w:rsid w:val="004E433C"/>
    <w:rsid w:val="004E7890"/>
    <w:rsid w:val="004E7899"/>
    <w:rsid w:val="004E7E60"/>
    <w:rsid w:val="004F071B"/>
    <w:rsid w:val="004F6086"/>
    <w:rsid w:val="00501ED0"/>
    <w:rsid w:val="0050478E"/>
    <w:rsid w:val="00510924"/>
    <w:rsid w:val="00510CDA"/>
    <w:rsid w:val="00513A85"/>
    <w:rsid w:val="0051683A"/>
    <w:rsid w:val="005169E6"/>
    <w:rsid w:val="00527768"/>
    <w:rsid w:val="00532BBD"/>
    <w:rsid w:val="00536498"/>
    <w:rsid w:val="005414A2"/>
    <w:rsid w:val="00553858"/>
    <w:rsid w:val="0055687C"/>
    <w:rsid w:val="00556BC7"/>
    <w:rsid w:val="00557275"/>
    <w:rsid w:val="00560300"/>
    <w:rsid w:val="00561ECB"/>
    <w:rsid w:val="005623FB"/>
    <w:rsid w:val="00565133"/>
    <w:rsid w:val="005669B3"/>
    <w:rsid w:val="0057563F"/>
    <w:rsid w:val="005863F6"/>
    <w:rsid w:val="005939D3"/>
    <w:rsid w:val="005946E4"/>
    <w:rsid w:val="005A4F73"/>
    <w:rsid w:val="005B0BE4"/>
    <w:rsid w:val="005B153A"/>
    <w:rsid w:val="005B411D"/>
    <w:rsid w:val="005B5013"/>
    <w:rsid w:val="005C1802"/>
    <w:rsid w:val="005C5437"/>
    <w:rsid w:val="005D0DB6"/>
    <w:rsid w:val="005D4CA1"/>
    <w:rsid w:val="005E439A"/>
    <w:rsid w:val="005E62AB"/>
    <w:rsid w:val="005F1064"/>
    <w:rsid w:val="005F44A9"/>
    <w:rsid w:val="00601B8E"/>
    <w:rsid w:val="00601FFC"/>
    <w:rsid w:val="006175E8"/>
    <w:rsid w:val="00624A67"/>
    <w:rsid w:val="006300C6"/>
    <w:rsid w:val="00630E40"/>
    <w:rsid w:val="00635FA0"/>
    <w:rsid w:val="006377F3"/>
    <w:rsid w:val="006406A7"/>
    <w:rsid w:val="00640E2B"/>
    <w:rsid w:val="00645D12"/>
    <w:rsid w:val="00651CB8"/>
    <w:rsid w:val="00652641"/>
    <w:rsid w:val="00656AB6"/>
    <w:rsid w:val="00657C35"/>
    <w:rsid w:val="00657D58"/>
    <w:rsid w:val="006635D2"/>
    <w:rsid w:val="006638CB"/>
    <w:rsid w:val="00667567"/>
    <w:rsid w:val="006760FA"/>
    <w:rsid w:val="006772A3"/>
    <w:rsid w:val="006802A1"/>
    <w:rsid w:val="00683D52"/>
    <w:rsid w:val="0069141C"/>
    <w:rsid w:val="006A0B54"/>
    <w:rsid w:val="006A4798"/>
    <w:rsid w:val="006B1212"/>
    <w:rsid w:val="006B2B8A"/>
    <w:rsid w:val="006B5ABA"/>
    <w:rsid w:val="006C3BCA"/>
    <w:rsid w:val="006D2F65"/>
    <w:rsid w:val="006D394E"/>
    <w:rsid w:val="006E10FB"/>
    <w:rsid w:val="006E6D9F"/>
    <w:rsid w:val="006E7654"/>
    <w:rsid w:val="006F0BA5"/>
    <w:rsid w:val="006F0CA1"/>
    <w:rsid w:val="00702647"/>
    <w:rsid w:val="00705322"/>
    <w:rsid w:val="007104AC"/>
    <w:rsid w:val="007124BA"/>
    <w:rsid w:val="007143C9"/>
    <w:rsid w:val="00714EF9"/>
    <w:rsid w:val="00715864"/>
    <w:rsid w:val="00716733"/>
    <w:rsid w:val="00737DB0"/>
    <w:rsid w:val="007403A4"/>
    <w:rsid w:val="00742F4D"/>
    <w:rsid w:val="0074311D"/>
    <w:rsid w:val="00743837"/>
    <w:rsid w:val="00755AB5"/>
    <w:rsid w:val="00764A7F"/>
    <w:rsid w:val="00776186"/>
    <w:rsid w:val="007947C2"/>
    <w:rsid w:val="007A4AED"/>
    <w:rsid w:val="007A580D"/>
    <w:rsid w:val="007A693F"/>
    <w:rsid w:val="007A762F"/>
    <w:rsid w:val="007B0660"/>
    <w:rsid w:val="007B6778"/>
    <w:rsid w:val="007C09F4"/>
    <w:rsid w:val="007C0BD2"/>
    <w:rsid w:val="007C386F"/>
    <w:rsid w:val="007D03FA"/>
    <w:rsid w:val="007D3A5E"/>
    <w:rsid w:val="007D44AC"/>
    <w:rsid w:val="007D6EDC"/>
    <w:rsid w:val="007D7FF4"/>
    <w:rsid w:val="007E223C"/>
    <w:rsid w:val="007E3C9E"/>
    <w:rsid w:val="007E4344"/>
    <w:rsid w:val="007E66F8"/>
    <w:rsid w:val="007E6866"/>
    <w:rsid w:val="007F3635"/>
    <w:rsid w:val="00801DE7"/>
    <w:rsid w:val="00804284"/>
    <w:rsid w:val="008049DF"/>
    <w:rsid w:val="008240F1"/>
    <w:rsid w:val="00834120"/>
    <w:rsid w:val="008353B0"/>
    <w:rsid w:val="00836D76"/>
    <w:rsid w:val="00841BF8"/>
    <w:rsid w:val="008512B9"/>
    <w:rsid w:val="00854397"/>
    <w:rsid w:val="0085513E"/>
    <w:rsid w:val="0085672B"/>
    <w:rsid w:val="008577E9"/>
    <w:rsid w:val="008741D0"/>
    <w:rsid w:val="00874B73"/>
    <w:rsid w:val="00874D40"/>
    <w:rsid w:val="00875CCB"/>
    <w:rsid w:val="00880077"/>
    <w:rsid w:val="00881A9B"/>
    <w:rsid w:val="00882E51"/>
    <w:rsid w:val="00883A88"/>
    <w:rsid w:val="00883F8F"/>
    <w:rsid w:val="0088684E"/>
    <w:rsid w:val="008876B2"/>
    <w:rsid w:val="008917C5"/>
    <w:rsid w:val="008B0379"/>
    <w:rsid w:val="008B22FF"/>
    <w:rsid w:val="008B47DC"/>
    <w:rsid w:val="008B4F83"/>
    <w:rsid w:val="008B5F88"/>
    <w:rsid w:val="008C1BB1"/>
    <w:rsid w:val="008C29C4"/>
    <w:rsid w:val="008C426B"/>
    <w:rsid w:val="008C4A65"/>
    <w:rsid w:val="008D20ED"/>
    <w:rsid w:val="008D4B36"/>
    <w:rsid w:val="008D621B"/>
    <w:rsid w:val="008D630C"/>
    <w:rsid w:val="008E08ED"/>
    <w:rsid w:val="008E4075"/>
    <w:rsid w:val="008E5514"/>
    <w:rsid w:val="008E5F81"/>
    <w:rsid w:val="008F59BD"/>
    <w:rsid w:val="009146B4"/>
    <w:rsid w:val="00914C89"/>
    <w:rsid w:val="00914D31"/>
    <w:rsid w:val="0092292B"/>
    <w:rsid w:val="009360A2"/>
    <w:rsid w:val="00940725"/>
    <w:rsid w:val="00940AAC"/>
    <w:rsid w:val="00941358"/>
    <w:rsid w:val="00950801"/>
    <w:rsid w:val="009559D6"/>
    <w:rsid w:val="009573CB"/>
    <w:rsid w:val="009605EA"/>
    <w:rsid w:val="009C2072"/>
    <w:rsid w:val="009C6300"/>
    <w:rsid w:val="009E3B90"/>
    <w:rsid w:val="009E4335"/>
    <w:rsid w:val="009E5D35"/>
    <w:rsid w:val="009F21CA"/>
    <w:rsid w:val="00A01E1D"/>
    <w:rsid w:val="00A10296"/>
    <w:rsid w:val="00A14399"/>
    <w:rsid w:val="00A149CA"/>
    <w:rsid w:val="00A23E76"/>
    <w:rsid w:val="00A262A1"/>
    <w:rsid w:val="00A2693E"/>
    <w:rsid w:val="00A30A59"/>
    <w:rsid w:val="00A45A87"/>
    <w:rsid w:val="00A46D61"/>
    <w:rsid w:val="00A50184"/>
    <w:rsid w:val="00A51061"/>
    <w:rsid w:val="00A56235"/>
    <w:rsid w:val="00A57997"/>
    <w:rsid w:val="00A60261"/>
    <w:rsid w:val="00A60721"/>
    <w:rsid w:val="00A72C05"/>
    <w:rsid w:val="00A76EEA"/>
    <w:rsid w:val="00A80B94"/>
    <w:rsid w:val="00A83CD0"/>
    <w:rsid w:val="00A84631"/>
    <w:rsid w:val="00A8516E"/>
    <w:rsid w:val="00A94FD3"/>
    <w:rsid w:val="00A95C99"/>
    <w:rsid w:val="00A9688B"/>
    <w:rsid w:val="00AA1893"/>
    <w:rsid w:val="00AA40C4"/>
    <w:rsid w:val="00AA573F"/>
    <w:rsid w:val="00AA5973"/>
    <w:rsid w:val="00AA7671"/>
    <w:rsid w:val="00AB1506"/>
    <w:rsid w:val="00AB192C"/>
    <w:rsid w:val="00AB221E"/>
    <w:rsid w:val="00AB3175"/>
    <w:rsid w:val="00AB791D"/>
    <w:rsid w:val="00AC080A"/>
    <w:rsid w:val="00AC10F7"/>
    <w:rsid w:val="00AC172D"/>
    <w:rsid w:val="00AC3E8C"/>
    <w:rsid w:val="00AC4F86"/>
    <w:rsid w:val="00AD7908"/>
    <w:rsid w:val="00AE7EA7"/>
    <w:rsid w:val="00AF2CF0"/>
    <w:rsid w:val="00B138C1"/>
    <w:rsid w:val="00B22F53"/>
    <w:rsid w:val="00B25DE8"/>
    <w:rsid w:val="00B30976"/>
    <w:rsid w:val="00B3301C"/>
    <w:rsid w:val="00B42ED5"/>
    <w:rsid w:val="00B51D8F"/>
    <w:rsid w:val="00B5447E"/>
    <w:rsid w:val="00B56AC8"/>
    <w:rsid w:val="00B56C41"/>
    <w:rsid w:val="00B56C86"/>
    <w:rsid w:val="00B60D3E"/>
    <w:rsid w:val="00B64804"/>
    <w:rsid w:val="00B77CD9"/>
    <w:rsid w:val="00B814AB"/>
    <w:rsid w:val="00B81E4E"/>
    <w:rsid w:val="00B82B64"/>
    <w:rsid w:val="00B85632"/>
    <w:rsid w:val="00B965B4"/>
    <w:rsid w:val="00BA04CE"/>
    <w:rsid w:val="00BA5327"/>
    <w:rsid w:val="00BA5A75"/>
    <w:rsid w:val="00BA5CB0"/>
    <w:rsid w:val="00BB509E"/>
    <w:rsid w:val="00BB63B7"/>
    <w:rsid w:val="00BB6B38"/>
    <w:rsid w:val="00BC41BB"/>
    <w:rsid w:val="00BC4EDD"/>
    <w:rsid w:val="00BC5BFB"/>
    <w:rsid w:val="00BC6AA1"/>
    <w:rsid w:val="00BD429B"/>
    <w:rsid w:val="00BD6C3D"/>
    <w:rsid w:val="00BD6D69"/>
    <w:rsid w:val="00BD767C"/>
    <w:rsid w:val="00BE5689"/>
    <w:rsid w:val="00BE6D67"/>
    <w:rsid w:val="00BE7305"/>
    <w:rsid w:val="00BF0AEF"/>
    <w:rsid w:val="00BF3065"/>
    <w:rsid w:val="00BF4E21"/>
    <w:rsid w:val="00C01234"/>
    <w:rsid w:val="00C12526"/>
    <w:rsid w:val="00C153D5"/>
    <w:rsid w:val="00C421B6"/>
    <w:rsid w:val="00C457BD"/>
    <w:rsid w:val="00C531DB"/>
    <w:rsid w:val="00C702E3"/>
    <w:rsid w:val="00C74AC0"/>
    <w:rsid w:val="00C76128"/>
    <w:rsid w:val="00C92F59"/>
    <w:rsid w:val="00C97080"/>
    <w:rsid w:val="00C97502"/>
    <w:rsid w:val="00CA27A2"/>
    <w:rsid w:val="00CA2A48"/>
    <w:rsid w:val="00CA72F7"/>
    <w:rsid w:val="00CC257C"/>
    <w:rsid w:val="00CC398D"/>
    <w:rsid w:val="00CC3D51"/>
    <w:rsid w:val="00CC4567"/>
    <w:rsid w:val="00CC53C9"/>
    <w:rsid w:val="00CC612B"/>
    <w:rsid w:val="00CD0413"/>
    <w:rsid w:val="00CD1D04"/>
    <w:rsid w:val="00CD5336"/>
    <w:rsid w:val="00CE008B"/>
    <w:rsid w:val="00CE5AE5"/>
    <w:rsid w:val="00CF008F"/>
    <w:rsid w:val="00CF0318"/>
    <w:rsid w:val="00CF304B"/>
    <w:rsid w:val="00D0259D"/>
    <w:rsid w:val="00D02D40"/>
    <w:rsid w:val="00D06E31"/>
    <w:rsid w:val="00D1417D"/>
    <w:rsid w:val="00D1765C"/>
    <w:rsid w:val="00D262AE"/>
    <w:rsid w:val="00D3071B"/>
    <w:rsid w:val="00D320BB"/>
    <w:rsid w:val="00D362B4"/>
    <w:rsid w:val="00D4045B"/>
    <w:rsid w:val="00D41DE0"/>
    <w:rsid w:val="00D43475"/>
    <w:rsid w:val="00D44F6D"/>
    <w:rsid w:val="00D54405"/>
    <w:rsid w:val="00D56FAB"/>
    <w:rsid w:val="00D62875"/>
    <w:rsid w:val="00D65828"/>
    <w:rsid w:val="00D72B9E"/>
    <w:rsid w:val="00D912C8"/>
    <w:rsid w:val="00D928BF"/>
    <w:rsid w:val="00D97A80"/>
    <w:rsid w:val="00DB0006"/>
    <w:rsid w:val="00DB25F6"/>
    <w:rsid w:val="00DB373B"/>
    <w:rsid w:val="00DB4E9B"/>
    <w:rsid w:val="00DB5582"/>
    <w:rsid w:val="00DB6D4B"/>
    <w:rsid w:val="00DC506E"/>
    <w:rsid w:val="00DD017B"/>
    <w:rsid w:val="00DD3DCA"/>
    <w:rsid w:val="00DD4E3F"/>
    <w:rsid w:val="00DD66EE"/>
    <w:rsid w:val="00DF742B"/>
    <w:rsid w:val="00E02ED5"/>
    <w:rsid w:val="00E033A8"/>
    <w:rsid w:val="00E0766E"/>
    <w:rsid w:val="00E11A6D"/>
    <w:rsid w:val="00E13C6F"/>
    <w:rsid w:val="00E14ECB"/>
    <w:rsid w:val="00E15FD0"/>
    <w:rsid w:val="00E22CEB"/>
    <w:rsid w:val="00E25FB8"/>
    <w:rsid w:val="00E2682C"/>
    <w:rsid w:val="00E3008F"/>
    <w:rsid w:val="00E40515"/>
    <w:rsid w:val="00E423C0"/>
    <w:rsid w:val="00E512AF"/>
    <w:rsid w:val="00E60904"/>
    <w:rsid w:val="00E64250"/>
    <w:rsid w:val="00E65CDC"/>
    <w:rsid w:val="00E66683"/>
    <w:rsid w:val="00E814C1"/>
    <w:rsid w:val="00E833E4"/>
    <w:rsid w:val="00E839A9"/>
    <w:rsid w:val="00E856AA"/>
    <w:rsid w:val="00E9770D"/>
    <w:rsid w:val="00EA4732"/>
    <w:rsid w:val="00EA5EC2"/>
    <w:rsid w:val="00EA6705"/>
    <w:rsid w:val="00EB54E0"/>
    <w:rsid w:val="00EC01F0"/>
    <w:rsid w:val="00ED0BEF"/>
    <w:rsid w:val="00ED4636"/>
    <w:rsid w:val="00EE430A"/>
    <w:rsid w:val="00EE6F30"/>
    <w:rsid w:val="00EE7137"/>
    <w:rsid w:val="00EF0150"/>
    <w:rsid w:val="00EF1C8C"/>
    <w:rsid w:val="00EF233D"/>
    <w:rsid w:val="00F02274"/>
    <w:rsid w:val="00F049D1"/>
    <w:rsid w:val="00F05117"/>
    <w:rsid w:val="00F05588"/>
    <w:rsid w:val="00F06D1E"/>
    <w:rsid w:val="00F1450F"/>
    <w:rsid w:val="00F35E90"/>
    <w:rsid w:val="00F37E2C"/>
    <w:rsid w:val="00F40335"/>
    <w:rsid w:val="00F44C29"/>
    <w:rsid w:val="00F466E3"/>
    <w:rsid w:val="00F64466"/>
    <w:rsid w:val="00F6521F"/>
    <w:rsid w:val="00F72207"/>
    <w:rsid w:val="00F7699A"/>
    <w:rsid w:val="00F83999"/>
    <w:rsid w:val="00F867C0"/>
    <w:rsid w:val="00F86B7D"/>
    <w:rsid w:val="00F93179"/>
    <w:rsid w:val="00F961D5"/>
    <w:rsid w:val="00F97447"/>
    <w:rsid w:val="00FB2C7E"/>
    <w:rsid w:val="00FB4D7D"/>
    <w:rsid w:val="00FC1A04"/>
    <w:rsid w:val="00FC4DBE"/>
    <w:rsid w:val="00FC63AA"/>
    <w:rsid w:val="00FD1EB2"/>
    <w:rsid w:val="00FE1487"/>
    <w:rsid w:val="00FE5586"/>
    <w:rsid w:val="00FF1278"/>
    <w:rsid w:val="00FF58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C3F6"/>
  <w15:docId w15:val="{1E486717-9ACF-493E-97EC-2DB27E1F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BD2"/>
    <w:pPr>
      <w:suppressAutoHyphens/>
      <w:spacing w:after="0" w:line="48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0BD2"/>
    <w:pPr>
      <w:keepNext/>
      <w:outlineLvl w:val="0"/>
    </w:pPr>
    <w:rPr>
      <w:rFonts w:cs="Arial"/>
      <w:bCs/>
      <w:kern w:val="32"/>
      <w:szCs w:val="32"/>
    </w:rPr>
  </w:style>
  <w:style w:type="paragraph" w:styleId="Heading2">
    <w:name w:val="heading 2"/>
    <w:basedOn w:val="Normal"/>
    <w:next w:val="BodyText"/>
    <w:link w:val="Heading2Char"/>
    <w:qFormat/>
    <w:rsid w:val="007C0BD2"/>
    <w:pPr>
      <w:keepNext/>
      <w:outlineLvl w:val="1"/>
    </w:pPr>
    <w:rPr>
      <w:bCs/>
      <w:iCs/>
    </w:rPr>
  </w:style>
  <w:style w:type="paragraph" w:styleId="Heading3">
    <w:name w:val="heading 3"/>
    <w:basedOn w:val="Normal"/>
    <w:next w:val="BodyText"/>
    <w:link w:val="Heading3Char"/>
    <w:qFormat/>
    <w:rsid w:val="007C0BD2"/>
    <w:pPr>
      <w:keepNext/>
      <w:outlineLvl w:val="2"/>
    </w:pPr>
    <w:rPr>
      <w:rFonts w:cs="Arial"/>
      <w:bCs/>
      <w:szCs w:val="26"/>
    </w:rPr>
  </w:style>
  <w:style w:type="paragraph" w:styleId="Heading4">
    <w:name w:val="heading 4"/>
    <w:basedOn w:val="Normal"/>
    <w:next w:val="Normal"/>
    <w:link w:val="Heading4Char"/>
    <w:qFormat/>
    <w:rsid w:val="007C0BD2"/>
    <w:pPr>
      <w:keepNext/>
      <w:spacing w:before="120" w:after="120"/>
      <w:outlineLvl w:val="3"/>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BD2"/>
    <w:rPr>
      <w:rFonts w:ascii="Times New Roman" w:eastAsia="Times New Roman" w:hAnsi="Times New Roman" w:cs="Arial"/>
      <w:bCs/>
      <w:kern w:val="32"/>
      <w:sz w:val="24"/>
      <w:szCs w:val="32"/>
    </w:rPr>
  </w:style>
  <w:style w:type="character" w:customStyle="1" w:styleId="Heading2Char">
    <w:name w:val="Heading 2 Char"/>
    <w:basedOn w:val="DefaultParagraphFont"/>
    <w:link w:val="Heading2"/>
    <w:rsid w:val="007C0BD2"/>
    <w:rPr>
      <w:rFonts w:ascii="Times New Roman" w:eastAsia="Times New Roman" w:hAnsi="Times New Roman" w:cs="Times New Roman"/>
      <w:bCs/>
      <w:iCs/>
      <w:sz w:val="24"/>
      <w:szCs w:val="24"/>
    </w:rPr>
  </w:style>
  <w:style w:type="paragraph" w:styleId="FootnoteText">
    <w:name w:val="footnote text"/>
    <w:basedOn w:val="Normal"/>
    <w:link w:val="FootnoteTextChar"/>
    <w:rsid w:val="007C0BD2"/>
    <w:pPr>
      <w:tabs>
        <w:tab w:val="left" w:pos="567"/>
      </w:tabs>
      <w:ind w:left="284" w:hanging="284"/>
    </w:pPr>
    <w:rPr>
      <w:sz w:val="20"/>
      <w:szCs w:val="20"/>
      <w:lang w:eastAsia="ar-SA"/>
    </w:rPr>
  </w:style>
  <w:style w:type="character" w:customStyle="1" w:styleId="FootnoteTextChar">
    <w:name w:val="Footnote Text Char"/>
    <w:basedOn w:val="DefaultParagraphFont"/>
    <w:link w:val="FootnoteText"/>
    <w:rsid w:val="007C0BD2"/>
    <w:rPr>
      <w:rFonts w:ascii="Times New Roman" w:eastAsia="Times New Roman" w:hAnsi="Times New Roman" w:cs="Times New Roman"/>
      <w:sz w:val="20"/>
      <w:szCs w:val="20"/>
      <w:lang w:eastAsia="ar-SA"/>
    </w:rPr>
  </w:style>
  <w:style w:type="character" w:styleId="FootnoteReference">
    <w:name w:val="footnote reference"/>
    <w:rsid w:val="007C0BD2"/>
    <w:rPr>
      <w:vertAlign w:val="superscript"/>
    </w:rPr>
  </w:style>
  <w:style w:type="paragraph" w:styleId="Quote">
    <w:name w:val="Quote"/>
    <w:basedOn w:val="Normal"/>
    <w:next w:val="BodyText"/>
    <w:link w:val="QuoteChar"/>
    <w:autoRedefine/>
    <w:uiPriority w:val="29"/>
    <w:qFormat/>
    <w:rsid w:val="007C0BD2"/>
    <w:pPr>
      <w:spacing w:before="120" w:after="120"/>
      <w:ind w:left="567" w:right="567"/>
    </w:pPr>
    <w:rPr>
      <w:rFonts w:cstheme="minorBidi"/>
      <w:lang w:eastAsia="ar-SA"/>
    </w:rPr>
  </w:style>
  <w:style w:type="character" w:customStyle="1" w:styleId="QuoteChar">
    <w:name w:val="Quote Char"/>
    <w:basedOn w:val="DefaultParagraphFont"/>
    <w:link w:val="Quote"/>
    <w:uiPriority w:val="29"/>
    <w:rsid w:val="007C0BD2"/>
    <w:rPr>
      <w:rFonts w:ascii="Times New Roman" w:eastAsia="Times New Roman" w:hAnsi="Times New Roman"/>
      <w:sz w:val="24"/>
      <w:szCs w:val="24"/>
      <w:lang w:eastAsia="ar-SA"/>
    </w:rPr>
  </w:style>
  <w:style w:type="character" w:styleId="Hyperlink">
    <w:name w:val="Hyperlink"/>
    <w:basedOn w:val="DefaultParagraphFont"/>
    <w:rsid w:val="007C0BD2"/>
    <w:rPr>
      <w:color w:val="0000FF"/>
      <w:u w:val="single"/>
    </w:rPr>
  </w:style>
  <w:style w:type="character" w:customStyle="1" w:styleId="Heading3Char">
    <w:name w:val="Heading 3 Char"/>
    <w:basedOn w:val="DefaultParagraphFont"/>
    <w:link w:val="Heading3"/>
    <w:rsid w:val="007C0BD2"/>
    <w:rPr>
      <w:rFonts w:ascii="Times New Roman" w:eastAsia="Times New Roman" w:hAnsi="Times New Roman" w:cs="Arial"/>
      <w:bCs/>
      <w:sz w:val="24"/>
      <w:szCs w:val="26"/>
    </w:rPr>
  </w:style>
  <w:style w:type="paragraph" w:styleId="ListParagraph">
    <w:name w:val="List Paragraph"/>
    <w:basedOn w:val="Normal"/>
    <w:uiPriority w:val="34"/>
    <w:qFormat/>
    <w:rsid w:val="007C0BD2"/>
    <w:pPr>
      <w:ind w:left="720"/>
    </w:pPr>
  </w:style>
  <w:style w:type="paragraph" w:customStyle="1" w:styleId="quotelist1">
    <w:name w:val="quotelist1"/>
    <w:basedOn w:val="Quote"/>
    <w:link w:val="quotelist1Char"/>
    <w:qFormat/>
    <w:rsid w:val="00E11A6D"/>
    <w:pPr>
      <w:numPr>
        <w:numId w:val="37"/>
      </w:numPr>
    </w:pPr>
  </w:style>
  <w:style w:type="paragraph" w:customStyle="1" w:styleId="quotelist2">
    <w:name w:val="quotelist2"/>
    <w:basedOn w:val="Quote"/>
    <w:link w:val="quotelist2Char"/>
    <w:qFormat/>
    <w:rsid w:val="00E11A6D"/>
    <w:pPr>
      <w:numPr>
        <w:numId w:val="30"/>
      </w:numPr>
      <w:spacing w:after="0"/>
    </w:pPr>
  </w:style>
  <w:style w:type="character" w:customStyle="1" w:styleId="quotelist1Char">
    <w:name w:val="quotelist1 Char"/>
    <w:basedOn w:val="QuoteChar"/>
    <w:link w:val="quotelist1"/>
    <w:rsid w:val="00E11A6D"/>
    <w:rPr>
      <w:rFonts w:ascii="Times New Roman" w:eastAsia="Times New Roman" w:hAnsi="Times New Roman" w:cs="Times New Roman"/>
      <w:i w:val="0"/>
      <w:iCs w:val="0"/>
      <w:color w:val="000000" w:themeColor="text1"/>
      <w:sz w:val="24"/>
      <w:szCs w:val="24"/>
      <w:lang w:eastAsia="ar-SA"/>
    </w:rPr>
  </w:style>
  <w:style w:type="character" w:customStyle="1" w:styleId="Heading4Char">
    <w:name w:val="Heading 4 Char"/>
    <w:basedOn w:val="DefaultParagraphFont"/>
    <w:link w:val="Heading4"/>
    <w:rsid w:val="007C0BD2"/>
    <w:rPr>
      <w:rFonts w:ascii="Times New Roman" w:eastAsia="Times New Roman" w:hAnsi="Times New Roman" w:cs="Times New Roman"/>
      <w:i/>
      <w:sz w:val="24"/>
      <w:szCs w:val="28"/>
    </w:rPr>
  </w:style>
  <w:style w:type="character" w:customStyle="1" w:styleId="quotelist2Char">
    <w:name w:val="quotelist2 Char"/>
    <w:basedOn w:val="QuoteChar"/>
    <w:link w:val="quotelist2"/>
    <w:rsid w:val="00E11A6D"/>
    <w:rPr>
      <w:rFonts w:ascii="Times New Roman" w:eastAsia="Times New Roman" w:hAnsi="Times New Roman" w:cs="Times New Roman"/>
      <w:i w:val="0"/>
      <w:iCs w:val="0"/>
      <w:color w:val="000000" w:themeColor="text1"/>
      <w:sz w:val="24"/>
      <w:szCs w:val="24"/>
      <w:lang w:eastAsia="ar-SA"/>
    </w:rPr>
  </w:style>
  <w:style w:type="paragraph" w:styleId="Header">
    <w:name w:val="header"/>
    <w:basedOn w:val="Normal"/>
    <w:link w:val="HeaderChar"/>
    <w:uiPriority w:val="99"/>
    <w:unhideWhenUsed/>
    <w:rsid w:val="007C0BD2"/>
    <w:pPr>
      <w:tabs>
        <w:tab w:val="center" w:pos="4513"/>
        <w:tab w:val="right" w:pos="9026"/>
      </w:tabs>
    </w:pPr>
  </w:style>
  <w:style w:type="character" w:customStyle="1" w:styleId="HeaderChar">
    <w:name w:val="Header Char"/>
    <w:basedOn w:val="DefaultParagraphFont"/>
    <w:link w:val="Header"/>
    <w:uiPriority w:val="99"/>
    <w:rsid w:val="007C0B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BD2"/>
    <w:pPr>
      <w:tabs>
        <w:tab w:val="center" w:pos="4513"/>
        <w:tab w:val="right" w:pos="9026"/>
      </w:tabs>
    </w:pPr>
  </w:style>
  <w:style w:type="character" w:customStyle="1" w:styleId="FooterChar">
    <w:name w:val="Footer Char"/>
    <w:basedOn w:val="DefaultParagraphFont"/>
    <w:link w:val="Footer"/>
    <w:uiPriority w:val="99"/>
    <w:rsid w:val="007C0BD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0BD2"/>
    <w:rPr>
      <w:color w:val="800080"/>
      <w:u w:val="single"/>
    </w:rPr>
  </w:style>
  <w:style w:type="paragraph" w:styleId="PlainText">
    <w:name w:val="Plain Text"/>
    <w:basedOn w:val="Normal"/>
    <w:link w:val="PlainTextChar"/>
    <w:uiPriority w:val="99"/>
    <w:unhideWhenUsed/>
    <w:rsid w:val="00EA5EC2"/>
    <w:pPr>
      <w:spacing w:line="240" w:lineRule="auto"/>
      <w:jc w:val="left"/>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EA5EC2"/>
    <w:rPr>
      <w:rFonts w:ascii="Calibri" w:eastAsiaTheme="minorEastAsia" w:hAnsi="Calibri"/>
      <w:szCs w:val="21"/>
      <w:lang w:eastAsia="zh-CN"/>
    </w:rPr>
  </w:style>
  <w:style w:type="paragraph" w:styleId="NormalWeb">
    <w:name w:val="Normal (Web)"/>
    <w:basedOn w:val="Normal"/>
    <w:uiPriority w:val="99"/>
    <w:semiHidden/>
    <w:unhideWhenUsed/>
    <w:rsid w:val="007C0BD2"/>
    <w:pPr>
      <w:spacing w:before="100" w:beforeAutospacing="1" w:after="100" w:afterAutospacing="1" w:line="240" w:lineRule="auto"/>
      <w:jc w:val="left"/>
    </w:pPr>
    <w:rPr>
      <w:lang w:eastAsia="en-GB"/>
    </w:rPr>
  </w:style>
  <w:style w:type="paragraph" w:customStyle="1" w:styleId="footnotes">
    <w:name w:val="footnotes"/>
    <w:basedOn w:val="FootnoteText"/>
    <w:link w:val="footnotesChar"/>
    <w:qFormat/>
    <w:rsid w:val="00914D31"/>
  </w:style>
  <w:style w:type="character" w:customStyle="1" w:styleId="footnotesChar">
    <w:name w:val="footnotes Char"/>
    <w:basedOn w:val="FootnoteTextChar"/>
    <w:link w:val="footnotes"/>
    <w:rsid w:val="00914D31"/>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3F6F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F8E"/>
    <w:rPr>
      <w:rFonts w:ascii="Tahoma" w:hAnsi="Tahoma" w:cs="Tahoma"/>
      <w:sz w:val="16"/>
      <w:szCs w:val="16"/>
    </w:rPr>
  </w:style>
  <w:style w:type="character" w:styleId="CommentReference">
    <w:name w:val="annotation reference"/>
    <w:basedOn w:val="DefaultParagraphFont"/>
    <w:uiPriority w:val="99"/>
    <w:semiHidden/>
    <w:unhideWhenUsed/>
    <w:rsid w:val="003F6F8E"/>
    <w:rPr>
      <w:sz w:val="16"/>
      <w:szCs w:val="16"/>
    </w:rPr>
  </w:style>
  <w:style w:type="paragraph" w:styleId="CommentText">
    <w:name w:val="annotation text"/>
    <w:basedOn w:val="Normal"/>
    <w:link w:val="CommentTextChar"/>
    <w:uiPriority w:val="99"/>
    <w:semiHidden/>
    <w:unhideWhenUsed/>
    <w:rsid w:val="003F6F8E"/>
    <w:pPr>
      <w:spacing w:line="240" w:lineRule="auto"/>
    </w:pPr>
    <w:rPr>
      <w:sz w:val="20"/>
      <w:szCs w:val="20"/>
    </w:rPr>
  </w:style>
  <w:style w:type="character" w:customStyle="1" w:styleId="CommentTextChar">
    <w:name w:val="Comment Text Char"/>
    <w:basedOn w:val="DefaultParagraphFont"/>
    <w:link w:val="CommentText"/>
    <w:uiPriority w:val="99"/>
    <w:semiHidden/>
    <w:rsid w:val="003F6F8E"/>
    <w:rPr>
      <w:sz w:val="20"/>
      <w:szCs w:val="20"/>
    </w:rPr>
  </w:style>
  <w:style w:type="paragraph" w:styleId="CommentSubject">
    <w:name w:val="annotation subject"/>
    <w:basedOn w:val="CommentText"/>
    <w:next w:val="CommentText"/>
    <w:link w:val="CommentSubjectChar"/>
    <w:uiPriority w:val="99"/>
    <w:semiHidden/>
    <w:unhideWhenUsed/>
    <w:rsid w:val="003F6F8E"/>
    <w:rPr>
      <w:b/>
      <w:bCs/>
    </w:rPr>
  </w:style>
  <w:style w:type="character" w:customStyle="1" w:styleId="CommentSubjectChar">
    <w:name w:val="Comment Subject Char"/>
    <w:basedOn w:val="CommentTextChar"/>
    <w:link w:val="CommentSubject"/>
    <w:uiPriority w:val="99"/>
    <w:semiHidden/>
    <w:rsid w:val="003F6F8E"/>
    <w:rPr>
      <w:b/>
      <w:bCs/>
      <w:sz w:val="20"/>
      <w:szCs w:val="20"/>
    </w:rPr>
  </w:style>
  <w:style w:type="character" w:styleId="Emphasis">
    <w:name w:val="Emphasis"/>
    <w:basedOn w:val="DefaultParagraphFont"/>
    <w:uiPriority w:val="20"/>
    <w:qFormat/>
    <w:rsid w:val="003F6F8E"/>
    <w:rPr>
      <w:i/>
      <w:iCs/>
    </w:rPr>
  </w:style>
  <w:style w:type="paragraph" w:customStyle="1" w:styleId="footnote">
    <w:name w:val="footnote"/>
    <w:basedOn w:val="FootnoteText"/>
    <w:link w:val="footnoteChar"/>
    <w:qFormat/>
    <w:rsid w:val="003F6F8E"/>
  </w:style>
  <w:style w:type="character" w:customStyle="1" w:styleId="footnoteChar">
    <w:name w:val="footnote Char"/>
    <w:basedOn w:val="DefaultParagraphFont"/>
    <w:link w:val="footnote"/>
    <w:rsid w:val="003F6F8E"/>
    <w:rPr>
      <w:sz w:val="20"/>
      <w:szCs w:val="20"/>
    </w:rPr>
  </w:style>
  <w:style w:type="character" w:customStyle="1" w:styleId="footnotereference0">
    <w:name w:val="footnotereference"/>
    <w:basedOn w:val="DefaultParagraphFont"/>
    <w:rsid w:val="003F6F8E"/>
  </w:style>
  <w:style w:type="paragraph" w:customStyle="1" w:styleId="Normal1">
    <w:name w:val="Normal1"/>
    <w:basedOn w:val="Normal"/>
    <w:rsid w:val="003F6F8E"/>
    <w:pPr>
      <w:spacing w:before="100" w:beforeAutospacing="1" w:after="100" w:afterAutospacing="1" w:line="240" w:lineRule="auto"/>
    </w:pPr>
    <w:rPr>
      <w:lang w:eastAsia="en-GB"/>
    </w:rPr>
  </w:style>
  <w:style w:type="paragraph" w:customStyle="1" w:styleId="para1">
    <w:name w:val="para1"/>
    <w:basedOn w:val="Normal"/>
    <w:rsid w:val="003F6F8E"/>
    <w:pPr>
      <w:spacing w:before="100" w:beforeAutospacing="1" w:after="100" w:afterAutospacing="1" w:line="240" w:lineRule="auto"/>
      <w:jc w:val="left"/>
    </w:pPr>
    <w:rPr>
      <w:lang w:eastAsia="en-GB"/>
    </w:rPr>
  </w:style>
  <w:style w:type="character" w:customStyle="1" w:styleId="plain">
    <w:name w:val="plain"/>
    <w:basedOn w:val="DefaultParagraphFont"/>
    <w:rsid w:val="003F6F8E"/>
  </w:style>
  <w:style w:type="paragraph" w:customStyle="1" w:styleId="sti-art">
    <w:name w:val="sti-art"/>
    <w:basedOn w:val="Normal"/>
    <w:rsid w:val="003F6F8E"/>
    <w:pPr>
      <w:spacing w:before="100" w:beforeAutospacing="1" w:after="100" w:afterAutospacing="1" w:line="240" w:lineRule="auto"/>
    </w:pPr>
    <w:rPr>
      <w:lang w:eastAsia="en-GB"/>
    </w:rPr>
  </w:style>
  <w:style w:type="paragraph" w:customStyle="1" w:styleId="ti-art">
    <w:name w:val="ti-art"/>
    <w:basedOn w:val="Normal"/>
    <w:rsid w:val="003F6F8E"/>
    <w:pPr>
      <w:spacing w:before="100" w:beforeAutospacing="1" w:after="100" w:afterAutospacing="1" w:line="240" w:lineRule="auto"/>
    </w:pPr>
    <w:rPr>
      <w:lang w:eastAsia="en-GB"/>
    </w:rPr>
  </w:style>
  <w:style w:type="paragraph" w:styleId="Revision">
    <w:name w:val="Revision"/>
    <w:hidden/>
    <w:uiPriority w:val="99"/>
    <w:semiHidden/>
    <w:rsid w:val="006A0B54"/>
    <w:pPr>
      <w:spacing w:after="0" w:line="240" w:lineRule="auto"/>
    </w:pPr>
  </w:style>
  <w:style w:type="paragraph" w:styleId="BlockText">
    <w:name w:val="Block Text"/>
    <w:basedOn w:val="Normal"/>
    <w:uiPriority w:val="99"/>
    <w:semiHidden/>
    <w:unhideWhenUsed/>
    <w:rsid w:val="007C0BD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7C0BD2"/>
    <w:pPr>
      <w:spacing w:after="120"/>
    </w:pPr>
  </w:style>
  <w:style w:type="character" w:customStyle="1" w:styleId="BodyTextChar">
    <w:name w:val="Body Text Char"/>
    <w:basedOn w:val="DefaultParagraphFont"/>
    <w:link w:val="BodyText"/>
    <w:uiPriority w:val="99"/>
    <w:rsid w:val="007C0BD2"/>
    <w:rPr>
      <w:rFonts w:ascii="Times New Roman" w:eastAsia="Times New Roman" w:hAnsi="Times New Roman" w:cs="Times New Roman"/>
      <w:sz w:val="24"/>
      <w:szCs w:val="24"/>
    </w:rPr>
  </w:style>
  <w:style w:type="character" w:customStyle="1" w:styleId="BodyTextChar1">
    <w:name w:val="Body Text Char1"/>
    <w:basedOn w:val="DefaultParagraphFont"/>
    <w:uiPriority w:val="99"/>
    <w:rsid w:val="007C0BD2"/>
    <w:rPr>
      <w:rFonts w:ascii="Courier New" w:hAnsi="Courier New"/>
      <w:sz w:val="24"/>
      <w:szCs w:val="24"/>
      <w:lang w:eastAsia="en-US"/>
    </w:rPr>
  </w:style>
  <w:style w:type="paragraph" w:styleId="BodyTextIndent">
    <w:name w:val="Body Text Indent"/>
    <w:basedOn w:val="Normal"/>
    <w:link w:val="BodyTextIndentChar"/>
    <w:semiHidden/>
    <w:rsid w:val="007C0BD2"/>
    <w:pPr>
      <w:ind w:firstLine="720"/>
    </w:pPr>
  </w:style>
  <w:style w:type="character" w:customStyle="1" w:styleId="BodyTextIndentChar">
    <w:name w:val="Body Text Indent Char"/>
    <w:basedOn w:val="DefaultParagraphFont"/>
    <w:link w:val="BodyTextIndent"/>
    <w:semiHidden/>
    <w:rsid w:val="007C0BD2"/>
    <w:rPr>
      <w:rFonts w:ascii="Times New Roman" w:eastAsia="Times New Roman" w:hAnsi="Times New Roman" w:cs="Times New Roman"/>
      <w:sz w:val="24"/>
      <w:szCs w:val="24"/>
    </w:rPr>
  </w:style>
  <w:style w:type="character" w:styleId="BookTitle">
    <w:name w:val="Book Title"/>
    <w:basedOn w:val="DefaultParagraphFont"/>
    <w:uiPriority w:val="33"/>
    <w:qFormat/>
    <w:rsid w:val="007C0BD2"/>
    <w:rPr>
      <w:b/>
      <w:bCs/>
      <w:smallCaps/>
      <w:spacing w:val="5"/>
    </w:rPr>
  </w:style>
  <w:style w:type="paragraph" w:styleId="Caption">
    <w:name w:val="caption"/>
    <w:basedOn w:val="Normal"/>
    <w:qFormat/>
    <w:rsid w:val="007C0BD2"/>
    <w:pPr>
      <w:suppressLineNumbers/>
      <w:spacing w:before="120" w:after="120"/>
    </w:pPr>
    <w:rPr>
      <w:rFonts w:cs="Tahoma"/>
      <w:i/>
      <w:iCs/>
      <w:sz w:val="20"/>
      <w:szCs w:val="20"/>
      <w:lang w:eastAsia="ar-SA"/>
    </w:rPr>
  </w:style>
  <w:style w:type="paragraph" w:customStyle="1" w:styleId="Chapter">
    <w:name w:val="Chapter"/>
    <w:basedOn w:val="BodyText"/>
    <w:next w:val="Heading1"/>
    <w:rsid w:val="007C0BD2"/>
    <w:pPr>
      <w:spacing w:after="0"/>
      <w:jc w:val="left"/>
    </w:pPr>
    <w:rPr>
      <w:b/>
      <w:caps/>
      <w:u w:val="thick"/>
      <w:lang w:eastAsia="ar-SA"/>
    </w:rPr>
  </w:style>
  <w:style w:type="character" w:customStyle="1" w:styleId="CharChar1">
    <w:name w:val="Char Char1"/>
    <w:basedOn w:val="DefaultParagraphFont"/>
    <w:rsid w:val="007C0BD2"/>
    <w:rPr>
      <w:b/>
      <w:bCs/>
      <w:sz w:val="24"/>
      <w:szCs w:val="24"/>
      <w:lang w:val="en-GB" w:eastAsia="ar-SA" w:bidi="ar-SA"/>
    </w:rPr>
  </w:style>
  <w:style w:type="character" w:customStyle="1" w:styleId="definition">
    <w:name w:val="definition"/>
    <w:basedOn w:val="DefaultParagraphFont"/>
    <w:rsid w:val="007C0BD2"/>
  </w:style>
  <w:style w:type="character" w:styleId="EndnoteReference">
    <w:name w:val="endnote reference"/>
    <w:semiHidden/>
    <w:rsid w:val="007C0BD2"/>
    <w:rPr>
      <w:vertAlign w:val="superscript"/>
    </w:rPr>
  </w:style>
  <w:style w:type="paragraph" w:styleId="EndnoteText">
    <w:name w:val="endnote text"/>
    <w:basedOn w:val="Normal"/>
    <w:link w:val="EndnoteTextChar"/>
    <w:uiPriority w:val="99"/>
    <w:semiHidden/>
    <w:unhideWhenUsed/>
    <w:rsid w:val="007C0BD2"/>
    <w:rPr>
      <w:sz w:val="20"/>
      <w:szCs w:val="20"/>
      <w:lang w:eastAsia="ar-SA"/>
    </w:rPr>
  </w:style>
  <w:style w:type="character" w:customStyle="1" w:styleId="EndnoteTextChar">
    <w:name w:val="Endnote Text Char"/>
    <w:basedOn w:val="DefaultParagraphFont"/>
    <w:link w:val="EndnoteText"/>
    <w:uiPriority w:val="99"/>
    <w:semiHidden/>
    <w:rsid w:val="007C0BD2"/>
    <w:rPr>
      <w:rFonts w:ascii="Times New Roman" w:eastAsia="Times New Roman" w:hAnsi="Times New Roman" w:cs="Times New Roman"/>
      <w:sz w:val="20"/>
      <w:szCs w:val="20"/>
      <w:lang w:eastAsia="ar-SA"/>
    </w:rPr>
  </w:style>
  <w:style w:type="character" w:customStyle="1" w:styleId="FooterChar1">
    <w:name w:val="Footer Char1"/>
    <w:basedOn w:val="DefaultParagraphFont"/>
    <w:uiPriority w:val="99"/>
    <w:rsid w:val="007C0BD2"/>
    <w:rPr>
      <w:sz w:val="24"/>
      <w:szCs w:val="24"/>
      <w:lang w:eastAsia="en-US"/>
    </w:rPr>
  </w:style>
  <w:style w:type="character" w:customStyle="1" w:styleId="FootnoteCharacters">
    <w:name w:val="Footnote Characters"/>
    <w:basedOn w:val="DefaultParagraphFont"/>
    <w:rsid w:val="007C0BD2"/>
    <w:rPr>
      <w:vertAlign w:val="superscript"/>
    </w:rPr>
  </w:style>
  <w:style w:type="character" w:customStyle="1" w:styleId="FootnoteTextChar1">
    <w:name w:val="Footnote Text Char1"/>
    <w:basedOn w:val="DefaultParagraphFont"/>
    <w:semiHidden/>
    <w:rsid w:val="007C0BD2"/>
    <w:rPr>
      <w:lang w:eastAsia="ar-SA"/>
    </w:rPr>
  </w:style>
  <w:style w:type="paragraph" w:customStyle="1" w:styleId="Heading51">
    <w:name w:val="Heading 51"/>
    <w:basedOn w:val="Heading1"/>
    <w:rsid w:val="007C0BD2"/>
    <w:rPr>
      <w:rFonts w:cs="Times New Roman"/>
      <w:kern w:val="0"/>
      <w:szCs w:val="24"/>
    </w:rPr>
  </w:style>
  <w:style w:type="character" w:customStyle="1" w:styleId="Quote1">
    <w:name w:val="Quote1"/>
    <w:basedOn w:val="DefaultParagraphFont"/>
    <w:rsid w:val="007C0BD2"/>
  </w:style>
  <w:style w:type="character" w:customStyle="1" w:styleId="sb8d990e2">
    <w:name w:val="sb8d990e2"/>
    <w:basedOn w:val="DefaultParagraphFont"/>
    <w:rsid w:val="007C0BD2"/>
  </w:style>
  <w:style w:type="character" w:customStyle="1" w:styleId="starpage">
    <w:name w:val="starpage"/>
    <w:basedOn w:val="DefaultParagraphFont"/>
    <w:rsid w:val="007C0BD2"/>
  </w:style>
  <w:style w:type="paragraph" w:customStyle="1" w:styleId="text">
    <w:name w:val="text"/>
    <w:basedOn w:val="Normal"/>
    <w:rsid w:val="007C0BD2"/>
    <w:rPr>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4360">
      <w:bodyDiv w:val="1"/>
      <w:marLeft w:val="0"/>
      <w:marRight w:val="0"/>
      <w:marTop w:val="0"/>
      <w:marBottom w:val="0"/>
      <w:divBdr>
        <w:top w:val="none" w:sz="0" w:space="0" w:color="auto"/>
        <w:left w:val="none" w:sz="0" w:space="0" w:color="auto"/>
        <w:bottom w:val="none" w:sz="0" w:space="0" w:color="auto"/>
        <w:right w:val="none" w:sz="0" w:space="0" w:color="auto"/>
      </w:divBdr>
      <w:divsChild>
        <w:div w:id="1174761684">
          <w:marLeft w:val="0"/>
          <w:marRight w:val="0"/>
          <w:marTop w:val="0"/>
          <w:marBottom w:val="0"/>
          <w:divBdr>
            <w:top w:val="none" w:sz="0" w:space="0" w:color="auto"/>
            <w:left w:val="none" w:sz="0" w:space="0" w:color="auto"/>
            <w:bottom w:val="none" w:sz="0" w:space="0" w:color="auto"/>
            <w:right w:val="none" w:sz="0" w:space="0" w:color="auto"/>
          </w:divBdr>
        </w:div>
        <w:div w:id="516697044">
          <w:marLeft w:val="0"/>
          <w:marRight w:val="0"/>
          <w:marTop w:val="0"/>
          <w:marBottom w:val="0"/>
          <w:divBdr>
            <w:top w:val="none" w:sz="0" w:space="0" w:color="auto"/>
            <w:left w:val="none" w:sz="0" w:space="0" w:color="auto"/>
            <w:bottom w:val="none" w:sz="0" w:space="0" w:color="auto"/>
            <w:right w:val="none" w:sz="0" w:space="0" w:color="auto"/>
          </w:divBdr>
        </w:div>
        <w:div w:id="1826118843">
          <w:marLeft w:val="0"/>
          <w:marRight w:val="0"/>
          <w:marTop w:val="0"/>
          <w:marBottom w:val="0"/>
          <w:divBdr>
            <w:top w:val="none" w:sz="0" w:space="0" w:color="auto"/>
            <w:left w:val="none" w:sz="0" w:space="0" w:color="auto"/>
            <w:bottom w:val="none" w:sz="0" w:space="0" w:color="auto"/>
            <w:right w:val="none" w:sz="0" w:space="0" w:color="auto"/>
          </w:divBdr>
        </w:div>
        <w:div w:id="534319569">
          <w:marLeft w:val="0"/>
          <w:marRight w:val="0"/>
          <w:marTop w:val="0"/>
          <w:marBottom w:val="0"/>
          <w:divBdr>
            <w:top w:val="none" w:sz="0" w:space="0" w:color="auto"/>
            <w:left w:val="none" w:sz="0" w:space="0" w:color="auto"/>
            <w:bottom w:val="none" w:sz="0" w:space="0" w:color="auto"/>
            <w:right w:val="none" w:sz="0" w:space="0" w:color="auto"/>
          </w:divBdr>
        </w:div>
        <w:div w:id="2049063086">
          <w:marLeft w:val="0"/>
          <w:marRight w:val="0"/>
          <w:marTop w:val="0"/>
          <w:marBottom w:val="0"/>
          <w:divBdr>
            <w:top w:val="none" w:sz="0" w:space="0" w:color="auto"/>
            <w:left w:val="none" w:sz="0" w:space="0" w:color="auto"/>
            <w:bottom w:val="none" w:sz="0" w:space="0" w:color="auto"/>
            <w:right w:val="none" w:sz="0" w:space="0" w:color="auto"/>
          </w:divBdr>
        </w:div>
      </w:divsChild>
    </w:div>
    <w:div w:id="705253109">
      <w:bodyDiv w:val="1"/>
      <w:marLeft w:val="0"/>
      <w:marRight w:val="0"/>
      <w:marTop w:val="0"/>
      <w:marBottom w:val="0"/>
      <w:divBdr>
        <w:top w:val="none" w:sz="0" w:space="0" w:color="auto"/>
        <w:left w:val="none" w:sz="0" w:space="0" w:color="auto"/>
        <w:bottom w:val="none" w:sz="0" w:space="0" w:color="auto"/>
        <w:right w:val="none" w:sz="0" w:space="0" w:color="auto"/>
      </w:divBdr>
      <w:divsChild>
        <w:div w:id="210074654">
          <w:marLeft w:val="0"/>
          <w:marRight w:val="0"/>
          <w:marTop w:val="0"/>
          <w:marBottom w:val="0"/>
          <w:divBdr>
            <w:top w:val="none" w:sz="0" w:space="0" w:color="auto"/>
            <w:left w:val="none" w:sz="0" w:space="0" w:color="auto"/>
            <w:bottom w:val="none" w:sz="0" w:space="0" w:color="auto"/>
            <w:right w:val="none" w:sz="0" w:space="0" w:color="auto"/>
          </w:divBdr>
        </w:div>
        <w:div w:id="212693541">
          <w:marLeft w:val="0"/>
          <w:marRight w:val="0"/>
          <w:marTop w:val="0"/>
          <w:marBottom w:val="0"/>
          <w:divBdr>
            <w:top w:val="none" w:sz="0" w:space="0" w:color="auto"/>
            <w:left w:val="none" w:sz="0" w:space="0" w:color="auto"/>
            <w:bottom w:val="none" w:sz="0" w:space="0" w:color="auto"/>
            <w:right w:val="none" w:sz="0" w:space="0" w:color="auto"/>
          </w:divBdr>
        </w:div>
        <w:div w:id="467741740">
          <w:marLeft w:val="0"/>
          <w:marRight w:val="0"/>
          <w:marTop w:val="0"/>
          <w:marBottom w:val="0"/>
          <w:divBdr>
            <w:top w:val="none" w:sz="0" w:space="0" w:color="auto"/>
            <w:left w:val="none" w:sz="0" w:space="0" w:color="auto"/>
            <w:bottom w:val="none" w:sz="0" w:space="0" w:color="auto"/>
            <w:right w:val="none" w:sz="0" w:space="0" w:color="auto"/>
          </w:divBdr>
        </w:div>
        <w:div w:id="636495843">
          <w:marLeft w:val="0"/>
          <w:marRight w:val="0"/>
          <w:marTop w:val="0"/>
          <w:marBottom w:val="0"/>
          <w:divBdr>
            <w:top w:val="none" w:sz="0" w:space="0" w:color="auto"/>
            <w:left w:val="none" w:sz="0" w:space="0" w:color="auto"/>
            <w:bottom w:val="none" w:sz="0" w:space="0" w:color="auto"/>
            <w:right w:val="none" w:sz="0" w:space="0" w:color="auto"/>
          </w:divBdr>
        </w:div>
        <w:div w:id="695540458">
          <w:marLeft w:val="0"/>
          <w:marRight w:val="0"/>
          <w:marTop w:val="0"/>
          <w:marBottom w:val="0"/>
          <w:divBdr>
            <w:top w:val="none" w:sz="0" w:space="0" w:color="auto"/>
            <w:left w:val="none" w:sz="0" w:space="0" w:color="auto"/>
            <w:bottom w:val="none" w:sz="0" w:space="0" w:color="auto"/>
            <w:right w:val="none" w:sz="0" w:space="0" w:color="auto"/>
          </w:divBdr>
        </w:div>
        <w:div w:id="762459511">
          <w:marLeft w:val="0"/>
          <w:marRight w:val="0"/>
          <w:marTop w:val="0"/>
          <w:marBottom w:val="0"/>
          <w:divBdr>
            <w:top w:val="none" w:sz="0" w:space="0" w:color="auto"/>
            <w:left w:val="none" w:sz="0" w:space="0" w:color="auto"/>
            <w:bottom w:val="none" w:sz="0" w:space="0" w:color="auto"/>
            <w:right w:val="none" w:sz="0" w:space="0" w:color="auto"/>
          </w:divBdr>
        </w:div>
        <w:div w:id="1012991683">
          <w:marLeft w:val="0"/>
          <w:marRight w:val="0"/>
          <w:marTop w:val="0"/>
          <w:marBottom w:val="0"/>
          <w:divBdr>
            <w:top w:val="none" w:sz="0" w:space="0" w:color="auto"/>
            <w:left w:val="none" w:sz="0" w:space="0" w:color="auto"/>
            <w:bottom w:val="none" w:sz="0" w:space="0" w:color="auto"/>
            <w:right w:val="none" w:sz="0" w:space="0" w:color="auto"/>
          </w:divBdr>
        </w:div>
        <w:div w:id="1156609799">
          <w:marLeft w:val="0"/>
          <w:marRight w:val="0"/>
          <w:marTop w:val="0"/>
          <w:marBottom w:val="0"/>
          <w:divBdr>
            <w:top w:val="none" w:sz="0" w:space="0" w:color="auto"/>
            <w:left w:val="none" w:sz="0" w:space="0" w:color="auto"/>
            <w:bottom w:val="none" w:sz="0" w:space="0" w:color="auto"/>
            <w:right w:val="none" w:sz="0" w:space="0" w:color="auto"/>
          </w:divBdr>
        </w:div>
        <w:div w:id="1179537826">
          <w:marLeft w:val="0"/>
          <w:marRight w:val="0"/>
          <w:marTop w:val="0"/>
          <w:marBottom w:val="0"/>
          <w:divBdr>
            <w:top w:val="none" w:sz="0" w:space="0" w:color="auto"/>
            <w:left w:val="none" w:sz="0" w:space="0" w:color="auto"/>
            <w:bottom w:val="none" w:sz="0" w:space="0" w:color="auto"/>
            <w:right w:val="none" w:sz="0" w:space="0" w:color="auto"/>
          </w:divBdr>
        </w:div>
        <w:div w:id="1238591837">
          <w:marLeft w:val="0"/>
          <w:marRight w:val="0"/>
          <w:marTop w:val="0"/>
          <w:marBottom w:val="0"/>
          <w:divBdr>
            <w:top w:val="none" w:sz="0" w:space="0" w:color="auto"/>
            <w:left w:val="none" w:sz="0" w:space="0" w:color="auto"/>
            <w:bottom w:val="none" w:sz="0" w:space="0" w:color="auto"/>
            <w:right w:val="none" w:sz="0" w:space="0" w:color="auto"/>
          </w:divBdr>
        </w:div>
        <w:div w:id="1240167181">
          <w:marLeft w:val="0"/>
          <w:marRight w:val="0"/>
          <w:marTop w:val="0"/>
          <w:marBottom w:val="0"/>
          <w:divBdr>
            <w:top w:val="none" w:sz="0" w:space="0" w:color="auto"/>
            <w:left w:val="none" w:sz="0" w:space="0" w:color="auto"/>
            <w:bottom w:val="none" w:sz="0" w:space="0" w:color="auto"/>
            <w:right w:val="none" w:sz="0" w:space="0" w:color="auto"/>
          </w:divBdr>
        </w:div>
        <w:div w:id="1546986469">
          <w:marLeft w:val="0"/>
          <w:marRight w:val="0"/>
          <w:marTop w:val="0"/>
          <w:marBottom w:val="0"/>
          <w:divBdr>
            <w:top w:val="none" w:sz="0" w:space="0" w:color="auto"/>
            <w:left w:val="none" w:sz="0" w:space="0" w:color="auto"/>
            <w:bottom w:val="none" w:sz="0" w:space="0" w:color="auto"/>
            <w:right w:val="none" w:sz="0" w:space="0" w:color="auto"/>
          </w:divBdr>
        </w:div>
        <w:div w:id="1636058519">
          <w:marLeft w:val="0"/>
          <w:marRight w:val="0"/>
          <w:marTop w:val="0"/>
          <w:marBottom w:val="0"/>
          <w:divBdr>
            <w:top w:val="none" w:sz="0" w:space="0" w:color="auto"/>
            <w:left w:val="none" w:sz="0" w:space="0" w:color="auto"/>
            <w:bottom w:val="none" w:sz="0" w:space="0" w:color="auto"/>
            <w:right w:val="none" w:sz="0" w:space="0" w:color="auto"/>
          </w:divBdr>
        </w:div>
        <w:div w:id="1989283565">
          <w:marLeft w:val="0"/>
          <w:marRight w:val="0"/>
          <w:marTop w:val="0"/>
          <w:marBottom w:val="0"/>
          <w:divBdr>
            <w:top w:val="none" w:sz="0" w:space="0" w:color="auto"/>
            <w:left w:val="none" w:sz="0" w:space="0" w:color="auto"/>
            <w:bottom w:val="none" w:sz="0" w:space="0" w:color="auto"/>
            <w:right w:val="none" w:sz="0" w:space="0" w:color="auto"/>
          </w:divBdr>
        </w:div>
        <w:div w:id="2004627541">
          <w:marLeft w:val="0"/>
          <w:marRight w:val="0"/>
          <w:marTop w:val="0"/>
          <w:marBottom w:val="0"/>
          <w:divBdr>
            <w:top w:val="none" w:sz="0" w:space="0" w:color="auto"/>
            <w:left w:val="none" w:sz="0" w:space="0" w:color="auto"/>
            <w:bottom w:val="none" w:sz="0" w:space="0" w:color="auto"/>
            <w:right w:val="none" w:sz="0" w:space="0" w:color="auto"/>
          </w:divBdr>
        </w:div>
      </w:divsChild>
    </w:div>
    <w:div w:id="750784084">
      <w:bodyDiv w:val="1"/>
      <w:marLeft w:val="0"/>
      <w:marRight w:val="0"/>
      <w:marTop w:val="0"/>
      <w:marBottom w:val="0"/>
      <w:divBdr>
        <w:top w:val="none" w:sz="0" w:space="0" w:color="auto"/>
        <w:left w:val="none" w:sz="0" w:space="0" w:color="auto"/>
        <w:bottom w:val="none" w:sz="0" w:space="0" w:color="auto"/>
        <w:right w:val="none" w:sz="0" w:space="0" w:color="auto"/>
      </w:divBdr>
      <w:divsChild>
        <w:div w:id="46730515">
          <w:marLeft w:val="0"/>
          <w:marRight w:val="0"/>
          <w:marTop w:val="0"/>
          <w:marBottom w:val="0"/>
          <w:divBdr>
            <w:top w:val="none" w:sz="0" w:space="0" w:color="auto"/>
            <w:left w:val="none" w:sz="0" w:space="0" w:color="auto"/>
            <w:bottom w:val="none" w:sz="0" w:space="0" w:color="auto"/>
            <w:right w:val="none" w:sz="0" w:space="0" w:color="auto"/>
          </w:divBdr>
        </w:div>
        <w:div w:id="83692701">
          <w:marLeft w:val="0"/>
          <w:marRight w:val="0"/>
          <w:marTop w:val="0"/>
          <w:marBottom w:val="0"/>
          <w:divBdr>
            <w:top w:val="none" w:sz="0" w:space="0" w:color="auto"/>
            <w:left w:val="none" w:sz="0" w:space="0" w:color="auto"/>
            <w:bottom w:val="none" w:sz="0" w:space="0" w:color="auto"/>
            <w:right w:val="none" w:sz="0" w:space="0" w:color="auto"/>
          </w:divBdr>
        </w:div>
        <w:div w:id="446890637">
          <w:marLeft w:val="0"/>
          <w:marRight w:val="0"/>
          <w:marTop w:val="0"/>
          <w:marBottom w:val="0"/>
          <w:divBdr>
            <w:top w:val="none" w:sz="0" w:space="0" w:color="auto"/>
            <w:left w:val="none" w:sz="0" w:space="0" w:color="auto"/>
            <w:bottom w:val="none" w:sz="0" w:space="0" w:color="auto"/>
            <w:right w:val="none" w:sz="0" w:space="0" w:color="auto"/>
          </w:divBdr>
        </w:div>
        <w:div w:id="569197349">
          <w:marLeft w:val="0"/>
          <w:marRight w:val="0"/>
          <w:marTop w:val="0"/>
          <w:marBottom w:val="0"/>
          <w:divBdr>
            <w:top w:val="none" w:sz="0" w:space="0" w:color="auto"/>
            <w:left w:val="none" w:sz="0" w:space="0" w:color="auto"/>
            <w:bottom w:val="none" w:sz="0" w:space="0" w:color="auto"/>
            <w:right w:val="none" w:sz="0" w:space="0" w:color="auto"/>
          </w:divBdr>
        </w:div>
        <w:div w:id="948389953">
          <w:marLeft w:val="0"/>
          <w:marRight w:val="0"/>
          <w:marTop w:val="0"/>
          <w:marBottom w:val="0"/>
          <w:divBdr>
            <w:top w:val="none" w:sz="0" w:space="0" w:color="auto"/>
            <w:left w:val="none" w:sz="0" w:space="0" w:color="auto"/>
            <w:bottom w:val="none" w:sz="0" w:space="0" w:color="auto"/>
            <w:right w:val="none" w:sz="0" w:space="0" w:color="auto"/>
          </w:divBdr>
        </w:div>
        <w:div w:id="1436829265">
          <w:marLeft w:val="0"/>
          <w:marRight w:val="0"/>
          <w:marTop w:val="0"/>
          <w:marBottom w:val="0"/>
          <w:divBdr>
            <w:top w:val="none" w:sz="0" w:space="0" w:color="auto"/>
            <w:left w:val="none" w:sz="0" w:space="0" w:color="auto"/>
            <w:bottom w:val="none" w:sz="0" w:space="0" w:color="auto"/>
            <w:right w:val="none" w:sz="0" w:space="0" w:color="auto"/>
          </w:divBdr>
        </w:div>
        <w:div w:id="1599605517">
          <w:marLeft w:val="0"/>
          <w:marRight w:val="0"/>
          <w:marTop w:val="0"/>
          <w:marBottom w:val="0"/>
          <w:divBdr>
            <w:top w:val="none" w:sz="0" w:space="0" w:color="auto"/>
            <w:left w:val="none" w:sz="0" w:space="0" w:color="auto"/>
            <w:bottom w:val="none" w:sz="0" w:space="0" w:color="auto"/>
            <w:right w:val="none" w:sz="0" w:space="0" w:color="auto"/>
          </w:divBdr>
        </w:div>
        <w:div w:id="1676614689">
          <w:marLeft w:val="0"/>
          <w:marRight w:val="0"/>
          <w:marTop w:val="0"/>
          <w:marBottom w:val="0"/>
          <w:divBdr>
            <w:top w:val="none" w:sz="0" w:space="0" w:color="auto"/>
            <w:left w:val="none" w:sz="0" w:space="0" w:color="auto"/>
            <w:bottom w:val="none" w:sz="0" w:space="0" w:color="auto"/>
            <w:right w:val="none" w:sz="0" w:space="0" w:color="auto"/>
          </w:divBdr>
        </w:div>
        <w:div w:id="1962346361">
          <w:marLeft w:val="0"/>
          <w:marRight w:val="0"/>
          <w:marTop w:val="0"/>
          <w:marBottom w:val="0"/>
          <w:divBdr>
            <w:top w:val="none" w:sz="0" w:space="0" w:color="auto"/>
            <w:left w:val="none" w:sz="0" w:space="0" w:color="auto"/>
            <w:bottom w:val="none" w:sz="0" w:space="0" w:color="auto"/>
            <w:right w:val="none" w:sz="0" w:space="0" w:color="auto"/>
          </w:divBdr>
        </w:div>
        <w:div w:id="1978216557">
          <w:marLeft w:val="0"/>
          <w:marRight w:val="0"/>
          <w:marTop w:val="0"/>
          <w:marBottom w:val="0"/>
          <w:divBdr>
            <w:top w:val="none" w:sz="0" w:space="0" w:color="auto"/>
            <w:left w:val="none" w:sz="0" w:space="0" w:color="auto"/>
            <w:bottom w:val="none" w:sz="0" w:space="0" w:color="auto"/>
            <w:right w:val="none" w:sz="0" w:space="0" w:color="auto"/>
          </w:divBdr>
        </w:div>
        <w:div w:id="1991247452">
          <w:marLeft w:val="0"/>
          <w:marRight w:val="0"/>
          <w:marTop w:val="0"/>
          <w:marBottom w:val="0"/>
          <w:divBdr>
            <w:top w:val="none" w:sz="0" w:space="0" w:color="auto"/>
            <w:left w:val="none" w:sz="0" w:space="0" w:color="auto"/>
            <w:bottom w:val="none" w:sz="0" w:space="0" w:color="auto"/>
            <w:right w:val="none" w:sz="0" w:space="0" w:color="auto"/>
          </w:divBdr>
        </w:div>
      </w:divsChild>
    </w:div>
    <w:div w:id="874467287">
      <w:bodyDiv w:val="1"/>
      <w:marLeft w:val="0"/>
      <w:marRight w:val="0"/>
      <w:marTop w:val="0"/>
      <w:marBottom w:val="0"/>
      <w:divBdr>
        <w:top w:val="none" w:sz="0" w:space="0" w:color="auto"/>
        <w:left w:val="none" w:sz="0" w:space="0" w:color="auto"/>
        <w:bottom w:val="none" w:sz="0" w:space="0" w:color="auto"/>
        <w:right w:val="none" w:sz="0" w:space="0" w:color="auto"/>
      </w:divBdr>
      <w:divsChild>
        <w:div w:id="1290622158">
          <w:marLeft w:val="0"/>
          <w:marRight w:val="0"/>
          <w:marTop w:val="0"/>
          <w:marBottom w:val="0"/>
          <w:divBdr>
            <w:top w:val="none" w:sz="0" w:space="0" w:color="auto"/>
            <w:left w:val="none" w:sz="0" w:space="0" w:color="auto"/>
            <w:bottom w:val="none" w:sz="0" w:space="0" w:color="auto"/>
            <w:right w:val="none" w:sz="0" w:space="0" w:color="auto"/>
          </w:divBdr>
        </w:div>
        <w:div w:id="2060786948">
          <w:marLeft w:val="0"/>
          <w:marRight w:val="0"/>
          <w:marTop w:val="0"/>
          <w:marBottom w:val="0"/>
          <w:divBdr>
            <w:top w:val="none" w:sz="0" w:space="0" w:color="auto"/>
            <w:left w:val="none" w:sz="0" w:space="0" w:color="auto"/>
            <w:bottom w:val="none" w:sz="0" w:space="0" w:color="auto"/>
            <w:right w:val="none" w:sz="0" w:space="0" w:color="auto"/>
          </w:divBdr>
        </w:div>
      </w:divsChild>
    </w:div>
    <w:div w:id="1047142285">
      <w:bodyDiv w:val="1"/>
      <w:marLeft w:val="0"/>
      <w:marRight w:val="0"/>
      <w:marTop w:val="0"/>
      <w:marBottom w:val="0"/>
      <w:divBdr>
        <w:top w:val="none" w:sz="0" w:space="0" w:color="auto"/>
        <w:left w:val="none" w:sz="0" w:space="0" w:color="auto"/>
        <w:bottom w:val="none" w:sz="0" w:space="0" w:color="auto"/>
        <w:right w:val="none" w:sz="0" w:space="0" w:color="auto"/>
      </w:divBdr>
      <w:divsChild>
        <w:div w:id="2018120280">
          <w:marLeft w:val="0"/>
          <w:marRight w:val="0"/>
          <w:marTop w:val="0"/>
          <w:marBottom w:val="0"/>
          <w:divBdr>
            <w:top w:val="none" w:sz="0" w:space="0" w:color="auto"/>
            <w:left w:val="none" w:sz="0" w:space="0" w:color="auto"/>
            <w:bottom w:val="none" w:sz="0" w:space="0" w:color="auto"/>
            <w:right w:val="none" w:sz="0" w:space="0" w:color="auto"/>
          </w:divBdr>
        </w:div>
        <w:div w:id="2028941208">
          <w:marLeft w:val="0"/>
          <w:marRight w:val="0"/>
          <w:marTop w:val="0"/>
          <w:marBottom w:val="0"/>
          <w:divBdr>
            <w:top w:val="none" w:sz="0" w:space="0" w:color="auto"/>
            <w:left w:val="none" w:sz="0" w:space="0" w:color="auto"/>
            <w:bottom w:val="none" w:sz="0" w:space="0" w:color="auto"/>
            <w:right w:val="none" w:sz="0" w:space="0" w:color="auto"/>
          </w:divBdr>
        </w:div>
      </w:divsChild>
    </w:div>
    <w:div w:id="1075665672">
      <w:bodyDiv w:val="1"/>
      <w:marLeft w:val="0"/>
      <w:marRight w:val="0"/>
      <w:marTop w:val="0"/>
      <w:marBottom w:val="0"/>
      <w:divBdr>
        <w:top w:val="none" w:sz="0" w:space="0" w:color="auto"/>
        <w:left w:val="none" w:sz="0" w:space="0" w:color="auto"/>
        <w:bottom w:val="none" w:sz="0" w:space="0" w:color="auto"/>
        <w:right w:val="none" w:sz="0" w:space="0" w:color="auto"/>
      </w:divBdr>
      <w:divsChild>
        <w:div w:id="55396077">
          <w:marLeft w:val="0"/>
          <w:marRight w:val="0"/>
          <w:marTop w:val="0"/>
          <w:marBottom w:val="0"/>
          <w:divBdr>
            <w:top w:val="none" w:sz="0" w:space="0" w:color="auto"/>
            <w:left w:val="none" w:sz="0" w:space="0" w:color="auto"/>
            <w:bottom w:val="none" w:sz="0" w:space="0" w:color="auto"/>
            <w:right w:val="none" w:sz="0" w:space="0" w:color="auto"/>
          </w:divBdr>
        </w:div>
        <w:div w:id="391345006">
          <w:marLeft w:val="0"/>
          <w:marRight w:val="0"/>
          <w:marTop w:val="0"/>
          <w:marBottom w:val="0"/>
          <w:divBdr>
            <w:top w:val="none" w:sz="0" w:space="0" w:color="auto"/>
            <w:left w:val="none" w:sz="0" w:space="0" w:color="auto"/>
            <w:bottom w:val="none" w:sz="0" w:space="0" w:color="auto"/>
            <w:right w:val="none" w:sz="0" w:space="0" w:color="auto"/>
          </w:divBdr>
        </w:div>
        <w:div w:id="415787922">
          <w:marLeft w:val="0"/>
          <w:marRight w:val="0"/>
          <w:marTop w:val="0"/>
          <w:marBottom w:val="0"/>
          <w:divBdr>
            <w:top w:val="none" w:sz="0" w:space="0" w:color="auto"/>
            <w:left w:val="none" w:sz="0" w:space="0" w:color="auto"/>
            <w:bottom w:val="none" w:sz="0" w:space="0" w:color="auto"/>
            <w:right w:val="none" w:sz="0" w:space="0" w:color="auto"/>
          </w:divBdr>
        </w:div>
        <w:div w:id="711072712">
          <w:marLeft w:val="0"/>
          <w:marRight w:val="0"/>
          <w:marTop w:val="0"/>
          <w:marBottom w:val="0"/>
          <w:divBdr>
            <w:top w:val="none" w:sz="0" w:space="0" w:color="auto"/>
            <w:left w:val="none" w:sz="0" w:space="0" w:color="auto"/>
            <w:bottom w:val="none" w:sz="0" w:space="0" w:color="auto"/>
            <w:right w:val="none" w:sz="0" w:space="0" w:color="auto"/>
          </w:divBdr>
        </w:div>
        <w:div w:id="1253317892">
          <w:marLeft w:val="0"/>
          <w:marRight w:val="0"/>
          <w:marTop w:val="0"/>
          <w:marBottom w:val="0"/>
          <w:divBdr>
            <w:top w:val="none" w:sz="0" w:space="0" w:color="auto"/>
            <w:left w:val="none" w:sz="0" w:space="0" w:color="auto"/>
            <w:bottom w:val="none" w:sz="0" w:space="0" w:color="auto"/>
            <w:right w:val="none" w:sz="0" w:space="0" w:color="auto"/>
          </w:divBdr>
        </w:div>
        <w:div w:id="1297368125">
          <w:marLeft w:val="0"/>
          <w:marRight w:val="0"/>
          <w:marTop w:val="0"/>
          <w:marBottom w:val="0"/>
          <w:divBdr>
            <w:top w:val="none" w:sz="0" w:space="0" w:color="auto"/>
            <w:left w:val="none" w:sz="0" w:space="0" w:color="auto"/>
            <w:bottom w:val="none" w:sz="0" w:space="0" w:color="auto"/>
            <w:right w:val="none" w:sz="0" w:space="0" w:color="auto"/>
          </w:divBdr>
        </w:div>
        <w:div w:id="1305622877">
          <w:marLeft w:val="0"/>
          <w:marRight w:val="0"/>
          <w:marTop w:val="0"/>
          <w:marBottom w:val="0"/>
          <w:divBdr>
            <w:top w:val="none" w:sz="0" w:space="0" w:color="auto"/>
            <w:left w:val="none" w:sz="0" w:space="0" w:color="auto"/>
            <w:bottom w:val="none" w:sz="0" w:space="0" w:color="auto"/>
            <w:right w:val="none" w:sz="0" w:space="0" w:color="auto"/>
          </w:divBdr>
        </w:div>
        <w:div w:id="1331448542">
          <w:marLeft w:val="0"/>
          <w:marRight w:val="0"/>
          <w:marTop w:val="0"/>
          <w:marBottom w:val="0"/>
          <w:divBdr>
            <w:top w:val="none" w:sz="0" w:space="0" w:color="auto"/>
            <w:left w:val="none" w:sz="0" w:space="0" w:color="auto"/>
            <w:bottom w:val="none" w:sz="0" w:space="0" w:color="auto"/>
            <w:right w:val="none" w:sz="0" w:space="0" w:color="auto"/>
          </w:divBdr>
        </w:div>
        <w:div w:id="1492526239">
          <w:marLeft w:val="0"/>
          <w:marRight w:val="0"/>
          <w:marTop w:val="0"/>
          <w:marBottom w:val="0"/>
          <w:divBdr>
            <w:top w:val="none" w:sz="0" w:space="0" w:color="auto"/>
            <w:left w:val="none" w:sz="0" w:space="0" w:color="auto"/>
            <w:bottom w:val="none" w:sz="0" w:space="0" w:color="auto"/>
            <w:right w:val="none" w:sz="0" w:space="0" w:color="auto"/>
          </w:divBdr>
        </w:div>
        <w:div w:id="1610501675">
          <w:marLeft w:val="0"/>
          <w:marRight w:val="0"/>
          <w:marTop w:val="0"/>
          <w:marBottom w:val="0"/>
          <w:divBdr>
            <w:top w:val="none" w:sz="0" w:space="0" w:color="auto"/>
            <w:left w:val="none" w:sz="0" w:space="0" w:color="auto"/>
            <w:bottom w:val="none" w:sz="0" w:space="0" w:color="auto"/>
            <w:right w:val="none" w:sz="0" w:space="0" w:color="auto"/>
          </w:divBdr>
        </w:div>
        <w:div w:id="1654137077">
          <w:marLeft w:val="0"/>
          <w:marRight w:val="0"/>
          <w:marTop w:val="0"/>
          <w:marBottom w:val="0"/>
          <w:divBdr>
            <w:top w:val="none" w:sz="0" w:space="0" w:color="auto"/>
            <w:left w:val="none" w:sz="0" w:space="0" w:color="auto"/>
            <w:bottom w:val="none" w:sz="0" w:space="0" w:color="auto"/>
            <w:right w:val="none" w:sz="0" w:space="0" w:color="auto"/>
          </w:divBdr>
        </w:div>
        <w:div w:id="1936816515">
          <w:marLeft w:val="0"/>
          <w:marRight w:val="0"/>
          <w:marTop w:val="0"/>
          <w:marBottom w:val="0"/>
          <w:divBdr>
            <w:top w:val="none" w:sz="0" w:space="0" w:color="auto"/>
            <w:left w:val="none" w:sz="0" w:space="0" w:color="auto"/>
            <w:bottom w:val="none" w:sz="0" w:space="0" w:color="auto"/>
            <w:right w:val="none" w:sz="0" w:space="0" w:color="auto"/>
          </w:divBdr>
        </w:div>
        <w:div w:id="1962104516">
          <w:marLeft w:val="0"/>
          <w:marRight w:val="0"/>
          <w:marTop w:val="0"/>
          <w:marBottom w:val="0"/>
          <w:divBdr>
            <w:top w:val="none" w:sz="0" w:space="0" w:color="auto"/>
            <w:left w:val="none" w:sz="0" w:space="0" w:color="auto"/>
            <w:bottom w:val="none" w:sz="0" w:space="0" w:color="auto"/>
            <w:right w:val="none" w:sz="0" w:space="0" w:color="auto"/>
          </w:divBdr>
        </w:div>
        <w:div w:id="2090761550">
          <w:marLeft w:val="0"/>
          <w:marRight w:val="0"/>
          <w:marTop w:val="0"/>
          <w:marBottom w:val="0"/>
          <w:divBdr>
            <w:top w:val="none" w:sz="0" w:space="0" w:color="auto"/>
            <w:left w:val="none" w:sz="0" w:space="0" w:color="auto"/>
            <w:bottom w:val="none" w:sz="0" w:space="0" w:color="auto"/>
            <w:right w:val="none" w:sz="0" w:space="0" w:color="auto"/>
          </w:divBdr>
        </w:div>
        <w:div w:id="2122601394">
          <w:marLeft w:val="0"/>
          <w:marRight w:val="0"/>
          <w:marTop w:val="0"/>
          <w:marBottom w:val="0"/>
          <w:divBdr>
            <w:top w:val="none" w:sz="0" w:space="0" w:color="auto"/>
            <w:left w:val="none" w:sz="0" w:space="0" w:color="auto"/>
            <w:bottom w:val="none" w:sz="0" w:space="0" w:color="auto"/>
            <w:right w:val="none" w:sz="0" w:space="0" w:color="auto"/>
          </w:divBdr>
        </w:div>
        <w:div w:id="2128036979">
          <w:marLeft w:val="0"/>
          <w:marRight w:val="0"/>
          <w:marTop w:val="0"/>
          <w:marBottom w:val="0"/>
          <w:divBdr>
            <w:top w:val="none" w:sz="0" w:space="0" w:color="auto"/>
            <w:left w:val="none" w:sz="0" w:space="0" w:color="auto"/>
            <w:bottom w:val="none" w:sz="0" w:space="0" w:color="auto"/>
            <w:right w:val="none" w:sz="0" w:space="0" w:color="auto"/>
          </w:divBdr>
        </w:div>
      </w:divsChild>
    </w:div>
    <w:div w:id="1081292218">
      <w:bodyDiv w:val="1"/>
      <w:marLeft w:val="0"/>
      <w:marRight w:val="0"/>
      <w:marTop w:val="0"/>
      <w:marBottom w:val="0"/>
      <w:divBdr>
        <w:top w:val="none" w:sz="0" w:space="0" w:color="auto"/>
        <w:left w:val="none" w:sz="0" w:space="0" w:color="auto"/>
        <w:bottom w:val="none" w:sz="0" w:space="0" w:color="auto"/>
        <w:right w:val="none" w:sz="0" w:space="0" w:color="auto"/>
      </w:divBdr>
      <w:divsChild>
        <w:div w:id="113060503">
          <w:marLeft w:val="0"/>
          <w:marRight w:val="0"/>
          <w:marTop w:val="0"/>
          <w:marBottom w:val="0"/>
          <w:divBdr>
            <w:top w:val="none" w:sz="0" w:space="0" w:color="auto"/>
            <w:left w:val="none" w:sz="0" w:space="0" w:color="auto"/>
            <w:bottom w:val="none" w:sz="0" w:space="0" w:color="auto"/>
            <w:right w:val="none" w:sz="0" w:space="0" w:color="auto"/>
          </w:divBdr>
        </w:div>
        <w:div w:id="1160197264">
          <w:marLeft w:val="0"/>
          <w:marRight w:val="0"/>
          <w:marTop w:val="0"/>
          <w:marBottom w:val="0"/>
          <w:divBdr>
            <w:top w:val="none" w:sz="0" w:space="0" w:color="auto"/>
            <w:left w:val="none" w:sz="0" w:space="0" w:color="auto"/>
            <w:bottom w:val="none" w:sz="0" w:space="0" w:color="auto"/>
            <w:right w:val="none" w:sz="0" w:space="0" w:color="auto"/>
          </w:divBdr>
        </w:div>
        <w:div w:id="1237595311">
          <w:marLeft w:val="0"/>
          <w:marRight w:val="0"/>
          <w:marTop w:val="0"/>
          <w:marBottom w:val="0"/>
          <w:divBdr>
            <w:top w:val="none" w:sz="0" w:space="0" w:color="auto"/>
            <w:left w:val="none" w:sz="0" w:space="0" w:color="auto"/>
            <w:bottom w:val="none" w:sz="0" w:space="0" w:color="auto"/>
            <w:right w:val="none" w:sz="0" w:space="0" w:color="auto"/>
          </w:divBdr>
        </w:div>
        <w:div w:id="1861511280">
          <w:marLeft w:val="0"/>
          <w:marRight w:val="0"/>
          <w:marTop w:val="0"/>
          <w:marBottom w:val="0"/>
          <w:divBdr>
            <w:top w:val="none" w:sz="0" w:space="0" w:color="auto"/>
            <w:left w:val="none" w:sz="0" w:space="0" w:color="auto"/>
            <w:bottom w:val="none" w:sz="0" w:space="0" w:color="auto"/>
            <w:right w:val="none" w:sz="0" w:space="0" w:color="auto"/>
          </w:divBdr>
        </w:div>
      </w:divsChild>
    </w:div>
    <w:div w:id="1201552941">
      <w:bodyDiv w:val="1"/>
      <w:marLeft w:val="0"/>
      <w:marRight w:val="0"/>
      <w:marTop w:val="0"/>
      <w:marBottom w:val="0"/>
      <w:divBdr>
        <w:top w:val="none" w:sz="0" w:space="0" w:color="auto"/>
        <w:left w:val="none" w:sz="0" w:space="0" w:color="auto"/>
        <w:bottom w:val="none" w:sz="0" w:space="0" w:color="auto"/>
        <w:right w:val="none" w:sz="0" w:space="0" w:color="auto"/>
      </w:divBdr>
    </w:div>
    <w:div w:id="1241719864">
      <w:bodyDiv w:val="1"/>
      <w:marLeft w:val="0"/>
      <w:marRight w:val="0"/>
      <w:marTop w:val="0"/>
      <w:marBottom w:val="0"/>
      <w:divBdr>
        <w:top w:val="none" w:sz="0" w:space="0" w:color="auto"/>
        <w:left w:val="none" w:sz="0" w:space="0" w:color="auto"/>
        <w:bottom w:val="none" w:sz="0" w:space="0" w:color="auto"/>
        <w:right w:val="none" w:sz="0" w:space="0" w:color="auto"/>
      </w:divBdr>
    </w:div>
    <w:div w:id="1267469142">
      <w:bodyDiv w:val="1"/>
      <w:marLeft w:val="0"/>
      <w:marRight w:val="0"/>
      <w:marTop w:val="0"/>
      <w:marBottom w:val="0"/>
      <w:divBdr>
        <w:top w:val="none" w:sz="0" w:space="0" w:color="auto"/>
        <w:left w:val="none" w:sz="0" w:space="0" w:color="auto"/>
        <w:bottom w:val="none" w:sz="0" w:space="0" w:color="auto"/>
        <w:right w:val="none" w:sz="0" w:space="0" w:color="auto"/>
      </w:divBdr>
      <w:divsChild>
        <w:div w:id="897521375">
          <w:marLeft w:val="0"/>
          <w:marRight w:val="0"/>
          <w:marTop w:val="0"/>
          <w:marBottom w:val="0"/>
          <w:divBdr>
            <w:top w:val="none" w:sz="0" w:space="0" w:color="auto"/>
            <w:left w:val="none" w:sz="0" w:space="0" w:color="auto"/>
            <w:bottom w:val="none" w:sz="0" w:space="0" w:color="auto"/>
            <w:right w:val="none" w:sz="0" w:space="0" w:color="auto"/>
          </w:divBdr>
        </w:div>
        <w:div w:id="49696542">
          <w:marLeft w:val="0"/>
          <w:marRight w:val="0"/>
          <w:marTop w:val="0"/>
          <w:marBottom w:val="0"/>
          <w:divBdr>
            <w:top w:val="none" w:sz="0" w:space="0" w:color="auto"/>
            <w:left w:val="none" w:sz="0" w:space="0" w:color="auto"/>
            <w:bottom w:val="none" w:sz="0" w:space="0" w:color="auto"/>
            <w:right w:val="none" w:sz="0" w:space="0" w:color="auto"/>
          </w:divBdr>
        </w:div>
        <w:div w:id="1324626439">
          <w:marLeft w:val="0"/>
          <w:marRight w:val="0"/>
          <w:marTop w:val="0"/>
          <w:marBottom w:val="0"/>
          <w:divBdr>
            <w:top w:val="none" w:sz="0" w:space="0" w:color="auto"/>
            <w:left w:val="none" w:sz="0" w:space="0" w:color="auto"/>
            <w:bottom w:val="none" w:sz="0" w:space="0" w:color="auto"/>
            <w:right w:val="none" w:sz="0" w:space="0" w:color="auto"/>
          </w:divBdr>
        </w:div>
      </w:divsChild>
    </w:div>
    <w:div w:id="1436944692">
      <w:bodyDiv w:val="1"/>
      <w:marLeft w:val="0"/>
      <w:marRight w:val="0"/>
      <w:marTop w:val="0"/>
      <w:marBottom w:val="0"/>
      <w:divBdr>
        <w:top w:val="none" w:sz="0" w:space="0" w:color="auto"/>
        <w:left w:val="none" w:sz="0" w:space="0" w:color="auto"/>
        <w:bottom w:val="none" w:sz="0" w:space="0" w:color="auto"/>
        <w:right w:val="none" w:sz="0" w:space="0" w:color="auto"/>
      </w:divBdr>
    </w:div>
    <w:div w:id="14842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za/documents/constitution-republic-south-africa-1996" TargetMode="External"/><Relationship Id="rId13" Type="http://schemas.openxmlformats.org/officeDocument/2006/relationships/hyperlink" Target="http://www.edf.org.uk/wp-content/uploads/2015/04/EDFJ3259_Beyond_2015_publication_22.07.15_WEB.pdf" TargetMode="External"/><Relationship Id="rId18" Type="http://schemas.openxmlformats.org/officeDocument/2006/relationships/hyperlink" Target="http://researchbriefings.parliament.uk/ResearchBriefing/Summary/SN05057" TargetMode="External"/><Relationship Id="rId26" Type="http://schemas.openxmlformats.org/officeDocument/2006/relationships/hyperlink" Target="http://www.abc.net.au/news/2016-08-01/white-south-africans-complain-of-a-reverse-apartheid/7676764" TargetMode="External"/><Relationship Id="rId3" Type="http://schemas.openxmlformats.org/officeDocument/2006/relationships/hyperlink" Target="http://curia.europa.eu/juris/recherche.jsf?language=en" TargetMode="External"/><Relationship Id="rId21" Type="http://schemas.openxmlformats.org/officeDocument/2006/relationships/hyperlink" Target="https://www.gov.uk/government/uploads/system/uploads/attachment_data/file/136382/50_50_consultation.pdf" TargetMode="External"/><Relationship Id="rId7" Type="http://schemas.openxmlformats.org/officeDocument/2006/relationships/hyperlink" Target="https://www.legislation.gov.uk/ukpga/2000/32/contents" TargetMode="External"/><Relationship Id="rId12" Type="http://schemas.openxmlformats.org/officeDocument/2006/relationships/hyperlink" Target="https://www.legislation.gov.uk/ukpga/2010/15/notes/contents" TargetMode="External"/><Relationship Id="rId17" Type="http://schemas.openxmlformats.org/officeDocument/2006/relationships/hyperlink" Target="https://www.judicialappointments.gov.uk/jac-official-statistics" TargetMode="External"/><Relationship Id="rId25" Type="http://schemas.openxmlformats.org/officeDocument/2006/relationships/hyperlink" Target="https://publications.europa.eu/en/publication-detail/-/publication/45515983-3e3e-4a24-bcbc-477f04f0ba04" TargetMode="External"/><Relationship Id="rId2" Type="http://schemas.openxmlformats.org/officeDocument/2006/relationships/hyperlink" Target="https://www.legislation.gov.uk/ukpga/2010/15/contents" TargetMode="External"/><Relationship Id="rId16" Type="http://schemas.openxmlformats.org/officeDocument/2006/relationships/hyperlink" Target="https://www.judicialappointments.gov.uk/sites/default/files/sync/about_the_jac/equal-merit-provision-policy-mar2017.pdf" TargetMode="External"/><Relationship Id="rId20" Type="http://schemas.openxmlformats.org/officeDocument/2006/relationships/hyperlink" Target="https://www.executiveoffice-ni.gov.uk/sites/default/files/publications/execoffice/lfs-religion-report-2016.pdf" TargetMode="External"/><Relationship Id="rId29" Type="http://schemas.openxmlformats.org/officeDocument/2006/relationships/hyperlink" Target="https://researchbriefings.parliament.uk/ResearchBriefing/Summary/CBP-7540" TargetMode="External"/><Relationship Id="rId1" Type="http://schemas.openxmlformats.org/officeDocument/2006/relationships/hyperlink" Target="http://www.era-comm.eu/oldoku/SNLLaw/04_Positive_action/2012_Cinneide_EN.pdf" TargetMode="External"/><Relationship Id="rId6" Type="http://schemas.openxmlformats.org/officeDocument/2006/relationships/hyperlink" Target="http://www.legislation.gov.uk/nisi/1998/3162/contents/made" TargetMode="External"/><Relationship Id="rId11" Type="http://schemas.openxmlformats.org/officeDocument/2006/relationships/hyperlink" Target="http://webarchive.nationalarchives.gov.uk/20120919212654/http://www.communities.gov.uk/documents/corporate/pdf/325332.pdf" TargetMode="External"/><Relationship Id="rId24" Type="http://schemas.openxmlformats.org/officeDocument/2006/relationships/hyperlink" Target="https://www.abp.org.za/wp-content/uploads/2018/07/Commission-for-Employment-Equity-18th-Annual-Report.pdf" TargetMode="External"/><Relationship Id="rId5" Type="http://schemas.openxmlformats.org/officeDocument/2006/relationships/hyperlink" Target="http://www.archive.equineteurope.org/Positive-Action-Measures" TargetMode="External"/><Relationship Id="rId15" Type="http://schemas.openxmlformats.org/officeDocument/2006/relationships/hyperlink" Target="http://www.legislation.gov.uk/ukpga/2013/22/enacted" TargetMode="External"/><Relationship Id="rId23" Type="http://schemas.openxmlformats.org/officeDocument/2006/relationships/hyperlink" Target="https://assets.publishing.service.gov.uk/media/57a08b2ced915d622c000b5d/workingpaper76.pdf" TargetMode="External"/><Relationship Id="rId28" Type="http://schemas.openxmlformats.org/officeDocument/2006/relationships/hyperlink" Target="https://dspace.library.uu.nl/handle/1874/328046" TargetMode="External"/><Relationship Id="rId10" Type="http://schemas.openxmlformats.org/officeDocument/2006/relationships/hyperlink" Target="https://www.ilo.org/dyn/natlex/docs/webtext/51169/65139/e98zaf01.htm" TargetMode="External"/><Relationship Id="rId19" Type="http://schemas.openxmlformats.org/officeDocument/2006/relationships/hyperlink" Target="https://commonslibrary.parliament.uk/research-briefings/sn01250/" TargetMode="External"/><Relationship Id="rId4" Type="http://schemas.openxmlformats.org/officeDocument/2006/relationships/hyperlink" Target="https://commonslibrary.parliament.uk/research-briefings/sn01156/" TargetMode="External"/><Relationship Id="rId9" Type="http://schemas.openxmlformats.org/officeDocument/2006/relationships/hyperlink" Target="http://www.justice.gov.za/legislation/acts/2000-004.pdf" TargetMode="External"/><Relationship Id="rId14" Type="http://schemas.openxmlformats.org/officeDocument/2006/relationships/hyperlink" Target="https://core.ac.uk/download/pdf/33794901.pdf" TargetMode="External"/><Relationship Id="rId22" Type="http://schemas.openxmlformats.org/officeDocument/2006/relationships/hyperlink" Target="http://www.che.ac.za/sites/default/files/publications/CHE_VitalStats_2016%20webversion_0.pdf" TargetMode="External"/><Relationship Id="rId27" Type="http://schemas.openxmlformats.org/officeDocument/2006/relationships/hyperlink" Target="https://www.theguardian.com/politics/2014/aug/22/-sp-should-there-be-all-women-short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0E3D3-EF53-45E2-B511-EE1F2134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7279</Words>
  <Characters>41495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Howard</dc:creator>
  <cp:lastModifiedBy>chris</cp:lastModifiedBy>
  <cp:revision>14</cp:revision>
  <dcterms:created xsi:type="dcterms:W3CDTF">2020-03-10T17:32:00Z</dcterms:created>
  <dcterms:modified xsi:type="dcterms:W3CDTF">2020-04-08T12:32:00Z</dcterms:modified>
</cp:coreProperties>
</file>